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Medved Jonathan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0000FF"/>
              </w:rPr>
              <w:t>181,367</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07/30/2007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07/30/2013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7"/>
              </w:rPr>
              <w:t>20,833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11/01/2008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2,922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01/01/2009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4,383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4"/>
                <w:szCs w:val="14"/>
                <w:color w:val="0000FF"/>
                <w:w w:val="88"/>
              </w:rPr>
              <w:t>04/01/2009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4,383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6"/>
              </w:rPr>
              <w:t>400,000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4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6"/>
              </w:rPr>
              <w:t>400,000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July 30, 2007. One-fourth of the grant became exercisable one year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June 25, 2009. One-fourth of the grant became exercisable one year after the respective vesting commencement date,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Jonathan Medved</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6092"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2019-12-17T14:57:28Z</dcterms:created>
  <dcterms:modified xsi:type="dcterms:W3CDTF">2019-12-17T14:57:28Z</dcterms:modified>
</cp:coreProperties>
</file>