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(Amendment No. ________)*</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Vringo,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92911N104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34"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Vringo, Inc.</w:t>
      </w:r>
    </w:p>
    <w:p>
      <w:pPr>
        <w:ind w:left="4540"/>
        <w:spacing w:after="0" w:line="204" w:lineRule="auto"/>
        <w:rPr>
          <w:sz w:val="20"/>
          <w:szCs w:val="20"/>
          <w:color w:val="auto"/>
        </w:rPr>
      </w:pPr>
      <w:r>
        <w:rPr>
          <w:rFonts w:ascii="Arial" w:cs="Arial" w:eastAsia="Arial" w:hAnsi="Arial"/>
          <w:sz w:val="18"/>
          <w:szCs w:val="18"/>
          <w:b w:val="1"/>
          <w:bCs w:val="1"/>
          <w:color w:val="auto"/>
        </w:rPr>
        <w:t>44 West 28</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Street, Suite 1414</w:t>
      </w:r>
    </w:p>
    <w:p>
      <w:pPr>
        <w:spacing w:after="0" w:line="1"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New York, NY 10001</w:t>
      </w:r>
    </w:p>
    <w:p>
      <w:pPr>
        <w:spacing w:after="0" w:line="7"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Attn: Ellen Cohl</w:t>
      </w:r>
    </w:p>
    <w:p>
      <w:pPr>
        <w:spacing w:after="0" w:line="9"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Tel: (646) 525-4319</w:t>
      </w:r>
    </w:p>
    <w:p>
      <w:pPr>
        <w:spacing w:after="0" w:line="9" w:lineRule="exact"/>
        <w:rPr>
          <w:sz w:val="24"/>
          <w:szCs w:val="24"/>
          <w:color w:val="auto"/>
        </w:rPr>
      </w:pPr>
    </w:p>
    <w:p>
      <w:pPr>
        <w:ind w:left="1940"/>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July 12, 2011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1"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|_|</w:t>
      </w:r>
    </w:p>
    <w:p>
      <w:pPr>
        <w:spacing w:after="0" w:line="19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93" w:lineRule="exact"/>
        <w:rPr>
          <w:sz w:val="24"/>
          <w:szCs w:val="24"/>
          <w:color w:val="auto"/>
        </w:rPr>
      </w:pPr>
    </w:p>
    <w:p>
      <w:pPr>
        <w:ind w:right="200" w:firstLine="8"/>
        <w:spacing w:after="0" w:line="277" w:lineRule="auto"/>
        <w:tabs>
          <w:tab w:leader="none" w:pos="108" w:val="left"/>
        </w:tabs>
        <w:numPr>
          <w:ilvl w:val="0"/>
          <w:numId w:val="1"/>
        </w:numPr>
        <w:rPr>
          <w:rFonts w:ascii="Arial" w:cs="Arial" w:eastAsia="Arial" w:hAnsi="Arial"/>
          <w:sz w:val="14"/>
          <w:szCs w:val="14"/>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SCHEDULE 13D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CUSIP No. 92911N104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7272020" cy="6161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6161405"/>
                    </a:xfrm>
                    <a:prstGeom prst="rect">
                      <a:avLst/>
                    </a:prstGeom>
                    <a:noFill/>
                  </pic:spPr>
                </pic:pic>
              </a:graphicData>
            </a:graphic>
          </wp:anchor>
        </w:drawing>
      </w:r>
    </w:p>
    <w:p>
      <w:pPr>
        <w:spacing w:after="0" w:line="236" w:lineRule="exact"/>
        <w:rPr>
          <w:sz w:val="20"/>
          <w:szCs w:val="20"/>
          <w:color w:val="auto"/>
        </w:rPr>
      </w:pPr>
    </w:p>
    <w:p>
      <w:pPr>
        <w:ind w:left="1500" w:hanging="1478"/>
        <w:spacing w:after="0"/>
        <w:tabs>
          <w:tab w:leader="none" w:pos="1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7"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 OF ABOVE PERSONS (ENTITIES ONLY)</w:t>
      </w:r>
    </w:p>
    <w:p>
      <w:pPr>
        <w:spacing w:after="0" w:line="20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Jonathan Medved</w:t>
      </w:r>
    </w:p>
    <w:p>
      <w:pPr>
        <w:ind w:left="1500" w:hanging="1478"/>
        <w:spacing w:after="0" w:line="227" w:lineRule="auto"/>
        <w:tabs>
          <w:tab w:leader="none" w:pos="1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r>
        <w:rPr>
          <w:rFonts w:ascii="Arial" w:cs="Arial" w:eastAsia="Arial" w:hAnsi="Arial"/>
          <w:sz w:val="25"/>
          <w:szCs w:val="25"/>
          <w:b w:val="1"/>
          <w:bCs w:val="1"/>
          <w:color w:val="auto"/>
          <w:vertAlign w:val="superscript"/>
        </w:rPr>
        <w:t>*</w:t>
      </w:r>
    </w:p>
    <w:p>
      <w:pPr>
        <w:ind w:left="1800" w:hanging="302"/>
        <w:spacing w:after="0"/>
        <w:tabs>
          <w:tab w:leader="none" w:pos="180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w:t>
      </w:r>
    </w:p>
    <w:p>
      <w:pPr>
        <w:spacing w:after="0" w:line="7" w:lineRule="exact"/>
        <w:rPr>
          <w:rFonts w:ascii="Arial" w:cs="Arial" w:eastAsia="Arial" w:hAnsi="Arial"/>
          <w:sz w:val="18"/>
          <w:szCs w:val="18"/>
          <w:b w:val="1"/>
          <w:bCs w:val="1"/>
          <w:color w:val="auto"/>
        </w:rPr>
      </w:pPr>
    </w:p>
    <w:p>
      <w:pPr>
        <w:ind w:left="1800" w:hanging="302"/>
        <w:spacing w:after="0"/>
        <w:tabs>
          <w:tab w:leader="none" w:pos="180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w:t>
      </w:r>
    </w:p>
    <w:p>
      <w:pPr>
        <w:spacing w:after="0" w:line="234" w:lineRule="exact"/>
        <w:rPr>
          <w:sz w:val="20"/>
          <w:szCs w:val="20"/>
          <w:color w:val="auto"/>
        </w:rPr>
      </w:pPr>
    </w:p>
    <w:p>
      <w:pPr>
        <w:ind w:left="1500" w:hanging="1478"/>
        <w:spacing w:after="0"/>
        <w:tabs>
          <w:tab w:leader="none" w:pos="1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52" w:lineRule="exact"/>
        <w:rPr>
          <w:sz w:val="20"/>
          <w:szCs w:val="20"/>
          <w:color w:val="auto"/>
        </w:rPr>
      </w:pPr>
    </w:p>
    <w:p>
      <w:pPr>
        <w:ind w:left="1500" w:hanging="1478"/>
        <w:spacing w:after="0"/>
        <w:tabs>
          <w:tab w:leader="none" w:pos="1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PF</w:t>
      </w:r>
    </w:p>
    <w:p>
      <w:pPr>
        <w:spacing w:after="0" w:line="36" w:lineRule="exact"/>
        <w:rPr>
          <w:sz w:val="20"/>
          <w:szCs w:val="20"/>
          <w:color w:val="auto"/>
        </w:rPr>
      </w:pPr>
    </w:p>
    <w:p>
      <w:pPr>
        <w:ind w:left="1500" w:hanging="1478"/>
        <w:spacing w:after="0"/>
        <w:tabs>
          <w:tab w:leader="none" w:pos="1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CHECK IF DISCLOSURE OF LEGAL PROCEEDINGS IS REQUIRED PURSUANT TO ITEM 2(d) or 2(e)</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o</w:t>
      </w:r>
    </w:p>
    <w:p>
      <w:pPr>
        <w:spacing w:after="0" w:line="36" w:lineRule="exact"/>
        <w:rPr>
          <w:sz w:val="20"/>
          <w:szCs w:val="20"/>
          <w:color w:val="auto"/>
        </w:rPr>
      </w:pPr>
    </w:p>
    <w:p>
      <w:pPr>
        <w:ind w:left="1500" w:hanging="1478"/>
        <w:spacing w:after="0"/>
        <w:tabs>
          <w:tab w:leader="none" w:pos="1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USA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2260" w:type="dxa"/>
            <w:vAlign w:val="bottom"/>
          </w:tcPr>
          <w:p>
            <w:pPr>
              <w:jc w:val="center"/>
              <w:ind w:right="350"/>
              <w:spacing w:after="0"/>
              <w:rPr>
                <w:sz w:val="20"/>
                <w:szCs w:val="20"/>
                <w:color w:val="auto"/>
              </w:rPr>
            </w:pPr>
            <w:r>
              <w:rPr>
                <w:rFonts w:ascii="Arial" w:cs="Arial" w:eastAsia="Arial" w:hAnsi="Arial"/>
                <w:sz w:val="18"/>
                <w:szCs w:val="18"/>
                <w:b w:val="1"/>
                <w:bCs w:val="1"/>
                <w:color w:val="auto"/>
              </w:rPr>
              <w:t>NUMBER OF</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rPr>
              <w:t>7</w:t>
            </w:r>
          </w:p>
        </w:tc>
        <w:tc>
          <w:tcPr>
            <w:tcW w:w="8300" w:type="dxa"/>
            <w:vAlign w:val="bottom"/>
          </w:tcPr>
          <w:p>
            <w:pPr>
              <w:ind w:left="2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260" w:type="dxa"/>
            <w:vAlign w:val="bottom"/>
          </w:tcPr>
          <w:p>
            <w:pPr>
              <w:jc w:val="center"/>
              <w:ind w:right="330"/>
              <w:spacing w:after="0"/>
              <w:rPr>
                <w:sz w:val="20"/>
                <w:szCs w:val="20"/>
                <w:color w:val="auto"/>
              </w:rPr>
            </w:pPr>
            <w:r>
              <w:rPr>
                <w:rFonts w:ascii="Arial" w:cs="Arial" w:eastAsia="Arial" w:hAnsi="Arial"/>
                <w:sz w:val="18"/>
                <w:szCs w:val="18"/>
                <w:b w:val="1"/>
                <w:bCs w:val="1"/>
                <w:color w:val="auto"/>
                <w:w w:val="95"/>
              </w:rPr>
              <w:t>SHARES</w:t>
            </w:r>
          </w:p>
        </w:tc>
        <w:tc>
          <w:tcPr>
            <w:tcW w:w="40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 w:type="dxa"/>
            <w:vAlign w:val="bottom"/>
          </w:tcPr>
          <w:p>
            <w:pPr>
              <w:spacing w:after="0"/>
              <w:rPr>
                <w:sz w:val="20"/>
                <w:szCs w:val="20"/>
                <w:color w:val="auto"/>
              </w:rPr>
            </w:pPr>
          </w:p>
        </w:tc>
        <w:tc>
          <w:tcPr>
            <w:tcW w:w="2260" w:type="dxa"/>
            <w:vAlign w:val="bottom"/>
          </w:tcPr>
          <w:p>
            <w:pPr>
              <w:jc w:val="center"/>
              <w:ind w:right="290"/>
              <w:spacing w:after="0"/>
              <w:rPr>
                <w:sz w:val="20"/>
                <w:szCs w:val="20"/>
                <w:color w:val="auto"/>
              </w:rPr>
            </w:pPr>
            <w:r>
              <w:rPr>
                <w:rFonts w:ascii="Arial" w:cs="Arial" w:eastAsia="Arial" w:hAnsi="Arial"/>
                <w:sz w:val="18"/>
                <w:szCs w:val="18"/>
                <w:b w:val="1"/>
                <w:bCs w:val="1"/>
                <w:color w:val="auto"/>
              </w:rPr>
              <w:t>BENEFICIALLY</w:t>
            </w:r>
          </w:p>
        </w:tc>
        <w:tc>
          <w:tcPr>
            <w:tcW w:w="40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349,220</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2260" w:type="dxa"/>
            <w:vAlign w:val="bottom"/>
          </w:tcPr>
          <w:p>
            <w:pPr>
              <w:jc w:val="center"/>
              <w:ind w:right="310"/>
              <w:spacing w:after="0" w:line="170" w:lineRule="exact"/>
              <w:rPr>
                <w:sz w:val="20"/>
                <w:szCs w:val="20"/>
                <w:color w:val="auto"/>
              </w:rPr>
            </w:pPr>
            <w:r>
              <w:rPr>
                <w:rFonts w:ascii="Arial" w:cs="Arial" w:eastAsia="Arial" w:hAnsi="Arial"/>
                <w:sz w:val="18"/>
                <w:szCs w:val="18"/>
                <w:b w:val="1"/>
                <w:bCs w:val="1"/>
                <w:color w:val="auto"/>
              </w:rPr>
              <w:t>OWNED</w:t>
            </w:r>
          </w:p>
        </w:tc>
        <w:tc>
          <w:tcPr>
            <w:tcW w:w="400" w:type="dxa"/>
            <w:vAlign w:val="bottom"/>
          </w:tcPr>
          <w:p>
            <w:pPr>
              <w:ind w:left="20"/>
              <w:spacing w:after="0" w:line="170" w:lineRule="exact"/>
              <w:rPr>
                <w:sz w:val="20"/>
                <w:szCs w:val="20"/>
                <w:color w:val="auto"/>
              </w:rPr>
            </w:pPr>
            <w:r>
              <w:rPr>
                <w:rFonts w:ascii="Arial" w:cs="Arial" w:eastAsia="Arial" w:hAnsi="Arial"/>
                <w:sz w:val="18"/>
                <w:szCs w:val="18"/>
                <w:b w:val="1"/>
                <w:bCs w:val="1"/>
                <w:color w:val="auto"/>
              </w:rPr>
              <w:t>8</w:t>
            </w:r>
          </w:p>
        </w:tc>
        <w:tc>
          <w:tcPr>
            <w:tcW w:w="8300" w:type="dxa"/>
            <w:vAlign w:val="bottom"/>
          </w:tcPr>
          <w:p>
            <w:pPr>
              <w:ind w:left="220"/>
              <w:spacing w:after="0" w:line="170"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260" w:type="dxa"/>
            <w:vAlign w:val="bottom"/>
          </w:tcPr>
          <w:p>
            <w:pPr>
              <w:jc w:val="center"/>
              <w:ind w:right="350"/>
              <w:spacing w:after="0"/>
              <w:rPr>
                <w:sz w:val="20"/>
                <w:szCs w:val="20"/>
                <w:color w:val="auto"/>
              </w:rPr>
            </w:pPr>
            <w:r>
              <w:rPr>
                <w:rFonts w:ascii="Arial" w:cs="Arial" w:eastAsia="Arial" w:hAnsi="Arial"/>
                <w:sz w:val="18"/>
                <w:szCs w:val="18"/>
                <w:b w:val="1"/>
                <w:bCs w:val="1"/>
                <w:color w:val="auto"/>
              </w:rPr>
              <w:t>BY EACH</w:t>
            </w:r>
          </w:p>
        </w:tc>
        <w:tc>
          <w:tcPr>
            <w:tcW w:w="40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260" w:type="dxa"/>
            <w:vAlign w:val="bottom"/>
          </w:tcPr>
          <w:p>
            <w:pPr>
              <w:jc w:val="center"/>
              <w:ind w:right="330"/>
              <w:spacing w:after="0"/>
              <w:rPr>
                <w:sz w:val="20"/>
                <w:szCs w:val="20"/>
                <w:color w:val="auto"/>
              </w:rPr>
            </w:pPr>
            <w:r>
              <w:rPr>
                <w:rFonts w:ascii="Arial" w:cs="Arial" w:eastAsia="Arial" w:hAnsi="Arial"/>
                <w:sz w:val="18"/>
                <w:szCs w:val="18"/>
                <w:b w:val="1"/>
                <w:bCs w:val="1"/>
                <w:color w:val="auto"/>
              </w:rPr>
              <w:t>REPORTING</w:t>
            </w:r>
          </w:p>
        </w:tc>
        <w:tc>
          <w:tcPr>
            <w:tcW w:w="40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460" w:type="dxa"/>
            <w:vAlign w:val="bottom"/>
          </w:tcPr>
          <w:p>
            <w:pPr>
              <w:spacing w:after="0"/>
              <w:rPr>
                <w:sz w:val="4"/>
                <w:szCs w:val="4"/>
                <w:color w:val="auto"/>
              </w:rPr>
            </w:pPr>
          </w:p>
        </w:tc>
        <w:tc>
          <w:tcPr>
            <w:tcW w:w="2260" w:type="dxa"/>
            <w:vAlign w:val="bottom"/>
            <w:vMerge w:val="restart"/>
          </w:tcPr>
          <w:p>
            <w:pPr>
              <w:jc w:val="center"/>
              <w:ind w:right="350"/>
              <w:spacing w:after="0"/>
              <w:rPr>
                <w:sz w:val="20"/>
                <w:szCs w:val="20"/>
                <w:color w:val="auto"/>
              </w:rPr>
            </w:pPr>
            <w:r>
              <w:rPr>
                <w:rFonts w:ascii="Arial" w:cs="Arial" w:eastAsia="Arial" w:hAnsi="Arial"/>
                <w:sz w:val="18"/>
                <w:szCs w:val="18"/>
                <w:b w:val="1"/>
                <w:bCs w:val="1"/>
                <w:color w:val="auto"/>
                <w:w w:val="97"/>
              </w:rPr>
              <w:t>PERSON</w:t>
            </w:r>
          </w:p>
        </w:tc>
        <w:tc>
          <w:tcPr>
            <w:tcW w:w="40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2260" w:type="dxa"/>
            <w:vAlign w:val="bottom"/>
            <w:vMerge w:val="continue"/>
          </w:tcPr>
          <w:p>
            <w:pPr>
              <w:spacing w:after="0"/>
              <w:rPr>
                <w:sz w:val="14"/>
                <w:szCs w:val="14"/>
                <w:color w:val="auto"/>
              </w:rPr>
            </w:pPr>
          </w:p>
        </w:tc>
        <w:tc>
          <w:tcPr>
            <w:tcW w:w="400" w:type="dxa"/>
            <w:vAlign w:val="bottom"/>
          </w:tcPr>
          <w:p>
            <w:pPr>
              <w:ind w:left="20"/>
              <w:spacing w:after="0" w:line="162" w:lineRule="exact"/>
              <w:rPr>
                <w:sz w:val="20"/>
                <w:szCs w:val="20"/>
                <w:color w:val="auto"/>
              </w:rPr>
            </w:pPr>
            <w:r>
              <w:rPr>
                <w:rFonts w:ascii="Arial" w:cs="Arial" w:eastAsia="Arial" w:hAnsi="Arial"/>
                <w:sz w:val="18"/>
                <w:szCs w:val="18"/>
                <w:b w:val="1"/>
                <w:bCs w:val="1"/>
                <w:color w:val="auto"/>
              </w:rPr>
              <w:t>9</w:t>
            </w:r>
          </w:p>
        </w:tc>
        <w:tc>
          <w:tcPr>
            <w:tcW w:w="8300" w:type="dxa"/>
            <w:vAlign w:val="bottom"/>
          </w:tcPr>
          <w:p>
            <w:pPr>
              <w:ind w:left="220"/>
              <w:spacing w:after="0" w:line="162"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2260" w:type="dxa"/>
            <w:vAlign w:val="bottom"/>
          </w:tcPr>
          <w:p>
            <w:pPr>
              <w:jc w:val="center"/>
              <w:ind w:right="310"/>
              <w:spacing w:after="0"/>
              <w:rPr>
                <w:sz w:val="20"/>
                <w:szCs w:val="20"/>
                <w:color w:val="auto"/>
              </w:rPr>
            </w:pPr>
            <w:r>
              <w:rPr>
                <w:rFonts w:ascii="Arial" w:cs="Arial" w:eastAsia="Arial" w:hAnsi="Arial"/>
                <w:sz w:val="18"/>
                <w:szCs w:val="18"/>
                <w:b w:val="1"/>
                <w:bCs w:val="1"/>
                <w:color w:val="auto"/>
              </w:rPr>
              <w:t>WITH</w:t>
            </w:r>
          </w:p>
        </w:tc>
        <w:tc>
          <w:tcPr>
            <w:tcW w:w="40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6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3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349,220</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rPr>
              <w:t>10</w:t>
            </w:r>
          </w:p>
        </w:tc>
        <w:tc>
          <w:tcPr>
            <w:tcW w:w="8300" w:type="dxa"/>
            <w:vAlign w:val="bottom"/>
          </w:tcPr>
          <w:p>
            <w:pPr>
              <w:ind w:left="2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21"/>
        </w:trPr>
        <w:tc>
          <w:tcPr>
            <w:tcW w:w="460" w:type="dxa"/>
            <w:vAlign w:val="bottom"/>
            <w:tcBorders>
              <w:bottom w:val="single" w:sz="8" w:color="auto"/>
            </w:tcBorders>
          </w:tcPr>
          <w:p>
            <w:pPr>
              <w:spacing w:after="0"/>
              <w:rPr>
                <w:sz w:val="24"/>
                <w:szCs w:val="24"/>
                <w:color w:val="auto"/>
              </w:rPr>
            </w:pPr>
          </w:p>
        </w:tc>
        <w:tc>
          <w:tcPr>
            <w:tcW w:w="1096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Pr>
          <w:p>
            <w:pPr>
              <w:jc w:val="right"/>
              <w:ind w:right="170"/>
              <w:spacing w:after="0"/>
              <w:rPr>
                <w:sz w:val="20"/>
                <w:szCs w:val="20"/>
                <w:color w:val="auto"/>
              </w:rPr>
            </w:pPr>
            <w:r>
              <w:rPr>
                <w:rFonts w:ascii="Arial" w:cs="Arial" w:eastAsia="Arial" w:hAnsi="Arial"/>
                <w:sz w:val="18"/>
                <w:szCs w:val="18"/>
                <w:b w:val="1"/>
                <w:bCs w:val="1"/>
                <w:color w:val="auto"/>
                <w:w w:val="89"/>
              </w:rPr>
              <w:t>11</w:t>
            </w:r>
          </w:p>
        </w:tc>
        <w:tc>
          <w:tcPr>
            <w:tcW w:w="10960" w:type="dxa"/>
            <w:vAlign w:val="bottom"/>
            <w:gridSpan w:val="3"/>
          </w:tcPr>
          <w:p>
            <w:pPr>
              <w:ind w:left="10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349,220</w:t>
      </w:r>
    </w:p>
    <w:p>
      <w:pPr>
        <w:spacing w:after="0" w:line="36" w:lineRule="exact"/>
        <w:rPr>
          <w:sz w:val="20"/>
          <w:szCs w:val="20"/>
          <w:color w:val="auto"/>
        </w:rPr>
      </w:pPr>
    </w:p>
    <w:p>
      <w:pPr>
        <w:ind w:left="1500" w:right="2820" w:hanging="1478"/>
        <w:spacing w:after="0" w:line="391" w:lineRule="auto"/>
        <w:tabs>
          <w:tab w:leader="none" w:pos="1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CHECK IF THE AGGREGATE AMOUNT IN ROW (11) EXCLUDES CERTAIN SHARES o</w:t>
      </w:r>
    </w:p>
    <w:p>
      <w:pPr>
        <w:ind w:left="1500" w:right="4540" w:hanging="1478"/>
        <w:spacing w:after="0" w:line="391" w:lineRule="auto"/>
        <w:tabs>
          <w:tab w:leader="none" w:pos="1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5.7%</w:t>
      </w:r>
    </w:p>
    <w:p>
      <w:pPr>
        <w:ind w:left="1500" w:right="7240" w:hanging="1478"/>
        <w:spacing w:after="0" w:line="532" w:lineRule="auto"/>
        <w:tabs>
          <w:tab w:leader="none" w:pos="1497"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267335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Security and Issuer</w:t>
      </w:r>
    </w:p>
    <w:p>
      <w:pPr>
        <w:spacing w:after="0" w:line="2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This Schedule 13D relates to shares of common stock, a $0.01 par value, of Vringo Inc., a Delaware corporation (the “Issuer”), whose principal executive offices are located at 44 West 28th Street, Suite 1414, New York, New York 10001.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56" w:lineRule="exact"/>
        <w:rPr>
          <w:sz w:val="20"/>
          <w:szCs w:val="20"/>
          <w:color w:val="auto"/>
        </w:rPr>
      </w:pPr>
    </w:p>
    <w:p>
      <w:pPr>
        <w:ind w:left="300" w:hanging="247"/>
        <w:spacing w:after="0"/>
        <w:tabs>
          <w:tab w:leader="none" w:pos="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Name – Jonathan Medved;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address - 44 West 28th Street, suite 1414, New York, New York 10001;</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Present principal occupation or employment – CEO of Vringo, Inc.;</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the last five years, Mr. Medved has not been convicted in a criminal proceeding (excluding possible traffic violations or similar misdemeanors);</w:t>
      </w:r>
    </w:p>
    <w:p>
      <w:pPr>
        <w:spacing w:after="0" w:line="275" w:lineRule="exact"/>
        <w:rPr>
          <w:rFonts w:ascii="Arial" w:cs="Arial" w:eastAsia="Arial" w:hAnsi="Arial"/>
          <w:sz w:val="16"/>
          <w:szCs w:val="16"/>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last five years, Mr. Medved was not a party to a civil proceeding of a judicial or administrative body of competent jurisdiction; and</w:t>
      </w:r>
    </w:p>
    <w:p>
      <w:pPr>
        <w:spacing w:after="0" w:line="252"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 USA.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56"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On March 17, 2010, the Issuer granted the Reporting Person a stock option to purchase 400,000 shares of common stock, at an exercise price of $0.01 per share, which vest in three equal annual installments, commencing as of June 25, 2010. In July 2011, the Reporting Person exercised the option in part and purchased 133,333 of the shares. The purchase price for the shares was $1,333 which the Reporting Person paid with his personal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56"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Reporting Person acquired the Common Stock based on the Reporting Person's belief that such an investment represented an attractive investment opportunity. The Reporting Person may purchase additional securities if the Reporting Person deems that such a transaction represents an attractive investment opportunity, or may similarly dispose of such securities to meet its investment objectives.</w:t>
      </w:r>
    </w:p>
    <w:p>
      <w:pPr>
        <w:spacing w:after="0" w:line="20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Other than as set forth above, the Reporting Person does not have any plans or proposals which relate to, or could result in, any of the matters referred to in paragraphs (a) through (j), inclusive, of the instructions to Item 4 of Schedule 13D. The Reporting Person may, at any time and from time to time, review or reconsider his position and/or changes his purpose and/or formulate plans or proposals with respect thereto.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 (b) The responses to Items 7-13 of the cover page of this Schedule 13D are incorporated by reference.</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 ) Except as described in Items 3 and 4 of this Schedule, there have been no transactions effected with respect to the shares of Common Stock held by the Reporting Person within the past 60 days of the date hereof, by the Reporting Person.</w:t>
      </w:r>
    </w:p>
    <w:p>
      <w:pPr>
        <w:spacing w:after="0" w:line="197" w:lineRule="exact"/>
        <w:rPr>
          <w:sz w:val="20"/>
          <w:szCs w:val="20"/>
          <w:color w:val="auto"/>
        </w:rPr>
      </w:pPr>
    </w:p>
    <w:p>
      <w:pPr>
        <w:ind w:firstLine="8"/>
        <w:spacing w:after="0" w:line="277"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described in Items 3 or 4 of this Schedule, the Reporting Person has the sole right to receive, or power to direct the receipt of dividends from, or the proceeds of sale of, the shares of Common Stock owned by him.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3" w:name="page4"/>
    <w:bookmarkEnd w:id="3"/>
    <w:p>
      <w:pPr>
        <w:ind w:right="200"/>
        <w:spacing w:after="0" w:line="277" w:lineRule="auto"/>
        <w:rPr>
          <w:sz w:val="20"/>
          <w:szCs w:val="20"/>
          <w:color w:val="auto"/>
        </w:rPr>
      </w:pPr>
      <w:r>
        <w:rPr>
          <w:rFonts w:ascii="Arial" w:cs="Arial" w:eastAsia="Arial" w:hAnsi="Arial"/>
          <w:sz w:val="18"/>
          <w:szCs w:val="18"/>
          <w:color w:val="auto"/>
        </w:rPr>
        <w:t>There are no contracts, arrangements, understandings or relationships between Reporting Person and any other person, with respect to the securities of the issuer.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August 22,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Name/Title Jonathan Medved, CEO</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300"/>
      </w:cols>
      <w:pgMar w:left="240" w:top="5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lvl w:ilvl="1">
      <w:lvlJc w:val="left"/>
      <w:lvlText w:val="(%2)"/>
      <w:numFmt w:val="lowerLetter"/>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6"/>
      <w:numFmt w:val="bullet"/>
      <w:start w:val="1"/>
    </w:lvl>
  </w:abstractNum>
  <w:abstractNum w:abstractNumId="7">
    <w:nsid w:val="12200854"/>
    <w:multiLevelType w:val="hybridMultilevel"/>
    <w:lvl w:ilvl="0">
      <w:lvlJc w:val="left"/>
      <w:lvlText w:val="%1"/>
      <w:numFmt w:val="decimal"/>
      <w:start w:val="12"/>
    </w:lvl>
  </w:abstractNum>
  <w:abstractNum w:abstractNumId="8">
    <w:nsid w:val="4DB127F8"/>
    <w:multiLevelType w:val="hybridMultilevel"/>
    <w:lvl w:ilvl="0">
      <w:lvlJc w:val="left"/>
      <w:lvlText w:val="%1"/>
      <w:numFmt w:val="lowerLetter"/>
      <w:start w:val="1"/>
    </w:lvl>
    <w:lvl w:ilvl="1">
      <w:lvlJc w:val="left"/>
      <w:lvlText w:val="(%2)"/>
      <w:numFmt w:val="lowerLetter"/>
      <w:start w:val="1"/>
    </w:lvl>
  </w:abstractNum>
  <w:abstractNum w:abstractNumId="9">
    <w:nsid w:val="216231B"/>
    <w:multiLevelType w:val="hybridMultilevel"/>
    <w:lvl w:ilvl="0">
      <w:lvlJc w:val="left"/>
      <w:lvlText w:val="(%1)"/>
      <w:numFmt w:val="lowerLetter"/>
      <w:start w:val="2"/>
    </w:lvl>
    <w:lvl w:ilvl="1">
      <w:lvlJc w:val="left"/>
      <w:lvlText w:val="%2"/>
      <w:numFmt w:val="lowerLetter"/>
      <w:start w:val="1"/>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2019-12-11T06:11:10Z</dcterms:created>
  <dcterms:modified xsi:type="dcterms:W3CDTF">2019-12-11T06:11:10Z</dcterms:modified>
</cp:coreProperties>
</file>