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b w:val="1"/>
          <w:bCs w:val="1"/>
          <w:color w:val="auto"/>
        </w:rPr>
        <w:t>As filed with the Securities and Exchange Commission on July 24, 2020</w:t>
      </w:r>
    </w:p>
    <w:p>
      <w:pPr>
        <w:spacing w:after="0" w:line="39" w:lineRule="exact"/>
        <w:rPr>
          <w:sz w:val="24"/>
          <w:szCs w:val="24"/>
          <w:color w:val="auto"/>
        </w:rPr>
      </w:pPr>
    </w:p>
    <w:p>
      <w:pPr>
        <w:ind w:left="9200"/>
        <w:spacing w:after="0"/>
        <w:rPr>
          <w:sz w:val="20"/>
          <w:szCs w:val="20"/>
          <w:color w:val="auto"/>
        </w:rPr>
      </w:pPr>
      <w:r>
        <w:rPr>
          <w:rFonts w:ascii="Arial" w:cs="Arial" w:eastAsia="Arial" w:hAnsi="Arial"/>
          <w:sz w:val="16"/>
          <w:szCs w:val="16"/>
          <w:b w:val="1"/>
          <w:bCs w:val="1"/>
          <w:color w:val="auto"/>
        </w:rPr>
        <w:t>Registration No. 333-</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S-3</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0" w:orient="portrait"/>
          <w:cols w:equalWidth="0" w:num="1">
            <w:col w:w="11240"/>
          </w:cols>
          <w:pgMar w:left="320" w:top="999" w:right="339" w:bottom="0" w:gutter="0" w:footer="0" w:header="0"/>
        </w:sectPr>
      </w:pPr>
    </w:p>
    <w:p>
      <w:pPr>
        <w:spacing w:after="0" w:line="20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(I.R.S. Employer Identification Number)</w:t>
      </w:r>
    </w:p>
    <w:p>
      <w:pPr>
        <w:spacing w:after="0" w:line="173" w:lineRule="exact"/>
        <w:rPr>
          <w:sz w:val="24"/>
          <w:szCs w:val="24"/>
          <w:color w:val="auto"/>
        </w:rPr>
      </w:pPr>
    </w:p>
    <w:p>
      <w:pPr>
        <w:sectPr>
          <w:pgSz w:w="11900" w:h="16900" w:orient="portrait"/>
          <w:cols w:equalWidth="0" w:num="2">
            <w:col w:w="6300" w:space="720"/>
            <w:col w:w="4220"/>
          </w:cols>
          <w:pgMar w:left="320" w:top="999" w:right="3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Douglas Satzman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jc w:val="center"/>
        <w:spacing w:after="0" w:line="192" w:lineRule="auto"/>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J. Endicott,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L. Henderson,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Bryan Cave Leighton Paisner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Metropolitan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 North Broadway, Suite 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Louis, MO 63102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259-2000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19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36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900" w:orient="portrait"/>
          <w:cols w:equalWidth="0" w:num="1">
            <w:col w:w="11240"/>
          </w:cols>
          <w:pgMar w:left="320" w:top="999" w:right="339" w:bottom="0" w:gutter="0" w:footer="0" w:header="0"/>
          <w:type w:val="continuous"/>
        </w:sectPr>
      </w:pPr>
    </w:p>
    <w:p>
      <w:pPr>
        <w:spacing w:after="0" w:line="151" w:lineRule="exact"/>
        <w:rPr>
          <w:sz w:val="24"/>
          <w:szCs w:val="24"/>
          <w:color w:val="auto"/>
        </w:rPr>
      </w:pPr>
    </w:p>
    <w:p>
      <w:pPr>
        <w:ind w:left="24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25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900" w:orient="portrait"/>
          <w:cols w:equalWidth="0" w:num="2">
            <w:col w:w="6040" w:space="720"/>
            <w:col w:w="4480"/>
          </w:cols>
          <w:pgMar w:left="320" w:top="999" w:right="339" w:bottom="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374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Title of Each Class of</w:t>
            </w:r>
          </w:p>
        </w:tc>
        <w:tc>
          <w:tcPr>
            <w:tcW w:w="146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Amount to be</w:t>
            </w:r>
          </w:p>
        </w:tc>
        <w:tc>
          <w:tcPr>
            <w:tcW w:w="214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Proposed Maximum</w:t>
            </w:r>
          </w:p>
        </w:tc>
        <w:tc>
          <w:tcPr>
            <w:tcW w:w="212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Proposed Maximum</w:t>
            </w:r>
          </w:p>
        </w:tc>
        <w:tc>
          <w:tcPr>
            <w:tcW w:w="1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Amount of</w:t>
            </w:r>
          </w:p>
        </w:tc>
      </w:tr>
      <w:tr>
        <w:trPr>
          <w:trHeight w:val="234"/>
        </w:trPr>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Registered</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 per Unit</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Aggregate Offering Price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Fee(1)</w:t>
            </w:r>
          </w:p>
        </w:tc>
      </w:tr>
      <w:tr>
        <w:trPr>
          <w:trHeight w:val="209"/>
        </w:trPr>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$0.01 par value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57"/>
        </w:trPr>
        <w:tc>
          <w:tcPr>
            <w:tcW w:w="374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2140" w:type="dxa"/>
            <w:vAlign w:val="bottom"/>
            <w:tcBorders>
              <w:right w:val="single" w:sz="8" w:color="auto"/>
            </w:tcBorders>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1780" w:type="dxa"/>
            <w:vAlign w:val="bottom"/>
          </w:tcPr>
          <w:p>
            <w:pPr>
              <w:spacing w:after="0"/>
              <w:rPr>
                <w:sz w:val="4"/>
                <w:szCs w:val="4"/>
                <w:color w:val="auto"/>
              </w:rPr>
            </w:pPr>
          </w:p>
        </w:tc>
      </w:tr>
    </w:tbl>
    <w:p>
      <w:pPr>
        <w:sectPr>
          <w:pgSz w:w="11900" w:h="16900" w:orient="portrait"/>
          <w:cols w:equalWidth="0" w:num="1">
            <w:col w:w="11240"/>
          </w:cols>
          <w:pgMar w:left="320" w:top="999"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Preferred Stock, $0.01 par value</w:t>
            </w:r>
          </w:p>
        </w:tc>
        <w:tc>
          <w:tcPr>
            <w:tcW w:w="146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(2)</w:t>
            </w:r>
          </w:p>
        </w:tc>
        <w:tc>
          <w:tcPr>
            <w:tcW w:w="21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(3)</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Debt Securities</w:t>
            </w:r>
          </w:p>
        </w:tc>
        <w:tc>
          <w:tcPr>
            <w:tcW w:w="146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(2)</w:t>
            </w:r>
          </w:p>
        </w:tc>
        <w:tc>
          <w:tcPr>
            <w:tcW w:w="21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(3)</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Warrants</w:t>
            </w:r>
          </w:p>
        </w:tc>
        <w:tc>
          <w:tcPr>
            <w:tcW w:w="146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(2)</w:t>
            </w:r>
          </w:p>
        </w:tc>
        <w:tc>
          <w:tcPr>
            <w:tcW w:w="21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(3)</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Rights</w:t>
            </w:r>
          </w:p>
        </w:tc>
        <w:tc>
          <w:tcPr>
            <w:tcW w:w="146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(2)</w:t>
            </w:r>
          </w:p>
        </w:tc>
        <w:tc>
          <w:tcPr>
            <w:tcW w:w="21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(3)</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Units</w:t>
            </w:r>
          </w:p>
        </w:tc>
        <w:tc>
          <w:tcPr>
            <w:tcW w:w="146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(2)</w:t>
            </w:r>
          </w:p>
        </w:tc>
        <w:tc>
          <w:tcPr>
            <w:tcW w:w="21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(3)</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(2)</w:t>
            </w:r>
          </w:p>
        </w:tc>
        <w:tc>
          <w:tcPr>
            <w:tcW w:w="21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$200,000,000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$25,960</w:t>
            </w:r>
          </w:p>
        </w:tc>
      </w:tr>
    </w:tbl>
    <w:p>
      <w:pPr>
        <w:spacing w:after="0" w:line="202" w:lineRule="exact"/>
        <w:rPr>
          <w:sz w:val="20"/>
          <w:szCs w:val="20"/>
          <w:color w:val="auto"/>
        </w:rPr>
      </w:pPr>
    </w:p>
    <w:p>
      <w:pPr>
        <w:ind w:left="340" w:hanging="328"/>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pursuant to Rule 457(o) under the Securities Act of 1933, as amended, based on the proposed maximum aggregate offering price.</w:t>
      </w:r>
    </w:p>
    <w:p>
      <w:pPr>
        <w:spacing w:after="0" w:line="34" w:lineRule="exact"/>
        <w:rPr>
          <w:rFonts w:ascii="Arial" w:cs="Arial" w:eastAsia="Arial" w:hAnsi="Arial"/>
          <w:sz w:val="17"/>
          <w:szCs w:val="17"/>
          <w:color w:val="auto"/>
        </w:rPr>
      </w:pPr>
    </w:p>
    <w:p>
      <w:pPr>
        <w:ind w:left="340" w:right="20" w:hanging="328"/>
        <w:spacing w:after="0" w:line="28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are being registered hereunder such indeterminate number of shares of common stock and preferred stock, such indeterminate principal amount of debt securities, such indeterminate number of warrants, rights to purchase common stock, preferred stock or debt securities, and such indeterminate number of units, as shall have an aggregate initial offering price not to exceed $200,000,000. If any debt securities are issued at an original issue discount, then the offering price of such debt securities shall be in such greater principal amount as shall result in an aggregate initial offering price not to exceed $200,000,000,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rights or pursuant to the anti-dilution provisions of any such securities. In addition, pursuant to Rule 416 under the Securities Act of 1933, as amended,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7" w:lineRule="exact"/>
        <w:rPr>
          <w:rFonts w:ascii="Arial" w:cs="Arial" w:eastAsia="Arial" w:hAnsi="Arial"/>
          <w:sz w:val="16"/>
          <w:szCs w:val="16"/>
          <w:color w:val="auto"/>
        </w:rPr>
      </w:pPr>
    </w:p>
    <w:p>
      <w:pPr>
        <w:ind w:left="340" w:right="120" w:hanging="328"/>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of 1933, as amended.</w:t>
      </w:r>
    </w:p>
    <w:p>
      <w:pPr>
        <w:spacing w:after="0" w:line="18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ind w:right="120"/>
        <w:spacing w:after="0" w:line="255"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July 24,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$200,000,000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common stock is quoted on The Nasdaq Capital Market, or Nasdaq, under the symbol “XSPA.” On July 23, 2020, the last reported sale price of our common stock was $3.62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67" w:lineRule="exact"/>
        <w:rPr>
          <w:sz w:val="20"/>
          <w:szCs w:val="20"/>
          <w:color w:val="auto"/>
        </w:rPr>
      </w:pPr>
    </w:p>
    <w:p>
      <w:pPr>
        <w:jc w:val="both"/>
        <w:ind w:right="18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5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2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3960"/>
              <w:spacing w:after="0"/>
              <w:rPr>
                <w:sz w:val="20"/>
                <w:szCs w:val="20"/>
                <w:color w:val="auto"/>
              </w:rPr>
            </w:pPr>
            <w:r>
              <w:rPr>
                <w:rFonts w:ascii="Arial" w:cs="Arial" w:eastAsia="Arial" w:hAnsi="Arial"/>
                <w:sz w:val="18"/>
                <w:szCs w:val="18"/>
                <w:b w:val="1"/>
                <w:bCs w:val="1"/>
                <w:color w:val="auto"/>
                <w:w w:val="98"/>
              </w:rPr>
              <w:t>The date of this prospectus is</w:t>
            </w:r>
          </w:p>
        </w:tc>
        <w:tc>
          <w:tcPr>
            <w:tcW w:w="4740" w:type="dxa"/>
            <w:vAlign w:val="bottom"/>
          </w:tcPr>
          <w:p>
            <w:pPr>
              <w:jc w:val="right"/>
              <w:ind w:right="3870"/>
              <w:spacing w:after="0"/>
              <w:rPr>
                <w:sz w:val="20"/>
                <w:szCs w:val="20"/>
                <w:color w:val="auto"/>
              </w:rPr>
            </w:pPr>
            <w:r>
              <w:rPr>
                <w:rFonts w:ascii="Arial" w:cs="Arial" w:eastAsia="Arial" w:hAnsi="Arial"/>
                <w:sz w:val="18"/>
                <w:szCs w:val="18"/>
                <w:b w:val="1"/>
                <w:bCs w:val="1"/>
                <w:color w:val="auto"/>
              </w:rPr>
              <w:t>, 2020.</w:t>
            </w:r>
          </w:p>
        </w:tc>
      </w:tr>
      <w:tr>
        <w:trPr>
          <w:trHeight w:val="67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10260" w:type="dxa"/>
            <w:vAlign w:val="bottom"/>
          </w:tcPr>
          <w:p>
            <w:pPr>
              <w:spacing w:after="0"/>
              <w:rPr>
                <w:sz w:val="24"/>
                <w:szCs w:val="2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color w:val="auto"/>
                <w:w w:val="85"/>
              </w:rPr>
              <w:t>Page</w:t>
            </w:r>
          </w:p>
        </w:tc>
      </w:tr>
      <w:tr>
        <w:trPr>
          <w:trHeight w:val="237"/>
        </w:trPr>
        <w:tc>
          <w:tcPr>
            <w:tcW w:w="10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29"/>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w:t>
              </w:r>
            </w:hyperlink>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4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ii</w:t>
              </w:r>
            </w:hyperlink>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600" w:type="dxa"/>
            <w:vAlign w:val="bottom"/>
            <w:gridSpan w:val="2"/>
          </w:tcPr>
          <w:p>
            <w:pPr>
              <w:jc w:val="center"/>
              <w:ind w:left="150"/>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1</w:t>
              </w:r>
            </w:hyperlink>
          </w:p>
        </w:tc>
        <w:tc>
          <w:tcPr>
            <w:tcW w:w="380" w:type="dxa"/>
            <w:vAlign w:val="bottom"/>
          </w:tcPr>
          <w:p>
            <w:pPr>
              <w:spacing w:after="0"/>
              <w:rPr>
                <w:sz w:val="19"/>
                <w:szCs w:val="19"/>
                <w:color w:val="auto"/>
              </w:rPr>
            </w:pPr>
          </w:p>
        </w:tc>
      </w:tr>
      <w:tr>
        <w:trPr>
          <w:trHeight w:val="230"/>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600" w:type="dxa"/>
            <w:vAlign w:val="bottom"/>
            <w:gridSpan w:val="2"/>
            <w:shd w:val="clear" w:color="auto" w:fill="CCEEFF"/>
          </w:tcPr>
          <w:p>
            <w:pPr>
              <w:jc w:val="center"/>
              <w:ind w:left="150"/>
              <w:spacing w:after="0"/>
              <w:rPr>
                <w:rFonts w:ascii="Arial" w:cs="Arial" w:eastAsia="Arial" w:hAnsi="Arial"/>
                <w:sz w:val="18"/>
                <w:szCs w:val="18"/>
                <w:u w:val="single" w:color="auto"/>
                <w:color w:val="0000EE"/>
                <w:w w:val="79"/>
              </w:rPr>
            </w:pPr>
            <w:hyperlink w:anchor="page10">
              <w:r>
                <w:rPr>
                  <w:rFonts w:ascii="Arial" w:cs="Arial" w:eastAsia="Arial" w:hAnsi="Arial"/>
                  <w:sz w:val="18"/>
                  <w:szCs w:val="18"/>
                  <w:u w:val="single" w:color="auto"/>
                  <w:color w:val="0000EE"/>
                  <w:w w:val="79"/>
                </w:rPr>
                <w:t>5</w:t>
              </w:r>
            </w:hyperlink>
          </w:p>
        </w:tc>
        <w:tc>
          <w:tcPr>
            <w:tcW w:w="380" w:type="dxa"/>
            <w:vAlign w:val="bottom"/>
            <w:shd w:val="clear" w:color="auto" w:fill="CCEEFF"/>
          </w:tcPr>
          <w:p>
            <w:pPr>
              <w:spacing w:after="0"/>
              <w:rPr>
                <w:sz w:val="19"/>
                <w:szCs w:val="19"/>
                <w:color w:val="auto"/>
              </w:rPr>
            </w:pPr>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SPECIAL NOTE REGARDING FORWARD-LOOKING STATEMENTS</w:t>
              </w:r>
            </w:hyperlink>
          </w:p>
        </w:tc>
        <w:tc>
          <w:tcPr>
            <w:tcW w:w="600" w:type="dxa"/>
            <w:vAlign w:val="bottom"/>
            <w:gridSpan w:val="2"/>
          </w:tcPr>
          <w:p>
            <w:pPr>
              <w:jc w:val="center"/>
              <w:ind w:left="150"/>
              <w:spacing w:after="0"/>
              <w:rPr>
                <w:rFonts w:ascii="Arial" w:cs="Arial" w:eastAsia="Arial" w:hAnsi="Arial"/>
                <w:sz w:val="18"/>
                <w:szCs w:val="18"/>
                <w:u w:val="single" w:color="auto"/>
                <w:color w:val="0000EE"/>
                <w:w w:val="79"/>
              </w:rPr>
            </w:pPr>
            <w:hyperlink w:anchor="page10">
              <w:r>
                <w:rPr>
                  <w:rFonts w:ascii="Arial" w:cs="Arial" w:eastAsia="Arial" w:hAnsi="Arial"/>
                  <w:sz w:val="18"/>
                  <w:szCs w:val="18"/>
                  <w:u w:val="single" w:color="auto"/>
                  <w:color w:val="0000EE"/>
                  <w:w w:val="79"/>
                </w:rPr>
                <w:t>5</w:t>
              </w:r>
            </w:hyperlink>
          </w:p>
        </w:tc>
        <w:tc>
          <w:tcPr>
            <w:tcW w:w="380" w:type="dxa"/>
            <w:vAlign w:val="bottom"/>
          </w:tcPr>
          <w:p>
            <w:pPr>
              <w:spacing w:after="0"/>
              <w:rPr>
                <w:sz w:val="19"/>
                <w:szCs w:val="19"/>
                <w:color w:val="auto"/>
              </w:rPr>
            </w:pPr>
          </w:p>
        </w:tc>
      </w:tr>
      <w:tr>
        <w:trPr>
          <w:trHeight w:val="230"/>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USE OF PROCEEDS</w:t>
              </w:r>
            </w:hyperlink>
          </w:p>
        </w:tc>
        <w:tc>
          <w:tcPr>
            <w:tcW w:w="600" w:type="dxa"/>
            <w:vAlign w:val="bottom"/>
            <w:gridSpan w:val="2"/>
            <w:shd w:val="clear" w:color="auto" w:fill="CCEEFF"/>
          </w:tcPr>
          <w:p>
            <w:pPr>
              <w:jc w:val="center"/>
              <w:ind w:left="150"/>
              <w:spacing w:after="0"/>
              <w:rPr>
                <w:rFonts w:ascii="Arial" w:cs="Arial" w:eastAsia="Arial" w:hAnsi="Arial"/>
                <w:sz w:val="18"/>
                <w:szCs w:val="18"/>
                <w:u w:val="single" w:color="auto"/>
                <w:color w:val="0000EE"/>
                <w:w w:val="79"/>
              </w:rPr>
            </w:pPr>
            <w:hyperlink w:anchor="page13">
              <w:r>
                <w:rPr>
                  <w:rFonts w:ascii="Arial" w:cs="Arial" w:eastAsia="Arial" w:hAnsi="Arial"/>
                  <w:sz w:val="18"/>
                  <w:szCs w:val="18"/>
                  <w:u w:val="single" w:color="auto"/>
                  <w:color w:val="0000EE"/>
                  <w:w w:val="79"/>
                </w:rPr>
                <w:t>8</w:t>
              </w:r>
            </w:hyperlink>
          </w:p>
        </w:tc>
        <w:tc>
          <w:tcPr>
            <w:tcW w:w="380" w:type="dxa"/>
            <w:vAlign w:val="bottom"/>
            <w:shd w:val="clear" w:color="auto" w:fill="CCEEFF"/>
          </w:tcPr>
          <w:p>
            <w:pPr>
              <w:spacing w:after="0"/>
              <w:rPr>
                <w:sz w:val="19"/>
                <w:szCs w:val="19"/>
                <w:color w:val="auto"/>
              </w:rPr>
            </w:pPr>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PLAN OF DISTRIBUTION</w:t>
              </w:r>
            </w:hyperlink>
          </w:p>
        </w:tc>
        <w:tc>
          <w:tcPr>
            <w:tcW w:w="600" w:type="dxa"/>
            <w:vAlign w:val="bottom"/>
            <w:gridSpan w:val="2"/>
          </w:tcPr>
          <w:p>
            <w:pPr>
              <w:jc w:val="center"/>
              <w:ind w:left="150"/>
              <w:spacing w:after="0"/>
              <w:rPr>
                <w:rFonts w:ascii="Arial" w:cs="Arial" w:eastAsia="Arial" w:hAnsi="Arial"/>
                <w:sz w:val="18"/>
                <w:szCs w:val="18"/>
                <w:u w:val="single" w:color="auto"/>
                <w:color w:val="0000EE"/>
                <w:w w:val="79"/>
              </w:rPr>
            </w:pPr>
            <w:hyperlink w:anchor="page14">
              <w:r>
                <w:rPr>
                  <w:rFonts w:ascii="Arial" w:cs="Arial" w:eastAsia="Arial" w:hAnsi="Arial"/>
                  <w:sz w:val="18"/>
                  <w:szCs w:val="18"/>
                  <w:u w:val="single" w:color="auto"/>
                  <w:color w:val="0000EE"/>
                  <w:w w:val="79"/>
                </w:rPr>
                <w:t>9</w:t>
              </w:r>
            </w:hyperlink>
          </w:p>
        </w:tc>
        <w:tc>
          <w:tcPr>
            <w:tcW w:w="380" w:type="dxa"/>
            <w:vAlign w:val="bottom"/>
          </w:tcPr>
          <w:p>
            <w:pPr>
              <w:spacing w:after="0"/>
              <w:rPr>
                <w:sz w:val="19"/>
                <w:szCs w:val="19"/>
                <w:color w:val="auto"/>
              </w:rPr>
            </w:pPr>
          </w:p>
        </w:tc>
      </w:tr>
      <w:tr>
        <w:trPr>
          <w:trHeight w:val="229"/>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DESCRIPTION OF COMMON STOCK</w:t>
              </w:r>
            </w:hyperlink>
          </w:p>
        </w:tc>
        <w:tc>
          <w:tcPr>
            <w:tcW w:w="600" w:type="dxa"/>
            <w:vAlign w:val="bottom"/>
            <w:gridSpan w:val="2"/>
            <w:shd w:val="clear" w:color="auto" w:fill="CCEEFF"/>
          </w:tcPr>
          <w:p>
            <w:pPr>
              <w:jc w:val="center"/>
              <w:ind w:left="150"/>
              <w:spacing w:after="0"/>
              <w:rPr>
                <w:rFonts w:ascii="Arial" w:cs="Arial" w:eastAsia="Arial" w:hAnsi="Arial"/>
                <w:sz w:val="18"/>
                <w:szCs w:val="18"/>
                <w:u w:val="single" w:color="auto"/>
                <w:color w:val="0000EE"/>
                <w:w w:val="79"/>
              </w:rPr>
            </w:pPr>
            <w:hyperlink w:anchor="page16">
              <w:r>
                <w:rPr>
                  <w:rFonts w:ascii="Arial" w:cs="Arial" w:eastAsia="Arial" w:hAnsi="Arial"/>
                  <w:sz w:val="18"/>
                  <w:szCs w:val="18"/>
                  <w:u w:val="single" w:color="auto"/>
                  <w:color w:val="0000EE"/>
                  <w:w w:val="79"/>
                </w:rPr>
                <w:t>11</w:t>
              </w:r>
            </w:hyperlink>
          </w:p>
        </w:tc>
        <w:tc>
          <w:tcPr>
            <w:tcW w:w="380" w:type="dxa"/>
            <w:vAlign w:val="bottom"/>
            <w:shd w:val="clear" w:color="auto" w:fill="CCEEFF"/>
          </w:tcPr>
          <w:p>
            <w:pPr>
              <w:spacing w:after="0"/>
              <w:rPr>
                <w:sz w:val="19"/>
                <w:szCs w:val="19"/>
                <w:color w:val="auto"/>
              </w:rPr>
            </w:pPr>
          </w:p>
        </w:tc>
      </w:tr>
      <w:tr>
        <w:trPr>
          <w:trHeight w:val="230"/>
        </w:trPr>
        <w:tc>
          <w:tcPr>
            <w:tcW w:w="1026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PREFERRED STOCK</w:t>
              </w:r>
            </w:hyperlink>
          </w:p>
        </w:tc>
        <w:tc>
          <w:tcPr>
            <w:tcW w:w="600" w:type="dxa"/>
            <w:vAlign w:val="bottom"/>
            <w:gridSpan w:val="2"/>
          </w:tcPr>
          <w:p>
            <w:pPr>
              <w:jc w:val="center"/>
              <w:ind w:left="130"/>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13</w:t>
              </w:r>
            </w:hyperlink>
          </w:p>
        </w:tc>
        <w:tc>
          <w:tcPr>
            <w:tcW w:w="380" w:type="dxa"/>
            <w:vAlign w:val="bottom"/>
          </w:tcPr>
          <w:p>
            <w:pPr>
              <w:spacing w:after="0"/>
              <w:rPr>
                <w:sz w:val="19"/>
                <w:szCs w:val="19"/>
                <w:color w:val="auto"/>
              </w:rPr>
            </w:pPr>
          </w:p>
        </w:tc>
      </w:tr>
      <w:tr>
        <w:trPr>
          <w:trHeight w:val="229"/>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DEBT SECURITIES</w:t>
              </w:r>
            </w:hyperlink>
          </w:p>
        </w:tc>
        <w:tc>
          <w:tcPr>
            <w:tcW w:w="600" w:type="dxa"/>
            <w:vAlign w:val="bottom"/>
            <w:gridSpan w:val="2"/>
            <w:shd w:val="clear" w:color="auto" w:fill="CCEEFF"/>
          </w:tcPr>
          <w:p>
            <w:pPr>
              <w:jc w:val="center"/>
              <w:ind w:left="130"/>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15</w:t>
              </w:r>
            </w:hyperlink>
          </w:p>
        </w:tc>
        <w:tc>
          <w:tcPr>
            <w:tcW w:w="380" w:type="dxa"/>
            <w:vAlign w:val="bottom"/>
            <w:shd w:val="clear" w:color="auto" w:fill="CCEEFF"/>
          </w:tcPr>
          <w:p>
            <w:pPr>
              <w:spacing w:after="0"/>
              <w:rPr>
                <w:sz w:val="19"/>
                <w:szCs w:val="19"/>
                <w:color w:val="auto"/>
              </w:rPr>
            </w:pPr>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WARRANTS</w:t>
              </w:r>
            </w:hyperlink>
          </w:p>
        </w:tc>
        <w:tc>
          <w:tcPr>
            <w:tcW w:w="600" w:type="dxa"/>
            <w:vAlign w:val="bottom"/>
            <w:gridSpan w:val="2"/>
          </w:tcPr>
          <w:p>
            <w:pPr>
              <w:jc w:val="center"/>
              <w:ind w:left="130"/>
              <w:spacing w:after="0"/>
              <w:rPr>
                <w:rFonts w:ascii="Arial" w:cs="Arial" w:eastAsia="Arial" w:hAnsi="Arial"/>
                <w:sz w:val="18"/>
                <w:szCs w:val="18"/>
                <w:u w:val="single" w:color="auto"/>
                <w:color w:val="0000EE"/>
                <w:w w:val="89"/>
              </w:rPr>
            </w:pPr>
            <w:hyperlink w:anchor="page25">
              <w:r>
                <w:rPr>
                  <w:rFonts w:ascii="Arial" w:cs="Arial" w:eastAsia="Arial" w:hAnsi="Arial"/>
                  <w:sz w:val="18"/>
                  <w:szCs w:val="18"/>
                  <w:u w:val="single" w:color="auto"/>
                  <w:color w:val="0000EE"/>
                  <w:w w:val="89"/>
                </w:rPr>
                <w:t>20</w:t>
              </w:r>
            </w:hyperlink>
          </w:p>
        </w:tc>
        <w:tc>
          <w:tcPr>
            <w:tcW w:w="380" w:type="dxa"/>
            <w:vAlign w:val="bottom"/>
          </w:tcPr>
          <w:p>
            <w:pPr>
              <w:spacing w:after="0"/>
              <w:rPr>
                <w:sz w:val="19"/>
                <w:szCs w:val="19"/>
                <w:color w:val="auto"/>
              </w:rPr>
            </w:pPr>
          </w:p>
        </w:tc>
      </w:tr>
      <w:tr>
        <w:trPr>
          <w:trHeight w:val="230"/>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DESCRIPTION OF RIGHTS</w:t>
              </w:r>
            </w:hyperlink>
          </w:p>
        </w:tc>
        <w:tc>
          <w:tcPr>
            <w:tcW w:w="600" w:type="dxa"/>
            <w:vAlign w:val="bottom"/>
            <w:gridSpan w:val="2"/>
            <w:shd w:val="clear" w:color="auto" w:fill="CCEEFF"/>
          </w:tcPr>
          <w:p>
            <w:pPr>
              <w:jc w:val="center"/>
              <w:ind w:left="130"/>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21</w:t>
              </w:r>
            </w:hyperlink>
          </w:p>
        </w:tc>
        <w:tc>
          <w:tcPr>
            <w:tcW w:w="380" w:type="dxa"/>
            <w:vAlign w:val="bottom"/>
            <w:shd w:val="clear" w:color="auto" w:fill="CCEEFF"/>
          </w:tcPr>
          <w:p>
            <w:pPr>
              <w:spacing w:after="0"/>
              <w:rPr>
                <w:sz w:val="19"/>
                <w:szCs w:val="19"/>
                <w:color w:val="auto"/>
              </w:rPr>
            </w:pPr>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UNITS</w:t>
              </w:r>
            </w:hyperlink>
          </w:p>
        </w:tc>
        <w:tc>
          <w:tcPr>
            <w:tcW w:w="600" w:type="dxa"/>
            <w:vAlign w:val="bottom"/>
            <w:gridSpan w:val="2"/>
          </w:tcPr>
          <w:p>
            <w:pPr>
              <w:jc w:val="center"/>
              <w:ind w:left="130"/>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22</w:t>
              </w:r>
            </w:hyperlink>
          </w:p>
        </w:tc>
        <w:tc>
          <w:tcPr>
            <w:tcW w:w="380" w:type="dxa"/>
            <w:vAlign w:val="bottom"/>
          </w:tcPr>
          <w:p>
            <w:pPr>
              <w:spacing w:after="0"/>
              <w:rPr>
                <w:sz w:val="19"/>
                <w:szCs w:val="19"/>
                <w:color w:val="auto"/>
              </w:rPr>
            </w:pPr>
          </w:p>
        </w:tc>
      </w:tr>
      <w:tr>
        <w:trPr>
          <w:trHeight w:val="230"/>
        </w:trPr>
        <w:tc>
          <w:tcPr>
            <w:tcW w:w="10260" w:type="dxa"/>
            <w:vAlign w:val="bottom"/>
            <w:shd w:val="clear" w:color="auto" w:fill="CCEEFF"/>
          </w:tcPr>
          <w:p>
            <w:pPr>
              <w:spacing w:after="0"/>
              <w:rPr>
                <w:rFonts w:ascii="Arial" w:cs="Arial" w:eastAsia="Arial" w:hAnsi="Arial"/>
                <w:sz w:val="18"/>
                <w:szCs w:val="18"/>
                <w:u w:val="single" w:color="auto"/>
                <w:color w:val="0000EE"/>
                <w:w w:val="98"/>
              </w:rPr>
            </w:pPr>
            <w:hyperlink w:anchor="page28">
              <w:r>
                <w:rPr>
                  <w:rFonts w:ascii="Arial" w:cs="Arial" w:eastAsia="Arial" w:hAnsi="Arial"/>
                  <w:sz w:val="18"/>
                  <w:szCs w:val="18"/>
                  <w:u w:val="single" w:color="auto"/>
                  <w:color w:val="0000EE"/>
                  <w:w w:val="98"/>
                </w:rPr>
                <w:t>CERTAIN PROVISIONS OF DELAWARE LAW AND OF THE COMPANY’S CERTIFICATE OF INCORPORATION AND BYLAWS</w:t>
              </w:r>
            </w:hyperlink>
          </w:p>
        </w:tc>
        <w:tc>
          <w:tcPr>
            <w:tcW w:w="600" w:type="dxa"/>
            <w:vAlign w:val="bottom"/>
            <w:gridSpan w:val="2"/>
            <w:shd w:val="clear" w:color="auto" w:fill="CCEEFF"/>
          </w:tcPr>
          <w:p>
            <w:pPr>
              <w:jc w:val="center"/>
              <w:ind w:left="130"/>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23</w:t>
              </w:r>
            </w:hyperlink>
          </w:p>
        </w:tc>
        <w:tc>
          <w:tcPr>
            <w:tcW w:w="380" w:type="dxa"/>
            <w:vAlign w:val="bottom"/>
            <w:shd w:val="clear" w:color="auto" w:fill="CCEEFF"/>
          </w:tcPr>
          <w:p>
            <w:pPr>
              <w:spacing w:after="0"/>
              <w:rPr>
                <w:sz w:val="19"/>
                <w:szCs w:val="19"/>
                <w:color w:val="auto"/>
              </w:rPr>
            </w:pPr>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MATTERS</w:t>
              </w:r>
            </w:hyperlink>
          </w:p>
        </w:tc>
        <w:tc>
          <w:tcPr>
            <w:tcW w:w="600" w:type="dxa"/>
            <w:vAlign w:val="bottom"/>
            <w:gridSpan w:val="2"/>
          </w:tcPr>
          <w:p>
            <w:pPr>
              <w:jc w:val="center"/>
              <w:ind w:left="13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24</w:t>
              </w:r>
            </w:hyperlink>
          </w:p>
        </w:tc>
        <w:tc>
          <w:tcPr>
            <w:tcW w:w="380" w:type="dxa"/>
            <w:vAlign w:val="bottom"/>
          </w:tcPr>
          <w:p>
            <w:pPr>
              <w:spacing w:after="0"/>
              <w:rPr>
                <w:sz w:val="19"/>
                <w:szCs w:val="19"/>
                <w:color w:val="auto"/>
              </w:rPr>
            </w:pPr>
          </w:p>
        </w:tc>
      </w:tr>
      <w:tr>
        <w:trPr>
          <w:trHeight w:val="229"/>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EXPERTS</w:t>
              </w:r>
            </w:hyperlink>
          </w:p>
        </w:tc>
        <w:tc>
          <w:tcPr>
            <w:tcW w:w="600" w:type="dxa"/>
            <w:vAlign w:val="bottom"/>
            <w:gridSpan w:val="2"/>
            <w:shd w:val="clear" w:color="auto" w:fill="CCEEFF"/>
          </w:tcPr>
          <w:p>
            <w:pPr>
              <w:jc w:val="center"/>
              <w:ind w:left="13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24</w:t>
              </w:r>
            </w:hyperlink>
          </w:p>
        </w:tc>
        <w:tc>
          <w:tcPr>
            <w:tcW w:w="380" w:type="dxa"/>
            <w:vAlign w:val="bottom"/>
            <w:shd w:val="clear" w:color="auto" w:fill="CCEEFF"/>
          </w:tcPr>
          <w:p>
            <w:pPr>
              <w:spacing w:after="0"/>
              <w:rPr>
                <w:sz w:val="19"/>
                <w:szCs w:val="19"/>
                <w:color w:val="auto"/>
              </w:rPr>
            </w:pPr>
          </w:p>
        </w:tc>
      </w:tr>
      <w:tr>
        <w:trPr>
          <w:trHeight w:val="230"/>
        </w:trPr>
        <w:tc>
          <w:tcPr>
            <w:tcW w:w="102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WHERE YOU CAN FIND MORE INFORMATION</w:t>
              </w:r>
            </w:hyperlink>
          </w:p>
        </w:tc>
        <w:tc>
          <w:tcPr>
            <w:tcW w:w="600" w:type="dxa"/>
            <w:vAlign w:val="bottom"/>
            <w:gridSpan w:val="2"/>
          </w:tcPr>
          <w:p>
            <w:pPr>
              <w:jc w:val="center"/>
              <w:ind w:left="13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24</w:t>
              </w:r>
            </w:hyperlink>
          </w:p>
        </w:tc>
        <w:tc>
          <w:tcPr>
            <w:tcW w:w="380" w:type="dxa"/>
            <w:vAlign w:val="bottom"/>
          </w:tcPr>
          <w:p>
            <w:pPr>
              <w:spacing w:after="0"/>
              <w:rPr>
                <w:sz w:val="19"/>
                <w:szCs w:val="19"/>
                <w:color w:val="auto"/>
              </w:rPr>
            </w:pPr>
          </w:p>
        </w:tc>
      </w:tr>
      <w:tr>
        <w:trPr>
          <w:trHeight w:val="229"/>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INCORPORATION OF CERTAIN DOCUMENTS BY REFERENCE</w:t>
              </w:r>
            </w:hyperlink>
          </w:p>
        </w:tc>
        <w:tc>
          <w:tcPr>
            <w:tcW w:w="600" w:type="dxa"/>
            <w:vAlign w:val="bottom"/>
            <w:gridSpan w:val="2"/>
            <w:shd w:val="clear" w:color="auto" w:fill="CCEEFF"/>
          </w:tcPr>
          <w:p>
            <w:pPr>
              <w:jc w:val="center"/>
              <w:ind w:left="130"/>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25</w:t>
              </w:r>
            </w:hyperlink>
          </w:p>
        </w:tc>
        <w:tc>
          <w:tcPr>
            <w:tcW w:w="3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$200,000,000.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00" w:lineRule="exact"/>
        <w:rPr>
          <w:sz w:val="20"/>
          <w:szCs w:val="20"/>
          <w:color w:val="auto"/>
        </w:rPr>
      </w:pPr>
    </w:p>
    <w:p>
      <w:pPr>
        <w:spacing w:after="0" w:line="24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Group, Inc. (“XpresSpa” or the “Company”) is a pure-play health and wellness services company and a leading airport retailer of spa services. XpresSpa offers travelers premium spa services, including massage, nail and skin care, as well as spa and travel products. We currently have one operating segment that is also our sole reporting unit.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launched XpresCheck™ brand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22, 2020, we announced the signing of a contract with JFK International Air Terminal LLC (“JFKIAT”) to pilot test our concept of providing diagnostic COVID-19 tests in Terminal 4. To facilitate the JFK pilot test, we signed an agreement with JFKIAT for a new modular constructed testing facility within the terminal that will host nine separate testing rooms with a capacity to administer over 500 tests per day. We intend to initially offer our services to airline employees, contractors and workers, concessionaires and their employees, TSA officers, and U.S. Customs and Border Protection agents. All COVID-19 screening and testing will be conducted by a newly launched brand, XpresCheck™, which will operate under our XpresTest subsidiary. The pilot test at JFK launched on June 22,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11, 2020, we effected a one-for-three reverse stock split, whereby every three shares of our Common Stock was reduced to one share of our Common Stock and the price per share of our Common Stock was multiplied by 3</w:t>
      </w:r>
      <w:r>
        <w:rPr>
          <w:rFonts w:ascii="Arial" w:cs="Arial" w:eastAsia="Arial" w:hAnsi="Arial"/>
          <w:sz w:val="18"/>
          <w:szCs w:val="18"/>
          <w:b w:val="1"/>
          <w:bCs w:val="1"/>
          <w:color w:val="auto"/>
        </w:rPr>
        <w:t>.</w:t>
      </w:r>
      <w:r>
        <w:rPr>
          <w:rFonts w:ascii="Arial" w:cs="Arial" w:eastAsia="Arial" w:hAnsi="Arial"/>
          <w:sz w:val="18"/>
          <w:szCs w:val="18"/>
          <w:color w:val="auto"/>
        </w:rPr>
        <w:t xml:space="preserve"> All references to shares and per share amounts have been adjusted to reflect the reverse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Coronavirus on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11, 2020, the World Health Organization declared the outbreak of COVID-19, which continues to spread throughout the U.S. and the world, as a pandemic. The outbreak has had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that have been implemented have had a material adverse impact on our business and cash flow from operations, similar to many businesses in the travel sector.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March 24, 2020, we temporarily closed all global spa locations, largely due to the categorization of the spa locations by local jurisdictions as “non-essential services”. Substantially all of our spa locations remain closed. We intend to strategically reopen our spa locations and resume normal operations once restrictions are lifted and airport traffic returns to sufficient levels to support our operations.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impact of COVID-19 is unknown and may continue as the rates of infection have increased in many states in the U.S., thus additional restrictive measures may be necessary. As a result, management has concluded that there was a long-lived asset impairment triggering event during the first quarter of 2020, which would require management to perform an impairment evaluation of our long-lived and definite-lived asset balances, consisting primarily of leasehold improvements at spa locations, trademarks and right of use lease assets of approximately $21,891 as of March 31, 2020. As a result of the triggering event, we reassessed our projections and based on management’s expectation of resuming normal operations, no impairment was indicated at this time. The full extent to which COVID-19 will impact our results will depend on future developments, which are highly uncertain and cannot be predicted, including new information which may emerge concerning the severity of the virus and the actions to contain or treat its impact.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7"/>
          <w:szCs w:val="17"/>
          <w:color w:val="auto"/>
        </w:rPr>
        <w:t>The impact of the COVID-19 pandemic could continue to have a material adverse effect on our core XpresSpa business, results of operations, financial condition, liquidity and prospects in the near-term and beyond 2020. While management has used all currently available information in our forecasts, the ultimate impact of the COVID-19 pandemic and our newly launched brand, XpresCheck, on our results of operations, financial condition and cash flows is highly uncertain, and cannot currently be accurately predicted. Our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our newly launched brand, XpresCheck, could also have a material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Airport Rent Concessions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received rent concessions from landlords on a majority of our leases, allowing for the relief of minimum guaranteed payments in exchange for percentage-of-revenue rent or providing relief from rent in excess of minimum guaranteed amounts where percentage-of-revenue rent exceeds the minimum. Currently, the period of relief from these payments range from three- to ten-months beginning in March 2020. We did not pay a total of approximately $75,000 in rent in March 2020 as a result of receiving these concessions for the month in which we began closing our spa locations. We will realize additional savings in rent expense going forward since we closed all of our spas on March 24, 2020, and therefore there will be no percentage-of-revenue rent. We also received deferrals on unpaid rent for three to six months on certain of our leases.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19, 2020, we entered into separate Warrant Exchange Agreements (the “March Exchange Agreements”) with the holders of certain existing warrants (the “March Exchanged Warrants”) to exchange warrants for shares of our Common Stock, subject to receipt of the approval of our stockholders, which was obtained on May 28, 2020. The March Exchanged Warrants were originally issued (i) pursuant to a securities purchase agreement, dated as of May 15, 2018, and in connection with a related consent and (ii) in connection with that certain Agreement and Plan of Merger by and among us (formerly known as FORM Holdings Corp.), FHXMS, LLC, XpresSpa Holdings, LLC and Mistral XH Representative, LLC, as representative of the unitholders, dated October 25, 2016, as subsequently amended. Pursuant to the March Exchange Agreements, the holders exchanged 1,942,131 of the March Exchanged Warrants for an aggregate of 2,913,197 shares of our Common Stock.</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4, 2020, we entered into a Warrant Exchange Agreement (the “June Exchange Agreement”) with the holder of certain existing warrants (the “June Exchanged Warrants”) to exchange the June Exchanged Warrants for shares of our Common Stock. The June Exchanged Warrants were acquired pursuant to a separately negotiated private transaction between the holder and Calm. In June 2020, pursuant to the June Exchange Agreement, on the closing date the holder exchanged 1,374,750 of the June Exchanged Warrants for an aggregate of 2,062,125 shares of our Common Stock.</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Credit Cash Funding Advance</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January 9, 2020, certain of our wholly-owned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$1,000,000 for aggregate fees of $160,000 for a total repayment amount of $1,160,000. As of March 31, 2020, the outstanding repayment amount of approximately $910,000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we repaid $733,903.34 owed under the</w:t>
      </w:r>
    </w:p>
    <w:p>
      <w:pPr>
        <w:spacing w:after="0" w:line="4" w:lineRule="exact"/>
        <w:rPr>
          <w:sz w:val="20"/>
          <w:szCs w:val="20"/>
          <w:color w:val="auto"/>
        </w:rPr>
      </w:pPr>
    </w:p>
    <w:p>
      <w:pPr>
        <w:ind w:right="20" w:firstLine="8"/>
        <w:spacing w:after="0" w:line="260" w:lineRule="auto"/>
        <w:tabs>
          <w:tab w:leader="none" w:pos="293" w:val="left"/>
        </w:tabs>
        <w:numPr>
          <w:ilvl w:val="0"/>
          <w:numId w:val="2"/>
        </w:numPr>
        <w:rPr>
          <w:rFonts w:ascii="Arial" w:cs="Arial" w:eastAsia="Arial" w:hAnsi="Arial"/>
          <w:sz w:val="18"/>
          <w:szCs w:val="18"/>
          <w:color w:val="auto"/>
        </w:rPr>
      </w:pPr>
      <w:r>
        <w:rPr>
          <w:rFonts w:ascii="Arial" w:cs="Arial" w:eastAsia="Arial" w:hAnsi="Arial"/>
          <w:sz w:val="18"/>
          <w:szCs w:val="18"/>
          <w:color w:val="auto"/>
        </w:rPr>
        <w:t>Agreement as of June 1, 2020 and the CC Lender released all security interests held on the assets of the CC Borrowers, including the CC Borrowers’ existing and future accounts receivables and other rights to payment.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compensation for the consent of existing creditor B3D to the CC Agreement described above, on January 9, 2020, XpresSpa Holdings, LLC (“XpresSpa Holdings”), a wholly-owned subsidiary, entered into a fifth amendment (the “Fifth Credit Agreement Amendment”) to our existing credit agreement with B3D in order to, among other provisions, (i) amend and restate our existing B3D Note in order to increase the principal amount owed to B3D from $7,000,000 to $7,150,000, which additional $150,000 in principal and any interest accrued thereon will become convertible, at B3D’s option, into shares of our Common Stock subject to upon receipt of the approval of our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B3D Senior Secured Loan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6, 2020, XpresSpa Holdings, LLC, our wholly-owned subsidiary, entered into a sixth amendment (the “Sixth Credit Agreement Amendment”) to our existing credit agreement with B3D. In connection with the Sixth Credit Agreement Amendment and B3D Note, B3D agreed to provide us with $500,000 in additional funding and to submit one or more conversion notices to convert an aggregate of $375,000 in principal under the B3D Note to Common Stock on or prior to March 27, 2020. XpresSpa Holdings entered into the Credit Agreement Amendment in order to, among other provisions,</w:t>
      </w:r>
    </w:p>
    <w:p>
      <w:pPr>
        <w:spacing w:after="0" w:line="1" w:lineRule="exact"/>
        <w:rPr>
          <w:sz w:val="20"/>
          <w:szCs w:val="20"/>
          <w:color w:val="auto"/>
        </w:rPr>
      </w:pPr>
    </w:p>
    <w:p>
      <w:pPr>
        <w:jc w:val="both"/>
        <w:ind w:firstLine="8"/>
        <w:spacing w:after="0" w:line="252"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 and restate our existing convertible promissory note with B3D in order to increase the principal amount owed from $7,150,000 to $7,900,000, which additional $750,000 in principal and any interest accrued thereon will be convertible, at B3D’s option, into shares of Common Stock subject to receipt of the approval of our stockholders, which was approved on May 28, 2020, and (ii) decrease the conversion rate under the B3D Note from $6.00 per share to $1.68 per share. On March 19, 2020, the conversion rate was reduced to $0.525 per share after giving effect to certain anti-dilution adjustments. In connection with the Sixth Credit Agreement Amendment, B3D converted a total of $750,000 in principal and was issued a total of 446,429 shares of our Common Stock in March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Common Stock Offerings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2020, we entered into a securities purchase agreement with certain purchasers, pursuant to which we issued and sold, in a registered direct offering, (i) 1,396,281 shares of our Common Stock at an offering price of $0.525 per share and (ii) an aggregate of 698,958 pre-funded warrants exercisable for shares of Common Stock at an offering price of $0.495 per pre-funded warrant.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25, 2020, we entered into a securities purchase agreement with certain purchasers, pursuant to which we issued and sold, in a registered direct offering, (i) 2,483,333 shares of Common Stock at an offering price of $0.60 per share and (ii) an aggregate of 500,000 pre-funded warrants exercisable for shares of Common Stock at an offering price of $0.57 per pre-funded warrant.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we entered into a securities purchase agreement with certain purchasers, pursuant to which we issued and sold, in a registered direct offering (i) 2,631,666 shares of Common Stock at an offering price of $0.60 per share and (ii) an aggregate of 701,666 pre-funded warrants exercisable for shares of Common Stock at an offering price of $0.57 per pre-funded warrant.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sold a total of 6,511,280 shares of Common Stock and 1,900,625 of pre-funded warrants and received total proceeds of approximately $4,200,000, net of financial advisory and consulting fees, in the above offerings. During the three months ended March 31, 2020, 1,698,959 pre-funded warrants were exercised for total proceeds of approximately $490,000. As of March 31, 2020, 201,666 pre-funded warrants to purchase Common Stock were unexercised and remained outstanding.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On April 6, 2020, we entered into a securities purchase agreement with certain purchasers, pursuant to which we issued and sold, in a registered direct offering (i) 4,049,573 shares of Common Stock at an offering price of $0.66 per share and (ii) an aggregate of 485,151 pre-funded warrants exercisable for shares of Common Stock at an offering price of $0.63 per pre-funded warrant.</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17, 2020, we entered into a securities purchase agreement with certain purchasers, pursuant to which we agreed to issue and sell 7,614,700 shares of Common Stock at an offering price of $5.253 per share (the “Registered Offering”). In a concurrent private placement (the “Private Placement” and together with the Registered Offering, the “Offerings”), we agreed to issue to the purchasers who participated in the Registered Offering warrants (the “Private Warrants”) exercisable for an aggregate of 7,614,700 shares of Common Stock at an exercise price of $5.25 per share. Each Private Warrant is immediately exercisable and expires 21 months from the issuance date. The Private Warrants and the shares of Common Stock issuable upon the exercise of the Private Warrants are not registered under the Securities Act, were not offered pursuant to a registration statement and were offered pursuant to the exemption provided in Section 4(a)(2) under the Securities Act, and Rule 506(b) promulgated thereunder. The Offerings closed on June 19, 2020 and we received gross proceeds of approximately $40,000,000 before deducting placement agent fees and related offering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 2020, we entered into a U.S. Small Business Administration (“SBA”) Paycheck Protection Program (“PPP”) promissory note in the principal amount of $5,653,000 payable to Bank of America, NA (the “Bank of America”) evidencing a PPP loan (the “PPP Loan”). The PPP Loan bears interest at a rate of 1% per annum. No payments will be due on the PPP Loan during a six-month deferral period commencing on May 2, 2020. Commencing one month after the expiration of the deferral period, and continuing on the same day of each month thereafter until the maturity date of the PPP Loan, we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our request to the extent that PPP Loan proceeds are used to pay expenses permitted by the PPP. Bank of America may forgive interest accrued on any principal forgiven if the SBA pays the interest.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annual report on Form 10-K for the year ended December 31, 2019, as amended, and our quarterly report on Form 10-Q for the quarter ended March 31, 2020,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2019, as amended, and our quarterly report on Form 10-Q for the quarter ended March 31, 2020,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operating history in the diagnostic testing industry and the risks associated with novel coronavirus COVID-19 XpresCheck testing locations;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328" w:right="6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328" w:right="6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performance by our Airport Concession Disadvantaged Business Enterprise partners on obligations set forth in our joint venture agreements;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328" w:right="4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compliance with laws and regulations in the jurisdictions in which we do business and any changes in such laws and regulations;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00" w:lineRule="exact"/>
        <w:rPr>
          <w:sz w:val="20"/>
          <w:szCs w:val="20"/>
          <w:color w:val="auto"/>
        </w:rPr>
      </w:pPr>
    </w:p>
    <w:p>
      <w:pPr>
        <w:spacing w:after="0" w:line="241"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8"/>
          </w:cols>
          <w:pgMar w:left="652" w:top="908" w:right="679" w:bottom="1440" w:gutter="0" w:footer="0" w:header="0"/>
        </w:sectPr>
      </w:pPr>
    </w:p>
    <w:bookmarkStart w:id="11" w:name="page12"/>
    <w:bookmarkEnd w:id="11"/>
    <w:p>
      <w:pPr>
        <w:spacing w:after="0" w:line="288"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amended,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6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right="40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authorized to issue 150,000,000 shares of common stock, par value $0.01 per share. As of July 20, 2020, we had 56,725,580 shares of common stock outstanding and approximately 101 stockholders of record. The number of shares of common stock outstanding gives effect to our recently completed sale of 7,614,700 shares of common stock in a registered direct offering (the “Direct Offering” pursuant to a Securities Purchase Agreement (the “Purchase Agreement”) with certain purchasers named therein, but excludes, in each case as of July 20, 2020 except as otherwise indicated below:</w:t>
      </w:r>
    </w:p>
    <w:p>
      <w:pPr>
        <w:spacing w:after="0" w:line="157" w:lineRule="exact"/>
        <w:rPr>
          <w:sz w:val="20"/>
          <w:szCs w:val="20"/>
          <w:color w:val="auto"/>
        </w:rPr>
      </w:pPr>
    </w:p>
    <w:p>
      <w:pPr>
        <w:ind w:left="580" w:hanging="19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1,484,286 shares of common stock issuable upon the conversion of indebtedness outstanding as of such date;</w:t>
      </w:r>
    </w:p>
    <w:p>
      <w:pPr>
        <w:spacing w:after="0" w:line="225" w:lineRule="exact"/>
        <w:rPr>
          <w:rFonts w:ascii="Arial" w:cs="Arial" w:eastAsia="Arial" w:hAnsi="Arial"/>
          <w:sz w:val="18"/>
          <w:szCs w:val="18"/>
          <w:color w:val="auto"/>
        </w:rPr>
      </w:pPr>
    </w:p>
    <w:p>
      <w:pPr>
        <w:ind w:left="580" w:hanging="190"/>
        <w:spacing w:after="0" w:line="342"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124,422 shares of common stock issuable upon the exercise of common stock warrants outstanding as of such date at a weighted average exercise price of $0.525 per share (not including the warrants issued concurrently with, or to the placement agent in connection with, the Direct Offering);</w:t>
      </w:r>
    </w:p>
    <w:p>
      <w:pPr>
        <w:spacing w:after="0" w:line="123" w:lineRule="exact"/>
        <w:rPr>
          <w:rFonts w:ascii="Arial" w:cs="Arial" w:eastAsia="Arial" w:hAnsi="Arial"/>
          <w:sz w:val="16"/>
          <w:szCs w:val="16"/>
          <w:color w:val="auto"/>
        </w:rPr>
      </w:pPr>
    </w:p>
    <w:p>
      <w:pPr>
        <w:ind w:left="580" w:hanging="190"/>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670,964 shares of common stock issuable upon the exercise of stock options at a weighted average exercise price of $20.32 per share;</w:t>
      </w:r>
    </w:p>
    <w:p>
      <w:pPr>
        <w:spacing w:after="0" w:line="236" w:lineRule="exact"/>
        <w:rPr>
          <w:rFonts w:ascii="Arial" w:cs="Arial" w:eastAsia="Arial" w:hAnsi="Arial"/>
          <w:sz w:val="17"/>
          <w:szCs w:val="17"/>
          <w:color w:val="auto"/>
        </w:rPr>
      </w:pPr>
    </w:p>
    <w:p>
      <w:pPr>
        <w:ind w:left="580" w:right="20" w:hanging="190"/>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117,051 shares of common stock available for future issuance under the 2012 Employee, Director and Consultant Equity Incentive Plan, as amended;</w:t>
      </w:r>
    </w:p>
    <w:p>
      <w:pPr>
        <w:spacing w:after="0" w:line="170" w:lineRule="exact"/>
        <w:rPr>
          <w:rFonts w:ascii="Arial" w:cs="Arial" w:eastAsia="Arial" w:hAnsi="Arial"/>
          <w:sz w:val="18"/>
          <w:szCs w:val="18"/>
          <w:color w:val="auto"/>
        </w:rPr>
      </w:pPr>
    </w:p>
    <w:p>
      <w:pPr>
        <w:ind w:left="580" w:hanging="190"/>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7,614,700 shares of common stock issuable upon exercise of the warrants issued in the private placement completed concurrently with the Direct Offering, with an exercise price of $5.25 per share;</w:t>
      </w:r>
    </w:p>
    <w:p>
      <w:pPr>
        <w:spacing w:after="0" w:line="170" w:lineRule="exact"/>
        <w:rPr>
          <w:rFonts w:ascii="Arial" w:cs="Arial" w:eastAsia="Arial" w:hAnsi="Arial"/>
          <w:sz w:val="18"/>
          <w:szCs w:val="18"/>
          <w:color w:val="auto"/>
        </w:rPr>
      </w:pPr>
    </w:p>
    <w:p>
      <w:pPr>
        <w:ind w:left="580" w:right="20" w:hanging="190"/>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609,176 shares of common stock issuable upon exercise of the placement agent warrants with an exercise price of $6.56625 per share issued to the placement agent as compensation in connection with the Direct Offering; and</w:t>
      </w:r>
    </w:p>
    <w:p>
      <w:pPr>
        <w:spacing w:after="0" w:line="170" w:lineRule="exact"/>
        <w:rPr>
          <w:rFonts w:ascii="Arial" w:cs="Arial" w:eastAsia="Arial" w:hAnsi="Arial"/>
          <w:sz w:val="18"/>
          <w:szCs w:val="18"/>
          <w:color w:val="auto"/>
        </w:rPr>
      </w:pPr>
    </w:p>
    <w:p>
      <w:pPr>
        <w:ind w:left="580" w:right="20" w:hanging="190"/>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133,258 shares of our common stock issuable upon the exercise of warrants with an exercise price of $5.25 per share issued to the placement agent as compensation in connection with the Direct Offering.</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of the numbers above and in this prospectus give effect to a 1-for-3 reverse stock split we effected on June 11, 2020, whereby every three shares of our common stock became one share of our common stock.</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any preferential rights of any then outstanding series of preferred stock. Holders of our common stock have no preemptive, subscription, redemption or conversion rights. There are no redemption or sinking fund provisions applicable to our common stock. The voting, dividend and liquidation rights of holders of our common stock are subject to, and may be adversely affected by, the rights of the holders of shares of our existing series of preferred stock or any series of preferred stock that we may designate and issue in the future.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amended and restated certificate of incorporation, as amended, authorizes us to issue 10,000,000 shares of preferred stock. As of July 20, 2020, we had:</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designated and issued 6,968 shares of our preferred stock as “Series A Convertible Preferred Stock” with no shares outstanding;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designated and issued 300,000 shares of our preferred stock as “Series C Junior Preferred Stock” with no shares outstanding;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designated 500,000 shares of our preferred stock as “Series D Convertible Preferred Stock” with no shares outstanding;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with no shares outstanding;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designated and issued 9,000 shares of our preferred stock as “Series F Convertible Preferred Stock” with no shares outstanding.</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5,786,972 shares of preferred stock in one or more series and to fix the rights, preferences, privileges and restrictions granted to or imposed upon the preferred stock. Any or all of these rights may be greater than the rights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ind w:left="660" w:right="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or all other preferences and relative, participating, optional or other special rights, privileges or qualifications, limitations or restrictions;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9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ind w:left="660" w:right="12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1" w:name="page22"/>
    <w:bookmarkEnd w:id="21"/>
    <w:p>
      <w:pPr>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ind w:left="660" w:right="280" w:hanging="328"/>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will periodically file statements with the applicable debenture trustee regarding our compliance with specified covenants in the applicable indenture.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3" w:lineRule="exact"/>
        <w:rPr>
          <w:rFonts w:ascii="Arial" w:cs="Arial" w:eastAsia="Arial" w:hAnsi="Arial"/>
          <w:sz w:val="18"/>
          <w:szCs w:val="18"/>
          <w:color w:val="auto"/>
        </w:rPr>
      </w:pPr>
    </w:p>
    <w:p>
      <w:pPr>
        <w:ind w:left="580" w:right="520" w:hanging="248"/>
        <w:spacing w:after="0" w:line="26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8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1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right="22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4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 w:lineRule="exact"/>
        <w:rPr>
          <w:rFonts w:ascii="Arial" w:cs="Arial" w:eastAsia="Arial" w:hAnsi="Arial"/>
          <w:sz w:val="18"/>
          <w:szCs w:val="18"/>
          <w:color w:val="auto"/>
        </w:rPr>
      </w:pPr>
    </w:p>
    <w:p>
      <w:pPr>
        <w:ind w:left="660" w:right="16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ind w:left="660" w:right="4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ind w:left="660" w:right="1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jc w:val="both"/>
        <w:ind w:left="660" w:right="34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7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9"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12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1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CERTAIN PROVISIONS OF DELAWARE LAW AND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COMPANY’S CERTIFICATE OF 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66⅔% of the voting power of all outstanding stock. These provisions could discourage a potential acquirer from making a tender offer or otherwise attempting to obtain control of the Company and could delay changes in management.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amended and restated certificate of incorporation provides that directors may be removed by our stockholders only for cause and, in addition to any other vote required by law, upon the affirmative vote of at least 66⅔% of the voting power of all outstanding securities then entitled to vote generally in the election of directors, voting together as a single class. These provisions mean that a proposal to replace one or more directors on our board of directors could be delayed until the next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validity of the securities offered hereby will be passed upon for us by Bryan Cave Leighton Paisner LLP, St. Louis, Missouri. Additional legal matters may be passed upon for us or any underwriters, dealers or agents, by counsel that we will name in the applicable prospectus supplement.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CohnReznick LLP, independent registered public accounting firm, has audited our financial statements included in our Annual Report on Form 10-K for the year ended December 31, 2019, as set forth in their report (which includes an explanatory paragraph referring to the Company’s ability to continue as a 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are a public company and file annual, quarterly and current reports, proxy statements and other information with the SEC. Our SEC filings are available to the public at the SEC’s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and on our web site at </w:t>
      </w:r>
      <w:r>
        <w:rPr>
          <w:rFonts w:ascii="Arial" w:cs="Arial" w:eastAsia="Arial" w:hAnsi="Arial"/>
          <w:sz w:val="18"/>
          <w:szCs w:val="18"/>
          <w:i w:val="1"/>
          <w:iCs w:val="1"/>
          <w:color w:val="auto"/>
        </w:rPr>
        <w:t>http://www.xpresspa.com</w:t>
      </w:r>
      <w:r>
        <w:rPr>
          <w:rFonts w:ascii="Arial" w:cs="Arial" w:eastAsia="Arial" w:hAnsi="Arial"/>
          <w:sz w:val="18"/>
          <w:szCs w:val="18"/>
          <w:color w:val="auto"/>
        </w:rPr>
        <w:t>. The information contained on our web site is not included or incorporated by reference into this prospectus. In addition, our common stock is listed for trading on The Nasdaq Capital Market under the symbol “XSPA.”</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from the SEC’s web site or our web site.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2019, filed on </w:t>
      </w:r>
      <w:hyperlink r:id="rId39">
        <w:r>
          <w:rPr>
            <w:rFonts w:ascii="Arial" w:cs="Arial" w:eastAsia="Arial" w:hAnsi="Arial"/>
            <w:sz w:val="18"/>
            <w:szCs w:val="18"/>
            <w:u w:val="single" w:color="auto"/>
            <w:color w:val="0000EE"/>
          </w:rPr>
          <w:t>April 20, 2020</w:t>
        </w:r>
      </w:hyperlink>
      <w:r>
        <w:rPr>
          <w:rFonts w:ascii="Arial" w:cs="Arial" w:eastAsia="Arial" w:hAnsi="Arial"/>
          <w:sz w:val="18"/>
          <w:szCs w:val="18"/>
          <w:color w:val="auto"/>
        </w:rPr>
        <w:t xml:space="preserve">, as amended on </w:t>
      </w:r>
      <w:hyperlink r:id="rId40">
        <w:r>
          <w:rPr>
            <w:rFonts w:ascii="Arial" w:cs="Arial" w:eastAsia="Arial" w:hAnsi="Arial"/>
            <w:sz w:val="18"/>
            <w:szCs w:val="18"/>
            <w:u w:val="single" w:color="auto"/>
            <w:color w:val="0000EE"/>
          </w:rPr>
          <w:t>May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1">
        <w:r>
          <w:rPr>
            <w:rFonts w:ascii="Arial" w:cs="Arial" w:eastAsia="Arial" w:hAnsi="Arial"/>
            <w:sz w:val="18"/>
            <w:szCs w:val="18"/>
            <w:u w:val="single" w:color="auto"/>
            <w:color w:val="0000EE"/>
          </w:rPr>
          <w:t>June 15, 2020</w:t>
        </w:r>
      </w:hyperlink>
      <w:r>
        <w:rPr>
          <w:rFonts w:ascii="Arial" w:cs="Arial" w:eastAsia="Arial" w:hAnsi="Arial"/>
          <w:sz w:val="18"/>
          <w:szCs w:val="18"/>
          <w:color w:val="auto"/>
        </w:rPr>
        <w:t xml:space="preserve"> (File No. 001-34785);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2020, filed on </w:t>
      </w:r>
      <w:hyperlink r:id="rId42">
        <w:r>
          <w:rPr>
            <w:rFonts w:ascii="Arial" w:cs="Arial" w:eastAsia="Arial" w:hAnsi="Arial"/>
            <w:sz w:val="18"/>
            <w:szCs w:val="18"/>
            <w:u w:val="single" w:color="auto"/>
            <w:color w:val="0000EE"/>
          </w:rPr>
          <w:t>July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001-34785);</w:t>
      </w:r>
    </w:p>
    <w:p>
      <w:pPr>
        <w:spacing w:after="0" w:line="225"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24"/>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43">
        <w:r>
          <w:rPr>
            <w:rFonts w:ascii="Arial" w:cs="Arial" w:eastAsia="Arial" w:hAnsi="Arial"/>
            <w:sz w:val="18"/>
            <w:szCs w:val="18"/>
            <w:u w:val="single" w:color="auto"/>
            <w:color w:val="0000EE"/>
          </w:rPr>
          <w:t>January 3, 2020</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January 14, 2020</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February 3, 2020</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March 6, 2020</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March 19, 2020</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March 26,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30, 2020</w:t>
        </w:r>
        <w:r>
          <w:rPr>
            <w:rFonts w:ascii="Arial" w:cs="Arial" w:eastAsia="Arial" w:hAnsi="Arial"/>
            <w:sz w:val="18"/>
            <w:szCs w:val="18"/>
            <w:color w:val="0000EE"/>
          </w:rPr>
          <w:t xml:space="preserve"> </w:t>
        </w:r>
        <w:r>
          <w:rPr>
            <w:rFonts w:ascii="Arial" w:cs="Arial" w:eastAsia="Arial" w:hAnsi="Arial"/>
            <w:sz w:val="18"/>
            <w:szCs w:val="18"/>
            <w:color w:val="000000"/>
          </w:rPr>
          <w:t>(</w:t>
        </w:r>
        <w:r>
          <w:rPr>
            <w:rFonts w:ascii="Arial" w:cs="Arial" w:eastAsia="Arial" w:hAnsi="Arial"/>
            <w:sz w:val="18"/>
            <w:szCs w:val="18"/>
            <w:u w:val="single" w:color="auto"/>
            <w:color w:val="0000EE"/>
          </w:rPr>
          <w:t>two filings</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17,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24,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28,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7,</w:t>
        </w:r>
      </w:hyperlink>
      <w:r>
        <w:rPr>
          <w:rFonts w:ascii="Arial" w:cs="Arial" w:eastAsia="Arial" w:hAnsi="Arial"/>
          <w:sz w:val="18"/>
          <w:szCs w:val="18"/>
          <w:color w:val="0000EE"/>
        </w:rPr>
        <w:t xml:space="preserve"> </w:t>
      </w:r>
      <w:hyperlink r:id="rId48">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9">
        <w:r>
          <w:rPr>
            <w:rFonts w:ascii="Arial" w:cs="Arial" w:eastAsia="Arial" w:hAnsi="Arial"/>
            <w:sz w:val="18"/>
            <w:szCs w:val="18"/>
            <w:u w:val="single" w:color="auto"/>
            <w:color w:val="0000EE"/>
          </w:rPr>
          <w:t>May 11, 2020</w:t>
        </w:r>
      </w:hyperlink>
      <w:hyperlink r:id="rId4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0">
        <w:r>
          <w:rPr>
            <w:rFonts w:ascii="Arial" w:cs="Arial" w:eastAsia="Arial" w:hAnsi="Arial"/>
            <w:sz w:val="18"/>
            <w:szCs w:val="18"/>
            <w:u w:val="single" w:color="auto"/>
            <w:color w:val="0000EE"/>
          </w:rPr>
          <w:t>May 22, 2020</w:t>
        </w:r>
      </w:hyperlink>
      <w:hyperlink r:id="rId4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1">
        <w:r>
          <w:rPr>
            <w:rFonts w:ascii="Arial" w:cs="Arial" w:eastAsia="Arial" w:hAnsi="Arial"/>
            <w:sz w:val="18"/>
            <w:szCs w:val="18"/>
            <w:u w:val="single" w:color="auto"/>
            <w:color w:val="0000EE"/>
          </w:rPr>
          <w:t>May 29, 2020</w:t>
        </w:r>
      </w:hyperlink>
      <w:hyperlink r:id="rId4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2">
        <w:r>
          <w:rPr>
            <w:rFonts w:ascii="Arial" w:cs="Arial" w:eastAsia="Arial" w:hAnsi="Arial"/>
            <w:sz w:val="18"/>
            <w:szCs w:val="18"/>
            <w:u w:val="single" w:color="auto"/>
            <w:color w:val="0000EE"/>
          </w:rPr>
          <w:t>June 4, 2020</w:t>
        </w:r>
      </w:hyperlink>
      <w:hyperlink r:id="rId4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3">
        <w:r>
          <w:rPr>
            <w:rFonts w:ascii="Arial" w:cs="Arial" w:eastAsia="Arial" w:hAnsi="Arial"/>
            <w:sz w:val="18"/>
            <w:szCs w:val="18"/>
            <w:u w:val="single" w:color="auto"/>
            <w:color w:val="0000EE"/>
          </w:rPr>
          <w:t xml:space="preserve">June 10, 2020 </w:t>
        </w:r>
      </w:hyperlink>
      <w:hyperlink r:id="rId48">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4">
        <w:r>
          <w:rPr>
            <w:rFonts w:ascii="Arial" w:cs="Arial" w:eastAsia="Arial" w:hAnsi="Arial"/>
            <w:sz w:val="18"/>
            <w:szCs w:val="18"/>
            <w:u w:val="single" w:color="auto"/>
            <w:color w:val="0000EE"/>
          </w:rPr>
          <w:t xml:space="preserve">June 17, 2020 </w:t>
        </w:r>
      </w:hyperlink>
      <w:hyperlink r:id="rId48">
        <w:r>
          <w:rPr>
            <w:rFonts w:ascii="Arial" w:cs="Arial" w:eastAsia="Arial" w:hAnsi="Arial"/>
            <w:sz w:val="18"/>
            <w:szCs w:val="18"/>
            <w:color w:val="000000"/>
          </w:rPr>
          <w:t>(except for the information furnished under</w:t>
        </w:r>
      </w:hyperlink>
      <w:r>
        <w:rPr>
          <w:rFonts w:ascii="Arial" w:cs="Arial" w:eastAsia="Arial" w:hAnsi="Arial"/>
          <w:sz w:val="18"/>
          <w:szCs w:val="18"/>
          <w:color w:val="0000EE"/>
        </w:rPr>
        <w:t xml:space="preserve"> </w:t>
      </w:r>
      <w:r>
        <w:rPr>
          <w:rFonts w:ascii="Arial" w:cs="Arial" w:eastAsia="Arial" w:hAnsi="Arial"/>
          <w:sz w:val="18"/>
          <w:szCs w:val="18"/>
          <w:color w:val="000000"/>
        </w:rPr>
        <w:t>Items 2.02 or 7.01 and the exhibits furnished thereto);</w:t>
      </w:r>
    </w:p>
    <w:p>
      <w:pPr>
        <w:spacing w:after="0" w:line="186" w:lineRule="exact"/>
        <w:rPr>
          <w:rFonts w:ascii="Arial" w:cs="Arial" w:eastAsia="Arial" w:hAnsi="Arial"/>
          <w:sz w:val="18"/>
          <w:szCs w:val="18"/>
          <w:color w:val="0000EE"/>
        </w:rPr>
      </w:pPr>
    </w:p>
    <w:p>
      <w:pPr>
        <w:ind w:left="660" w:right="80" w:hanging="328"/>
        <w:spacing w:after="0" w:line="263" w:lineRule="auto"/>
        <w:tabs>
          <w:tab w:leader="none" w:pos="660" w:val="left"/>
        </w:tabs>
        <w:numPr>
          <w:ilvl w:val="0"/>
          <w:numId w:val="24"/>
        </w:numPr>
        <w:rPr>
          <w:rFonts w:ascii="Arial" w:cs="Arial" w:eastAsia="Arial" w:hAnsi="Arial"/>
          <w:sz w:val="18"/>
          <w:szCs w:val="18"/>
          <w:color w:val="0000EE"/>
        </w:rPr>
      </w:pPr>
      <w:hyperlink r:id="rId55">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w:t>
        </w:r>
        <w:r>
          <w:rPr>
            <w:rFonts w:ascii="Arial" w:cs="Arial" w:eastAsia="Arial" w:hAnsi="Arial"/>
            <w:sz w:val="18"/>
            <w:szCs w:val="18"/>
            <w:color w:val="auto"/>
          </w:rPr>
          <w:t xml:space="preserve"> (File No. 001-34785),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2013</w:t>
        </w:r>
        <w:r>
          <w:rPr>
            <w:rFonts w:ascii="Arial" w:cs="Arial" w:eastAsia="Arial" w:hAnsi="Arial"/>
            <w:sz w:val="18"/>
            <w:szCs w:val="18"/>
            <w:color w:val="0000EE"/>
          </w:rPr>
          <w:t xml:space="preserve"> </w:t>
        </w:r>
        <w:r>
          <w:rPr>
            <w:rFonts w:ascii="Arial" w:cs="Arial" w:eastAsia="Arial" w:hAnsi="Arial"/>
            <w:sz w:val="18"/>
            <w:szCs w:val="18"/>
            <w:color w:val="000000"/>
          </w:rPr>
          <w:t>(File No. 001-34785) and</w:t>
        </w:r>
        <w:r>
          <w:rPr>
            <w:rFonts w:ascii="Arial" w:cs="Arial" w:eastAsia="Arial" w:hAnsi="Arial"/>
            <w:sz w:val="18"/>
            <w:szCs w:val="18"/>
            <w:color w:val="0000EE"/>
          </w:rPr>
          <w:t xml:space="preserve"> </w:t>
        </w:r>
      </w:hyperlink>
      <w:hyperlink r:id="rId56">
        <w:r>
          <w:rPr>
            <w:rFonts w:ascii="Arial" w:cs="Arial" w:eastAsia="Arial" w:hAnsi="Arial"/>
            <w:sz w:val="18"/>
            <w:szCs w:val="18"/>
            <w:u w:val="single" w:color="auto"/>
            <w:color w:val="0000EE"/>
          </w:rPr>
          <w:t xml:space="preserve">June 16, 2010 </w:t>
        </w:r>
      </w:hyperlink>
      <w:hyperlink r:id="rId55">
        <w:r>
          <w:rPr>
            <w:rFonts w:ascii="Arial" w:cs="Arial" w:eastAsia="Arial" w:hAnsi="Arial"/>
            <w:sz w:val="18"/>
            <w:szCs w:val="18"/>
            <w:color w:val="000000"/>
          </w:rPr>
          <w:t xml:space="preserve">(File No. 001-34785),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right="340" w:hanging="328"/>
        <w:spacing w:after="0" w:line="27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prior to the termination or completion of the offering of securities under this prospectus (including documents filed after the initial date of the registration statement of which this prospectus is a part and prior to the effectiveness of such registration statement) shall be deemed to be incorporated by reference in this prospectus and to be a part hereof from the date of filing such reports and other documents.</w:t>
      </w:r>
    </w:p>
    <w:p>
      <w:pPr>
        <w:spacing w:after="0" w:line="171" w:lineRule="exact"/>
        <w:rPr>
          <w:rFonts w:ascii="Arial" w:cs="Arial" w:eastAsia="Arial" w:hAnsi="Arial"/>
          <w:sz w:val="18"/>
          <w:szCs w:val="18"/>
          <w:color w:val="0000EE"/>
        </w:rPr>
      </w:pPr>
    </w:p>
    <w:p>
      <w:pPr>
        <w:ind w:right="60"/>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0" w:lineRule="exact"/>
        <w:rPr>
          <w:rFonts w:ascii="Arial" w:cs="Arial" w:eastAsia="Arial" w:hAnsi="Arial"/>
          <w:sz w:val="18"/>
          <w:szCs w:val="18"/>
          <w:color w:val="0000EE"/>
        </w:rPr>
      </w:pPr>
    </w:p>
    <w:p>
      <w:pPr>
        <w:spacing w:after="0" w:line="225" w:lineRule="exact"/>
        <w:rPr>
          <w:rFonts w:ascii="Arial" w:cs="Arial" w:eastAsia="Arial" w:hAnsi="Arial"/>
          <w:sz w:val="18"/>
          <w:szCs w:val="18"/>
          <w:color w:val="0000EE"/>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39"/>
          <w:szCs w:val="39"/>
          <w:b w:val="1"/>
          <w:bCs w:val="1"/>
          <w:color w:val="auto"/>
        </w:rPr>
        <w:t>XpresSpa, Inc.</w:t>
      </w:r>
    </w:p>
    <w:p>
      <w:pPr>
        <w:sectPr>
          <w:pgSz w:w="11900" w:h="16838" w:orient="portrait"/>
          <w:cols w:equalWidth="0" w:num="1">
            <w:col w:w="9019"/>
          </w:cols>
          <w:pgMar w:left="1440" w:top="8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$200,000,000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type w:val="continuous"/>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80" w:lineRule="exact"/>
        <w:rPr>
          <w:sz w:val="20"/>
          <w:szCs w:val="20"/>
          <w:color w:val="auto"/>
        </w:rPr>
      </w:pPr>
    </w:p>
    <w:tbl>
      <w:tblPr>
        <w:tblLayout w:type="fixed"/>
        <w:tblInd w:w="254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60" w:type="dxa"/>
            <w:vAlign w:val="bottom"/>
          </w:tcPr>
          <w:p>
            <w:pPr>
              <w:spacing w:after="0"/>
              <w:rPr>
                <w:sz w:val="20"/>
                <w:szCs w:val="20"/>
                <w:color w:val="auto"/>
              </w:rPr>
            </w:pPr>
          </w:p>
        </w:tc>
        <w:tc>
          <w:tcPr>
            <w:tcW w:w="8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FINRA fee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Printing fees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*Fees depend on number of issuances and amount of securities sold and accordingly cannot be estimated at this time.</w:t>
      </w:r>
    </w:p>
    <w:p>
      <w:pPr>
        <w:spacing w:after="0" w:line="221"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2" w:name="page33"/>
    <w:bookmarkEnd w:id="32"/>
    <w:p>
      <w:pPr>
        <w:ind w:right="120"/>
        <w:spacing w:after="0" w:line="275" w:lineRule="auto"/>
        <w:rPr>
          <w:sz w:val="20"/>
          <w:szCs w:val="20"/>
          <w:color w:val="auto"/>
        </w:rPr>
      </w:pPr>
      <w:r>
        <w:rPr>
          <w:rFonts w:ascii="Arial" w:cs="Arial" w:eastAsia="Arial" w:hAnsi="Arial"/>
          <w:sz w:val="17"/>
          <w:szCs w:val="17"/>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100" w:type="dxa"/>
            <w:vAlign w:val="bottom"/>
            <w:gridSpan w:val="15"/>
          </w:tcPr>
          <w:p>
            <w:pPr>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 Exhibits.</w:t>
            </w: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gridSpan w:val="13"/>
          </w:tcPr>
          <w:p>
            <w:pPr>
              <w:ind w:left="178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rPr>
              <w:t>Form of Underwriting Agreement</w:t>
            </w:r>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2.1</w:t>
              </w:r>
            </w:hyperlink>
          </w:p>
        </w:tc>
        <w:tc>
          <w:tcPr>
            <w:tcW w:w="220" w:type="dxa"/>
            <w:vAlign w:val="bottom"/>
          </w:tcPr>
          <w:p>
            <w:pPr>
              <w:spacing w:after="0"/>
              <w:rPr>
                <w:sz w:val="24"/>
                <w:szCs w:val="24"/>
                <w:color w:val="auto"/>
              </w:rPr>
            </w:pPr>
          </w:p>
        </w:tc>
        <w:tc>
          <w:tcPr>
            <w:tcW w:w="9440" w:type="dxa"/>
            <w:vAlign w:val="bottom"/>
            <w:tcBorders>
              <w:bottom w:val="single" w:sz="8" w:color="0000EE"/>
            </w:tcBorders>
            <w:gridSpan w:val="7"/>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Agreement and Plan of Merger by and among FORM Holdings Corp., FHXMS, LLC, XpresSpa Holdings, LLC, the unitholders of</w:t>
              </w:r>
            </w:hyperlink>
          </w:p>
        </w:tc>
        <w:tc>
          <w:tcPr>
            <w:tcW w:w="44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XpresSpa who are parties thereto and Mistral XH Representative, LLC, as representative of the unitholders, dated as of August 8, 2016</w:t>
              </w:r>
            </w:hyperlink>
          </w:p>
        </w:tc>
        <w:tc>
          <w:tcPr>
            <w:tcW w:w="140" w:type="dxa"/>
            <w:vAlign w:val="bottom"/>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14"/>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(incorporated by reference from Exhibit 2.1 to our Current Report on Form 8-K filed with the SEC on August 8, 2016)</w:t>
              </w:r>
            </w:hyperlink>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2.2</w:t>
              </w:r>
            </w:hyperlink>
          </w:p>
        </w:tc>
        <w:tc>
          <w:tcPr>
            <w:tcW w:w="22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Arial" w:cs="Arial" w:eastAsia="Arial" w:hAnsi="Arial"/>
                <w:sz w:val="18"/>
                <w:szCs w:val="18"/>
                <w:color w:val="0000EE"/>
                <w:w w:val="92"/>
              </w:rPr>
            </w:pPr>
            <w:hyperlink r:id="rId61">
              <w:r>
                <w:rPr>
                  <w:rFonts w:ascii="Arial" w:cs="Arial" w:eastAsia="Arial" w:hAnsi="Arial"/>
                  <w:sz w:val="18"/>
                  <w:szCs w:val="18"/>
                  <w:color w:val="0000EE"/>
                  <w:w w:val="92"/>
                </w:rPr>
                <w:t>Amendment No. 1 to Agreement and Plan of Merger by and among FORM Holdings Corp., FHXMS, LLC, XpresSpa Holdings, LLC</w:t>
              </w:r>
            </w:hyperlink>
          </w:p>
        </w:tc>
        <w:tc>
          <w:tcPr>
            <w:tcW w:w="2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4"/>
          </w:tcPr>
          <w:p>
            <w:pPr>
              <w:spacing w:after="0" w:line="196"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and Mistral XH Representative, LLC, as representative of the unitholders, dated September 8, 2016 (incorporated by reference from</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Exhibit 2.1 to our Current Report on Form 8-K filed with the SEC on September 9, 2016)</w:t>
              </w:r>
            </w:hyperlink>
          </w:p>
        </w:tc>
        <w:tc>
          <w:tcPr>
            <w:tcW w:w="380" w:type="dxa"/>
            <w:vAlign w:val="bottom"/>
            <w:gridSpan w:val="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2.3</w:t>
              </w:r>
            </w:hyperlink>
          </w:p>
        </w:tc>
        <w:tc>
          <w:tcPr>
            <w:tcW w:w="22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Arial" w:cs="Arial" w:eastAsia="Arial" w:hAnsi="Arial"/>
                <w:sz w:val="18"/>
                <w:szCs w:val="18"/>
                <w:color w:val="0000EE"/>
                <w:w w:val="92"/>
              </w:rPr>
            </w:pPr>
            <w:hyperlink r:id="rId62">
              <w:r>
                <w:rPr>
                  <w:rFonts w:ascii="Arial" w:cs="Arial" w:eastAsia="Arial" w:hAnsi="Arial"/>
                  <w:sz w:val="18"/>
                  <w:szCs w:val="18"/>
                  <w:color w:val="0000EE"/>
                  <w:w w:val="92"/>
                </w:rPr>
                <w:t>Amendment No. 2 to Agreement and Plan of Merger by and among FORM Holdings Corp., FHXMS, LLC, XpresSpa Holdings, LLC</w:t>
              </w:r>
            </w:hyperlink>
          </w:p>
        </w:tc>
        <w:tc>
          <w:tcPr>
            <w:tcW w:w="2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4"/>
          </w:tcPr>
          <w:p>
            <w:pPr>
              <w:spacing w:after="0" w:line="196" w:lineRule="exact"/>
              <w:rPr>
                <w:rFonts w:ascii="Arial" w:cs="Arial" w:eastAsia="Arial" w:hAnsi="Arial"/>
                <w:sz w:val="18"/>
                <w:szCs w:val="18"/>
                <w:color w:val="0000EE"/>
                <w:w w:val="95"/>
              </w:rPr>
            </w:pPr>
            <w:hyperlink r:id="rId62">
              <w:r>
                <w:rPr>
                  <w:rFonts w:ascii="Arial" w:cs="Arial" w:eastAsia="Arial" w:hAnsi="Arial"/>
                  <w:sz w:val="18"/>
                  <w:szCs w:val="18"/>
                  <w:color w:val="0000EE"/>
                  <w:w w:val="95"/>
                </w:rPr>
                <w:t>and Mistral XH Representative, LLC, as representative of the unitholders, dated October 25, 2016 (incorporated by reference from</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Exhibit 2.1 to our Current Report on Form 8-K filed with the SEC on October 25, 2016)</w:t>
              </w:r>
            </w:hyperlink>
          </w:p>
        </w:tc>
        <w:tc>
          <w:tcPr>
            <w:tcW w:w="480" w:type="dxa"/>
            <w:vAlign w:val="bottom"/>
            <w:gridSpan w:val="8"/>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3.1</w:t>
              </w:r>
            </w:hyperlink>
          </w:p>
        </w:tc>
        <w:tc>
          <w:tcPr>
            <w:tcW w:w="220" w:type="dxa"/>
            <w:vAlign w:val="bottom"/>
          </w:tcPr>
          <w:p>
            <w:pPr>
              <w:spacing w:after="0"/>
              <w:rPr>
                <w:sz w:val="24"/>
                <w:szCs w:val="24"/>
                <w:color w:val="auto"/>
              </w:rPr>
            </w:pPr>
          </w:p>
        </w:tc>
        <w:tc>
          <w:tcPr>
            <w:tcW w:w="9540" w:type="dxa"/>
            <w:vAlign w:val="bottom"/>
            <w:tcBorders>
              <w:bottom w:val="single" w:sz="8" w:color="0000EE"/>
            </w:tcBorders>
            <w:gridSpan w:val="10"/>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Amended and Restated Certificate of Incorporation (incorporated by reference from Exhibit 3.1 to our Annual Report on Form 10-K</w:t>
              </w:r>
            </w:hyperlink>
          </w:p>
        </w:tc>
        <w:tc>
          <w:tcPr>
            <w:tcW w:w="34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filed with the SEC on April 20, 2020)</w:t>
              </w:r>
            </w:hyperlink>
          </w:p>
        </w:tc>
        <w:tc>
          <w:tcPr>
            <w:tcW w:w="7160" w:type="dxa"/>
            <w:vAlign w:val="bottom"/>
            <w:gridSpan w:val="13"/>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3.2</w:t>
              </w:r>
            </w:hyperlink>
          </w:p>
        </w:tc>
        <w:tc>
          <w:tcPr>
            <w:tcW w:w="220" w:type="dxa"/>
            <w:vAlign w:val="bottom"/>
          </w:tcPr>
          <w:p>
            <w:pPr>
              <w:spacing w:after="0"/>
              <w:rPr>
                <w:sz w:val="24"/>
                <w:szCs w:val="24"/>
                <w:color w:val="auto"/>
              </w:rPr>
            </w:pPr>
          </w:p>
        </w:tc>
        <w:tc>
          <w:tcPr>
            <w:tcW w:w="9480" w:type="dxa"/>
            <w:vAlign w:val="bottom"/>
            <w:tcBorders>
              <w:bottom w:val="single" w:sz="8" w:color="0000EE"/>
            </w:tcBorders>
            <w:gridSpan w:val="8"/>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Certificate of Amendment to Amended and Restated Certificate of Incorporation (incorporated by reference from Exhibit 3.1 to our</w:t>
              </w:r>
            </w:hyperlink>
          </w:p>
        </w:tc>
        <w:tc>
          <w:tcPr>
            <w:tcW w:w="40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4"/>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Current Report on Form 8-K filed with the SEC on June 10, 2020)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3.3</w:t>
              </w:r>
            </w:hyperlink>
          </w:p>
        </w:tc>
        <w:tc>
          <w:tcPr>
            <w:tcW w:w="220" w:type="dxa"/>
            <w:vAlign w:val="bottom"/>
          </w:tcPr>
          <w:p>
            <w:pPr>
              <w:spacing w:after="0"/>
              <w:rPr>
                <w:sz w:val="24"/>
                <w:szCs w:val="24"/>
                <w:color w:val="auto"/>
              </w:rPr>
            </w:pPr>
          </w:p>
        </w:tc>
        <w:tc>
          <w:tcPr>
            <w:tcW w:w="9880" w:type="dxa"/>
            <w:vAlign w:val="bottom"/>
            <w:gridSpan w:val="14"/>
          </w:tcPr>
          <w:p>
            <w:pPr>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Certificate of Elimination of Shares of Series B Convertible Preferred Stock, dated as of July 8, 2019 (incorporated by reference from</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Exhibit 3.4 to our Current Report on Form 8-K filed with the SEC on July 8, 2019)</w:t>
              </w:r>
            </w:hyperlink>
          </w:p>
        </w:tc>
        <w:tc>
          <w:tcPr>
            <w:tcW w:w="3640" w:type="dxa"/>
            <w:vAlign w:val="bottom"/>
            <w:tcBorders>
              <w:top w:val="single" w:sz="8" w:color="0000EE"/>
            </w:tcBorders>
            <w:gridSpan w:val="8"/>
          </w:tcPr>
          <w:p>
            <w:pPr>
              <w:spacing w:after="0"/>
              <w:rPr>
                <w:sz w:val="17"/>
                <w:szCs w:val="17"/>
                <w:color w:val="auto"/>
              </w:rPr>
            </w:pPr>
          </w:p>
        </w:tc>
        <w:tc>
          <w:tcPr>
            <w:tcW w:w="260" w:type="dxa"/>
            <w:vAlign w:val="bottom"/>
            <w:gridSpan w:val="3"/>
          </w:tcPr>
          <w:p>
            <w:pPr>
              <w:spacing w:after="0"/>
              <w:rPr>
                <w:sz w:val="17"/>
                <w:szCs w:val="17"/>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20" w:type="dxa"/>
            <w:vAlign w:val="bottom"/>
            <w:gridSpan w:val="22"/>
          </w:tcPr>
          <w:p>
            <w:pPr>
              <w:ind w:left="4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3.4</w:t>
              </w:r>
            </w:hyperlink>
          </w:p>
        </w:tc>
        <w:tc>
          <w:tcPr>
            <w:tcW w:w="220" w:type="dxa"/>
            <w:vAlign w:val="bottom"/>
          </w:tcPr>
          <w:p>
            <w:pPr>
              <w:spacing w:after="0"/>
              <w:rPr>
                <w:sz w:val="24"/>
                <w:szCs w:val="24"/>
                <w:color w:val="auto"/>
              </w:rPr>
            </w:pPr>
          </w:p>
        </w:tc>
        <w:tc>
          <w:tcPr>
            <w:tcW w:w="9800" w:type="dxa"/>
            <w:vAlign w:val="bottom"/>
            <w:tcBorders>
              <w:top w:val="single" w:sz="8" w:color="auto"/>
              <w:bottom w:val="single" w:sz="8" w:color="0000EE"/>
            </w:tcBorders>
            <w:gridSpan w:val="26"/>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Amended and Restated Bylaws (incorporated by reference from Exhibit 3.12 to our Annual Report on Form 10-K filed with the SEC on</w:t>
              </w:r>
            </w:hyperlink>
          </w:p>
        </w:tc>
        <w:tc>
          <w:tcPr>
            <w:tcW w:w="80" w:type="dxa"/>
            <w:vAlign w:val="bottom"/>
            <w:tcBorders>
              <w:top w:val="single" w:sz="8" w:color="auto"/>
            </w:tcBorders>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9"/>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April 1, 2019)</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140" w:type="dxa"/>
            <w:vAlign w:val="bottom"/>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4.1</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u w:val="single" w:color="auto"/>
                <w:color w:val="0000EE"/>
                <w:w w:val="94"/>
              </w:rPr>
            </w:pPr>
            <w:hyperlink r:id="rId68">
              <w:r>
                <w:rPr>
                  <w:rFonts w:ascii="Arial" w:cs="Arial" w:eastAsia="Arial" w:hAnsi="Arial"/>
                  <w:sz w:val="18"/>
                  <w:szCs w:val="18"/>
                  <w:u w:val="single" w:color="auto"/>
                  <w:color w:val="0000EE"/>
                  <w:w w:val="94"/>
                </w:rPr>
                <w:t>Specimen common stock certificate (incorporated by reference from our Registration Statement on Form S-1 filed on May 18, 2010)</w:t>
              </w:r>
            </w:hyperlink>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4.2</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5"/>
              </w:rPr>
            </w:pPr>
            <w:hyperlink r:id="rId69">
              <w:r>
                <w:rPr>
                  <w:rFonts w:ascii="Arial" w:cs="Arial" w:eastAsia="Arial" w:hAnsi="Arial"/>
                  <w:sz w:val="18"/>
                  <w:szCs w:val="18"/>
                  <w:color w:val="0000EE"/>
                  <w:w w:val="95"/>
                </w:rPr>
                <w:t>Form of Warrant (incorporated by reference from Exhibit 4.1 to our Current Report on Form 8-K filed with the SEC on October 16,</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69">
              <w:r>
                <w:rPr>
                  <w:rFonts w:ascii="Arial" w:cs="Arial" w:eastAsia="Arial" w:hAnsi="Arial"/>
                  <w:sz w:val="18"/>
                  <w:szCs w:val="18"/>
                  <w:color w:val="0000EE"/>
                  <w:w w:val="86"/>
                </w:rPr>
                <w:t>2015)</w:t>
              </w:r>
            </w:hyperlink>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40" w:type="dxa"/>
            <w:vAlign w:val="bottom"/>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4.3</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u w:val="single" w:color="auto"/>
                <w:color w:val="0000EE"/>
                <w:w w:val="93"/>
              </w:rPr>
            </w:pPr>
            <w:hyperlink r:id="rId70">
              <w:r>
                <w:rPr>
                  <w:rFonts w:ascii="Arial" w:cs="Arial" w:eastAsia="Arial" w:hAnsi="Arial"/>
                  <w:sz w:val="18"/>
                  <w:szCs w:val="18"/>
                  <w:u w:val="single" w:color="auto"/>
                  <w:color w:val="0000EE"/>
                  <w:w w:val="93"/>
                </w:rPr>
                <w:t>Form of Warrant (incorporated by reference from Exhibit 10.3 to our Current Report on Form 8-K filed with the SEC on May 4, 2015)</w:t>
              </w:r>
            </w:hyperlink>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4.4</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Section 382 Rights Agreement, dated as of March 18, 2016, between Vringo, Inc. and American Stock Transfer &amp; Trust Company, LLC,</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which includes the Form of Certificate of Designation of Series C Junior Participating Preferred Stock as Exhibit A, the Form of Right</w:t>
              </w:r>
            </w:hyperlink>
          </w:p>
        </w:tc>
        <w:tc>
          <w:tcPr>
            <w:tcW w:w="12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9"/>
          </w:tcPr>
          <w:p>
            <w:pPr>
              <w:spacing w:after="0" w:line="196" w:lineRule="exact"/>
              <w:rPr>
                <w:rFonts w:ascii="Arial" w:cs="Arial" w:eastAsia="Arial" w:hAnsi="Arial"/>
                <w:sz w:val="18"/>
                <w:szCs w:val="18"/>
                <w:color w:val="0000EE"/>
                <w:w w:val="93"/>
              </w:rPr>
            </w:pPr>
            <w:hyperlink r:id="rId71">
              <w:r>
                <w:rPr>
                  <w:rFonts w:ascii="Arial" w:cs="Arial" w:eastAsia="Arial" w:hAnsi="Arial"/>
                  <w:sz w:val="18"/>
                  <w:szCs w:val="18"/>
                  <w:color w:val="0000EE"/>
                  <w:w w:val="93"/>
                </w:rPr>
                <w:t>Certificate as Exhibit B and the Summary of Rights to Purchase Preferred Stock as Exhibit C (incorporated by reference from Exhibit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our Current Report on Form 8-K filed with the SEC on March 21, 2016)</w:t>
              </w:r>
            </w:hyperlink>
          </w:p>
        </w:tc>
        <w:tc>
          <w:tcPr>
            <w:tcW w:w="3960" w:type="dxa"/>
            <w:vAlign w:val="bottom"/>
            <w:tcBorders>
              <w:top w:val="single" w:sz="8" w:color="0000EE"/>
            </w:tcBorders>
            <w:gridSpan w:val="8"/>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4.5</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Amendment to Section 382 Rights Agreement, dated March 18, 2019, between the Company and American Stock Transfer &amp; Trust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Company, LLC (incorporated by reference from Exhibit 10.1 to our Current Report on Form 8-K filed with the SEC on March 22,</w:t>
              </w:r>
            </w:hyperlink>
          </w:p>
        </w:tc>
        <w:tc>
          <w:tcPr>
            <w:tcW w:w="42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72">
              <w:r>
                <w:rPr>
                  <w:rFonts w:ascii="Arial" w:cs="Arial" w:eastAsia="Arial" w:hAnsi="Arial"/>
                  <w:sz w:val="18"/>
                  <w:szCs w:val="18"/>
                  <w:color w:val="0000EE"/>
                  <w:w w:val="86"/>
                </w:rPr>
                <w:t>2019).</w:t>
              </w:r>
            </w:hyperlink>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4.6</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6"/>
              </w:rPr>
            </w:pPr>
            <w:hyperlink r:id="rId73">
              <w:r>
                <w:rPr>
                  <w:rFonts w:ascii="Arial" w:cs="Arial" w:eastAsia="Arial" w:hAnsi="Arial"/>
                  <w:sz w:val="18"/>
                  <w:szCs w:val="18"/>
                  <w:color w:val="0000EE"/>
                  <w:w w:val="96"/>
                </w:rPr>
                <w:t>Form of Warrant to Purchase Shares of Common Stock of FORM Holdings Corp. (incorporated by reference from Annex F to our</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Registration Statement on Form S-4 filed with the SEC on October 26, 2016)</w:t>
              </w:r>
            </w:hyperlink>
          </w:p>
        </w:tc>
        <w:tc>
          <w:tcPr>
            <w:tcW w:w="520" w:type="dxa"/>
            <w:vAlign w:val="bottom"/>
            <w:gridSpan w:val="1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4.7</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5"/>
              </w:rPr>
            </w:pPr>
            <w:hyperlink r:id="rId74">
              <w:r>
                <w:rPr>
                  <w:rFonts w:ascii="Arial" w:cs="Arial" w:eastAsia="Arial" w:hAnsi="Arial"/>
                  <w:sz w:val="18"/>
                  <w:szCs w:val="18"/>
                  <w:color w:val="0000EE"/>
                  <w:w w:val="95"/>
                </w:rPr>
                <w:t>Form of Secured Convertible Note (incorporated by reference from Exhibit 4.1 to our Quarterly Report on Form 10-Q filed with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SEC on May 15, 2018)</w:t>
              </w:r>
            </w:hyperlink>
          </w:p>
        </w:tc>
        <w:tc>
          <w:tcPr>
            <w:tcW w:w="380" w:type="dxa"/>
            <w:vAlign w:val="bottom"/>
            <w:gridSpan w:val="11"/>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4.8</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3"/>
              </w:rPr>
            </w:pPr>
            <w:hyperlink r:id="rId75">
              <w:r>
                <w:rPr>
                  <w:rFonts w:ascii="Arial" w:cs="Arial" w:eastAsia="Arial" w:hAnsi="Arial"/>
                  <w:sz w:val="18"/>
                  <w:szCs w:val="18"/>
                  <w:color w:val="0000EE"/>
                  <w:w w:val="93"/>
                </w:rPr>
                <w:t>Amendment to Secured Convertible Note (incorporated by reference from Exhibit 4.1 to our Current Report on Form 8-K filed with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SEC on June 27, 2019)</w:t>
              </w:r>
            </w:hyperlink>
          </w:p>
        </w:tc>
        <w:tc>
          <w:tcPr>
            <w:tcW w:w="120" w:type="dxa"/>
            <w:vAlign w:val="bottom"/>
            <w:gridSpan w:val="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4.9</w:t>
              </w:r>
            </w:hyperlink>
          </w:p>
        </w:tc>
        <w:tc>
          <w:tcPr>
            <w:tcW w:w="220" w:type="dxa"/>
            <w:vAlign w:val="bottom"/>
          </w:tcPr>
          <w:p>
            <w:pPr>
              <w:spacing w:after="0"/>
              <w:rPr>
                <w:sz w:val="24"/>
                <w:szCs w:val="24"/>
                <w:color w:val="auto"/>
              </w:rPr>
            </w:pPr>
          </w:p>
        </w:tc>
        <w:tc>
          <w:tcPr>
            <w:tcW w:w="9860" w:type="dxa"/>
            <w:vAlign w:val="bottom"/>
            <w:tcBorders>
              <w:bottom w:val="single" w:sz="8" w:color="0000EE"/>
            </w:tcBorders>
            <w:gridSpan w:val="28"/>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Second Amended and Restated Convertible Promissory Note, dated as of July 8, 2019 (incorporated by reference from Exhibit 4.3 to our</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9"/>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Current Report on Form 8-K filed with the SEC on July 8, 2019)</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4.10</w:t>
              </w:r>
            </w:hyperlink>
          </w:p>
        </w:tc>
        <w:tc>
          <w:tcPr>
            <w:tcW w:w="220" w:type="dxa"/>
            <w:vAlign w:val="bottom"/>
          </w:tcPr>
          <w:p>
            <w:pPr>
              <w:spacing w:after="0"/>
              <w:rPr>
                <w:sz w:val="24"/>
                <w:szCs w:val="24"/>
                <w:color w:val="auto"/>
              </w:rPr>
            </w:pPr>
          </w:p>
        </w:tc>
        <w:tc>
          <w:tcPr>
            <w:tcW w:w="9720" w:type="dxa"/>
            <w:vAlign w:val="bottom"/>
            <w:tcBorders>
              <w:bottom w:val="single" w:sz="8" w:color="0000EE"/>
            </w:tcBorders>
            <w:gridSpan w:val="23"/>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Third Amended and Restated Convertible Promissory Note, dated as of January 9, 2020 (incorporated by reference from Exhibit 4.1 to</w:t>
              </w:r>
            </w:hyperlink>
          </w:p>
        </w:tc>
        <w:tc>
          <w:tcPr>
            <w:tcW w:w="16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our Current Report on Form 8-K filed with the SEC on January 14, 2020)</w:t>
              </w:r>
            </w:hyperlink>
          </w:p>
        </w:tc>
        <w:tc>
          <w:tcPr>
            <w:tcW w:w="4580" w:type="dxa"/>
            <w:vAlign w:val="bottom"/>
            <w:gridSpan w:val="19"/>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4.11</w:t>
              </w:r>
            </w:hyperlink>
          </w:p>
        </w:tc>
        <w:tc>
          <w:tcPr>
            <w:tcW w:w="22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Fourth Amended and Restated Convertible Promissory Note, dated as of March 6, 2020 (incorporated by reference from Exhibit 4.1 to</w:t>
              </w:r>
            </w:hyperlink>
          </w:p>
        </w:tc>
        <w:tc>
          <w:tcPr>
            <w:tcW w:w="18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our Current Report on Form 8-K filed with the SEC on March 6, 2020)</w:t>
              </w:r>
            </w:hyperlink>
          </w:p>
        </w:tc>
        <w:tc>
          <w:tcPr>
            <w:tcW w:w="4760" w:type="dxa"/>
            <w:vAlign w:val="bottom"/>
            <w:gridSpan w:val="20"/>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4.12</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2"/>
              </w:rPr>
            </w:pPr>
            <w:hyperlink r:id="rId79">
              <w:r>
                <w:rPr>
                  <w:rFonts w:ascii="Arial" w:cs="Arial" w:eastAsia="Arial" w:hAnsi="Arial"/>
                  <w:sz w:val="18"/>
                  <w:szCs w:val="18"/>
                  <w:color w:val="0000EE"/>
                  <w:w w:val="92"/>
                </w:rPr>
                <w:t>Form of Class A Warrant (incorporated by reference from Exhibit 4.2 to our Quarterly Report on Form 10-Q filed with the SEC on May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79">
              <w:r>
                <w:rPr>
                  <w:rFonts w:ascii="Arial" w:cs="Arial" w:eastAsia="Arial" w:hAnsi="Arial"/>
                  <w:sz w:val="18"/>
                  <w:szCs w:val="18"/>
                  <w:color w:val="0000EE"/>
                  <w:w w:val="86"/>
                </w:rPr>
                <w:t>15, 2018)</w:t>
              </w:r>
            </w:hyperlink>
          </w:p>
        </w:tc>
        <w:tc>
          <w:tcPr>
            <w:tcW w:w="3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4.13</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3"/>
              </w:rPr>
            </w:pPr>
            <w:hyperlink r:id="rId80">
              <w:r>
                <w:rPr>
                  <w:rFonts w:ascii="Arial" w:cs="Arial" w:eastAsia="Arial" w:hAnsi="Arial"/>
                  <w:sz w:val="18"/>
                  <w:szCs w:val="18"/>
                  <w:color w:val="0000EE"/>
                  <w:w w:val="93"/>
                </w:rPr>
                <w:t>Form of First Amendment to Warrant to Purchase Common Stock, dated as of May 16, 2019 (incorporated by reference from Exhibit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to our Current Report on Form 8-K filed with the SEC on May 17, 2019)</w:t>
              </w:r>
            </w:hyperlink>
          </w:p>
        </w:tc>
        <w:tc>
          <w:tcPr>
            <w:tcW w:w="3960" w:type="dxa"/>
            <w:vAlign w:val="bottom"/>
            <w:tcBorders>
              <w:top w:val="single" w:sz="8" w:color="0000EE"/>
            </w:tcBorders>
            <w:gridSpan w:val="8"/>
          </w:tcPr>
          <w:p>
            <w:pPr>
              <w:spacing w:after="0"/>
              <w:rPr>
                <w:sz w:val="17"/>
                <w:szCs w:val="17"/>
                <w:color w:val="auto"/>
              </w:rPr>
            </w:pPr>
          </w:p>
        </w:tc>
        <w:tc>
          <w:tcPr>
            <w:tcW w:w="300" w:type="dxa"/>
            <w:vAlign w:val="bottom"/>
            <w:gridSpan w:val="9"/>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4.14</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Form of Second Amendment to Warrant to Purchase Common Stock, dated as of June 17, 2019 (incorporated by reference from Exhibit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our Current Report on Form 8-K filed with the SEC on June 17, 2019)</w:t>
              </w:r>
            </w:hyperlink>
          </w:p>
        </w:tc>
        <w:tc>
          <w:tcPr>
            <w:tcW w:w="4160" w:type="dxa"/>
            <w:vAlign w:val="bottom"/>
            <w:tcBorders>
              <w:top w:val="single" w:sz="8" w:color="0000EE"/>
            </w:tcBorders>
            <w:gridSpan w:val="13"/>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4.15</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4"/>
              </w:rPr>
            </w:pPr>
            <w:hyperlink r:id="rId82">
              <w:r>
                <w:rPr>
                  <w:rFonts w:ascii="Arial" w:cs="Arial" w:eastAsia="Arial" w:hAnsi="Arial"/>
                  <w:sz w:val="18"/>
                  <w:szCs w:val="18"/>
                  <w:color w:val="0000EE"/>
                  <w:w w:val="94"/>
                </w:rPr>
                <w:t>Unsecured Convertible Note due May 31, 2022 (incorporated by reference from Exhibit 4.1 to our Current Report on Form 8-K filed</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with the SEC on July 8, 2019)</w:t>
              </w:r>
            </w:hyperlink>
          </w:p>
        </w:tc>
        <w:tc>
          <w:tcPr>
            <w:tcW w:w="7380" w:type="dxa"/>
            <w:vAlign w:val="bottom"/>
            <w:tcBorders>
              <w:top w:val="single" w:sz="8" w:color="0000EE"/>
            </w:tcBorders>
            <w:gridSpan w:val="13"/>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4.16</w:t>
              </w:r>
            </w:hyperlink>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5"/>
              </w:rPr>
            </w:pPr>
            <w:hyperlink r:id="rId83">
              <w:r>
                <w:rPr>
                  <w:rFonts w:ascii="Arial" w:cs="Arial" w:eastAsia="Arial" w:hAnsi="Arial"/>
                  <w:sz w:val="18"/>
                  <w:szCs w:val="18"/>
                  <w:color w:val="0000EE"/>
                  <w:w w:val="95"/>
                </w:rPr>
                <w:t>Form of December 2016 Warrant Amendment, dated as of July 8, 2019 (incorporated by reference from Exhibit 4.4 to our Current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Report on Form 8-K filed with the SEC on July 8, 2019)</w:t>
              </w:r>
            </w:hyperlink>
          </w:p>
        </w:tc>
        <w:tc>
          <w:tcPr>
            <w:tcW w:w="500" w:type="dxa"/>
            <w:vAlign w:val="bottom"/>
            <w:gridSpan w:val="1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12"/>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4.17</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18"/>
          </w:tcPr>
          <w:p>
            <w:pPr>
              <w:spacing w:after="0"/>
              <w:rPr>
                <w:rFonts w:ascii="Arial" w:cs="Arial" w:eastAsia="Arial" w:hAnsi="Arial"/>
                <w:sz w:val="18"/>
                <w:szCs w:val="18"/>
                <w:color w:val="0000EE"/>
                <w:w w:val="94"/>
              </w:rPr>
            </w:pPr>
            <w:hyperlink r:id="rId85">
              <w:r>
                <w:rPr>
                  <w:rFonts w:ascii="Arial" w:cs="Arial" w:eastAsia="Arial" w:hAnsi="Arial"/>
                  <w:sz w:val="18"/>
                  <w:szCs w:val="18"/>
                  <w:color w:val="0000EE"/>
                  <w:w w:val="94"/>
                </w:rPr>
                <w:t>Form of Pre-Funded Warrant to Purchase Common Stock, dated March 19, 2020 (incorporated by reference from Exhibit 4.1 to our</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Current Report on Form 8-K filed with the SEC on March 19, 2020)</w:t>
              </w:r>
            </w:hyperlink>
          </w:p>
        </w:tc>
        <w:tc>
          <w:tcPr>
            <w:tcW w:w="42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4.18</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4"/>
              </w:rPr>
            </w:pPr>
            <w:hyperlink r:id="rId86">
              <w:r>
                <w:rPr>
                  <w:rFonts w:ascii="Arial" w:cs="Arial" w:eastAsia="Arial" w:hAnsi="Arial"/>
                  <w:sz w:val="18"/>
                  <w:szCs w:val="18"/>
                  <w:color w:val="0000EE"/>
                  <w:w w:val="94"/>
                </w:rPr>
                <w:t>Form of Pre-Funded Warrant to Purchase Common Stock, dated March 25, 2020 (incorporated by reference from Exhibit 4.1 to our</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Current Report on Form 8-K filed with the SEC on March 26, 2020)</w:t>
              </w:r>
            </w:hyperlink>
          </w:p>
        </w:tc>
        <w:tc>
          <w:tcPr>
            <w:tcW w:w="42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4.19</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4"/>
              </w:rPr>
            </w:pPr>
            <w:hyperlink r:id="rId87">
              <w:r>
                <w:rPr>
                  <w:rFonts w:ascii="Arial" w:cs="Arial" w:eastAsia="Arial" w:hAnsi="Arial"/>
                  <w:sz w:val="18"/>
                  <w:szCs w:val="18"/>
                  <w:color w:val="0000EE"/>
                  <w:w w:val="94"/>
                </w:rPr>
                <w:t>Form of Pre-Funded Warrant to Purchase Common Stock, dated March 27, 2020 (incorporated by reference from Exhibit 4.1 to our</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Current Report on Form 8-K filed with the SEC on March 30, 2020)</w:t>
              </w:r>
            </w:hyperlink>
          </w:p>
        </w:tc>
        <w:tc>
          <w:tcPr>
            <w:tcW w:w="42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4.20</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6"/>
              </w:rPr>
            </w:pPr>
            <w:hyperlink r:id="rId88">
              <w:r>
                <w:rPr>
                  <w:rFonts w:ascii="Arial" w:cs="Arial" w:eastAsia="Arial" w:hAnsi="Arial"/>
                  <w:sz w:val="18"/>
                  <w:szCs w:val="18"/>
                  <w:color w:val="0000EE"/>
                  <w:w w:val="96"/>
                </w:rPr>
                <w:t>Form of Pre-Funded Warrant to Purchase Common Stock, dated April 6, 2020 (incorporated by reference from Exhibit 4.1 to our</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Current Report on Form 8-K filed with the SEC on April 7, 2020)</w:t>
              </w:r>
            </w:hyperlink>
          </w:p>
        </w:tc>
        <w:tc>
          <w:tcPr>
            <w:tcW w:w="600" w:type="dxa"/>
            <w:vAlign w:val="bottom"/>
            <w:gridSpan w:val="8"/>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4.21</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4"/>
              </w:rPr>
            </w:pPr>
            <w:hyperlink r:id="rId89">
              <w:r>
                <w:rPr>
                  <w:rFonts w:ascii="Arial" w:cs="Arial" w:eastAsia="Arial" w:hAnsi="Arial"/>
                  <w:sz w:val="18"/>
                  <w:szCs w:val="18"/>
                  <w:color w:val="0000EE"/>
                  <w:w w:val="94"/>
                </w:rPr>
                <w:t>Amended and Restated Calm Note, dated as of April 17, 2020 (incorporated by reference from Exhibit 4.1 to our Current Report 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Form 8-K filed with the SEC on April 17, 2020).</w:t>
              </w:r>
            </w:hyperlink>
          </w:p>
        </w:tc>
        <w:tc>
          <w:tcPr>
            <w:tcW w:w="400" w:type="dxa"/>
            <w:vAlign w:val="bottom"/>
            <w:gridSpan w:val="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4.22</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Fourth Amended and Restated Convertible Promissory Note dated March 6, 2020 issued to B3D, LLC (incorporated by reference from</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Exhibit 4.1 to our Current Report on Form 8-K filed with the SEC on March 6, 2020)</w:t>
              </w:r>
            </w:hyperlink>
          </w:p>
        </w:tc>
        <w:tc>
          <w:tcPr>
            <w:tcW w:w="1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4.23</w:t>
              </w:r>
            </w:hyperlink>
          </w:p>
        </w:tc>
        <w:tc>
          <w:tcPr>
            <w:tcW w:w="220" w:type="dxa"/>
            <w:vAlign w:val="bottom"/>
          </w:tcPr>
          <w:p>
            <w:pPr>
              <w:spacing w:after="0"/>
              <w:rPr>
                <w:sz w:val="24"/>
                <w:szCs w:val="24"/>
                <w:color w:val="auto"/>
              </w:rPr>
            </w:pPr>
          </w:p>
        </w:tc>
        <w:tc>
          <w:tcPr>
            <w:tcW w:w="9860" w:type="dxa"/>
            <w:vAlign w:val="bottom"/>
            <w:tcBorders>
              <w:bottom w:val="single" w:sz="8" w:color="0000EE"/>
            </w:tcBorders>
            <w:gridSpan w:val="17"/>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Amended and Restated Convertible Promissory Note, dated as of April 22, 2020 (incorporated by reference to Exhibit 4.1 to our Current</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Report filed with the SEC on April 24, 2020)</w:t>
              </w:r>
            </w:hyperlink>
          </w:p>
        </w:tc>
        <w:tc>
          <w:tcPr>
            <w:tcW w:w="6620" w:type="dxa"/>
            <w:vAlign w:val="bottom"/>
            <w:gridSpan w:val="14"/>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4.24</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3"/>
              </w:rPr>
            </w:pPr>
            <w:hyperlink r:id="rId91">
              <w:r>
                <w:rPr>
                  <w:rFonts w:ascii="Arial" w:cs="Arial" w:eastAsia="Arial" w:hAnsi="Arial"/>
                  <w:sz w:val="18"/>
                  <w:szCs w:val="18"/>
                  <w:color w:val="0000EE"/>
                  <w:w w:val="93"/>
                </w:rPr>
                <w:t>Form of June 2020 Common Stock Purchase Warrant (incorporated by reference from Exhibit 4.1 to our Current Report on Form 8-K</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filed with the SEC on June 17, 2020)</w:t>
              </w:r>
            </w:hyperlink>
          </w:p>
        </w:tc>
        <w:tc>
          <w:tcPr>
            <w:tcW w:w="26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4.25</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Form of June 2020 Placement Agent Common Stock Purchase Warrant (incorporated by reference from Exhibit 4.2 to our Current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Report on Form 8-K filed with the SEC on June 17, 2020)</w:t>
              </w:r>
            </w:hyperlink>
          </w:p>
        </w:tc>
        <w:tc>
          <w:tcPr>
            <w:tcW w:w="50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4.26</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Securities Purchase Agreement dated as of June 17, 2020, between the Company and each purchaser identified on the signature pages</w:t>
              </w:r>
            </w:hyperlink>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20" w:type="dxa"/>
            <w:vAlign w:val="bottom"/>
            <w:tcBorders>
              <w:top w:val="single" w:sz="8" w:color="0000EE"/>
            </w:tcBorders>
            <w:gridSpan w:val="14"/>
          </w:tcPr>
          <w:p>
            <w:pPr>
              <w:spacing w:after="0"/>
              <w:rPr>
                <w:rFonts w:ascii="Arial" w:cs="Arial" w:eastAsia="Arial" w:hAnsi="Arial"/>
                <w:sz w:val="18"/>
                <w:szCs w:val="18"/>
                <w:u w:val="single" w:color="auto"/>
                <w:color w:val="0000EE"/>
                <w:w w:val="97"/>
              </w:rPr>
            </w:pPr>
            <w:hyperlink r:id="rId93">
              <w:r>
                <w:rPr>
                  <w:rFonts w:ascii="Arial" w:cs="Arial" w:eastAsia="Arial" w:hAnsi="Arial"/>
                  <w:sz w:val="18"/>
                  <w:szCs w:val="18"/>
                  <w:u w:val="single" w:color="auto"/>
                  <w:color w:val="0000EE"/>
                  <w:w w:val="97"/>
                </w:rPr>
                <w:t>thereto (incorporated by reference from Exhibit 10.1 to our Current Report on Form 8-K filed with the SEC on June 17, 2020)</w:t>
              </w:r>
            </w:hyperlink>
          </w:p>
        </w:tc>
        <w:tc>
          <w:tcPr>
            <w:tcW w:w="260" w:type="dxa"/>
            <w:vAlign w:val="bottom"/>
            <w:gridSpan w:val="4"/>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24"/>
                <w:szCs w:val="24"/>
                <w:color w:val="auto"/>
              </w:rPr>
            </w:pPr>
          </w:p>
        </w:tc>
        <w:tc>
          <w:tcPr>
            <w:tcW w:w="9880" w:type="dxa"/>
            <w:vAlign w:val="bottom"/>
            <w:gridSpan w:val="18"/>
          </w:tcPr>
          <w:p>
            <w:pPr>
              <w:spacing w:after="0"/>
              <w:rPr>
                <w:sz w:val="20"/>
                <w:szCs w:val="20"/>
                <w:color w:val="auto"/>
              </w:rPr>
            </w:pPr>
            <w:r>
              <w:rPr>
                <w:rFonts w:ascii="Arial" w:cs="Arial" w:eastAsia="Arial" w:hAnsi="Arial"/>
                <w:sz w:val="18"/>
                <w:szCs w:val="18"/>
                <w:color w:val="auto"/>
              </w:rPr>
              <w:t>Form of Certificate of Designation with respect to Preferred Stock</w:t>
            </w:r>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4.28</w:t>
              </w:r>
            </w:hyperlink>
          </w:p>
        </w:tc>
        <w:tc>
          <w:tcPr>
            <w:tcW w:w="220" w:type="dxa"/>
            <w:vAlign w:val="bottom"/>
          </w:tcPr>
          <w:p>
            <w:pPr>
              <w:spacing w:after="0"/>
              <w:rPr>
                <w:sz w:val="24"/>
                <w:szCs w:val="24"/>
                <w:color w:val="auto"/>
              </w:rPr>
            </w:pPr>
          </w:p>
        </w:tc>
        <w:tc>
          <w:tcPr>
            <w:tcW w:w="9840" w:type="dxa"/>
            <w:vAlign w:val="bottom"/>
            <w:tcBorders>
              <w:bottom w:val="single" w:sz="8" w:color="0000EE"/>
            </w:tcBorders>
            <w:gridSpan w:val="16"/>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Senior Indenture (incorporated by reference from Exhibit 4.14 to our Registration Statement on Form S-3 filed with the SEC on</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July 22, 2019)</w:t>
              </w:r>
            </w:hyperlink>
          </w:p>
        </w:tc>
        <w:tc>
          <w:tcPr>
            <w:tcW w:w="8840" w:type="dxa"/>
            <w:vAlign w:val="bottom"/>
            <w:gridSpan w:val="17"/>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4.29</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Form of Subordinated Indenture (incorporated by reference from Exhibit 4.14 to our Registration Statement on Form S-3 filed with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SEC on July 22, 2019)</w:t>
              </w:r>
            </w:hyperlink>
          </w:p>
        </w:tc>
        <w:tc>
          <w:tcPr>
            <w:tcW w:w="8080" w:type="dxa"/>
            <w:vAlign w:val="bottom"/>
            <w:tcBorders>
              <w:top w:val="single" w:sz="8" w:color="0000EE"/>
            </w:tcBorders>
            <w:gridSpan w:val="13"/>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24"/>
                <w:szCs w:val="24"/>
                <w:color w:val="auto"/>
              </w:rPr>
            </w:pPr>
          </w:p>
        </w:tc>
        <w:tc>
          <w:tcPr>
            <w:tcW w:w="9880" w:type="dxa"/>
            <w:vAlign w:val="bottom"/>
            <w:gridSpan w:val="18"/>
          </w:tcPr>
          <w:p>
            <w:pPr>
              <w:spacing w:after="0"/>
              <w:rPr>
                <w:sz w:val="20"/>
                <w:szCs w:val="20"/>
                <w:color w:val="auto"/>
              </w:rPr>
            </w:pPr>
            <w:r>
              <w:rPr>
                <w:rFonts w:ascii="Arial" w:cs="Arial" w:eastAsia="Arial" w:hAnsi="Arial"/>
                <w:sz w:val="18"/>
                <w:szCs w:val="18"/>
                <w:color w:val="auto"/>
              </w:rPr>
              <w:t>Form of Senior Debt Security</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24"/>
                <w:szCs w:val="24"/>
                <w:color w:val="auto"/>
              </w:rPr>
            </w:pPr>
          </w:p>
        </w:tc>
        <w:tc>
          <w:tcPr>
            <w:tcW w:w="9880" w:type="dxa"/>
            <w:vAlign w:val="bottom"/>
            <w:gridSpan w:val="18"/>
          </w:tcPr>
          <w:p>
            <w:pPr>
              <w:spacing w:after="0"/>
              <w:rPr>
                <w:sz w:val="20"/>
                <w:szCs w:val="20"/>
                <w:color w:val="auto"/>
              </w:rPr>
            </w:pPr>
            <w:r>
              <w:rPr>
                <w:rFonts w:ascii="Arial" w:cs="Arial" w:eastAsia="Arial" w:hAnsi="Arial"/>
                <w:sz w:val="18"/>
                <w:szCs w:val="18"/>
                <w:color w:val="auto"/>
              </w:rPr>
              <w:t>Form of Subordinated Debt Security</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24"/>
                <w:szCs w:val="24"/>
                <w:color w:val="auto"/>
              </w:rPr>
            </w:pPr>
          </w:p>
        </w:tc>
        <w:tc>
          <w:tcPr>
            <w:tcW w:w="9880" w:type="dxa"/>
            <w:vAlign w:val="bottom"/>
            <w:gridSpan w:val="18"/>
          </w:tcPr>
          <w:p>
            <w:pPr>
              <w:spacing w:after="0"/>
              <w:rPr>
                <w:sz w:val="20"/>
                <w:szCs w:val="20"/>
                <w:color w:val="auto"/>
              </w:rPr>
            </w:pPr>
            <w:r>
              <w:rPr>
                <w:rFonts w:ascii="Arial" w:cs="Arial" w:eastAsia="Arial" w:hAnsi="Arial"/>
                <w:sz w:val="18"/>
                <w:szCs w:val="18"/>
                <w:color w:val="auto"/>
              </w:rPr>
              <w:t>Form of Warrant Agreement and Warrant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24"/>
                <w:szCs w:val="24"/>
                <w:color w:val="auto"/>
              </w:rPr>
            </w:pPr>
          </w:p>
        </w:tc>
        <w:tc>
          <w:tcPr>
            <w:tcW w:w="9880" w:type="dxa"/>
            <w:vAlign w:val="bottom"/>
            <w:gridSpan w:val="18"/>
          </w:tcPr>
          <w:p>
            <w:pPr>
              <w:spacing w:after="0"/>
              <w:rPr>
                <w:sz w:val="20"/>
                <w:szCs w:val="20"/>
                <w:color w:val="auto"/>
              </w:rPr>
            </w:pPr>
            <w:r>
              <w:rPr>
                <w:rFonts w:ascii="Arial" w:cs="Arial" w:eastAsia="Arial" w:hAnsi="Arial"/>
                <w:sz w:val="18"/>
                <w:szCs w:val="18"/>
                <w:color w:val="auto"/>
              </w:rPr>
              <w:t>Form of Rights Agreement and Right Certificate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24"/>
                <w:szCs w:val="24"/>
                <w:color w:val="auto"/>
              </w:rPr>
            </w:pPr>
          </w:p>
        </w:tc>
        <w:tc>
          <w:tcPr>
            <w:tcW w:w="9880" w:type="dxa"/>
            <w:vAlign w:val="bottom"/>
            <w:gridSpan w:val="18"/>
          </w:tcPr>
          <w:p>
            <w:pPr>
              <w:spacing w:after="0"/>
              <w:rPr>
                <w:sz w:val="20"/>
                <w:szCs w:val="20"/>
                <w:color w:val="auto"/>
              </w:rPr>
            </w:pPr>
            <w:r>
              <w:rPr>
                <w:rFonts w:ascii="Arial" w:cs="Arial" w:eastAsia="Arial" w:hAnsi="Arial"/>
                <w:sz w:val="18"/>
                <w:szCs w:val="18"/>
                <w:color w:val="auto"/>
              </w:rPr>
              <w:t>Form of Unit Agreement and Unit</w:t>
            </w:r>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5.1</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Opinion of Bryan Cave Leighton Paisner LLP</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23.1</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Consent of CohnReznick LLP, independent registered public accounting firm</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23.2</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Consent of Bryan Cave Leighton Paisner LLP (included in Exhibit 5.1)</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24.1</w:t>
              </w:r>
            </w:hyperlink>
          </w:p>
        </w:tc>
        <w:tc>
          <w:tcPr>
            <w:tcW w:w="22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Power of Attorney (included in the signature page hereto)</w:t>
              </w:r>
            </w:hyperlink>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4"/>
                <w:szCs w:val="24"/>
                <w:color w:val="auto"/>
              </w:rPr>
            </w:pPr>
          </w:p>
        </w:tc>
        <w:tc>
          <w:tcPr>
            <w:tcW w:w="9880" w:type="dxa"/>
            <w:vAlign w:val="bottom"/>
            <w:gridSpan w:val="18"/>
          </w:tcPr>
          <w:p>
            <w:pPr>
              <w:spacing w:after="0"/>
              <w:rPr>
                <w:sz w:val="20"/>
                <w:szCs w:val="20"/>
                <w:color w:val="auto"/>
              </w:rPr>
            </w:pPr>
            <w:r>
              <w:rPr>
                <w:rFonts w:ascii="Arial" w:cs="Arial" w:eastAsia="Arial" w:hAnsi="Arial"/>
                <w:sz w:val="18"/>
                <w:szCs w:val="18"/>
                <w:color w:val="auto"/>
              </w:rPr>
              <w:t>Statement of Eligibility under the Trust Indenture Act of 1939, as amended, of the Trustee</w:t>
            </w:r>
          </w:p>
        </w:tc>
      </w:tr>
    </w:tbl>
    <w:p>
      <w:pPr>
        <w:spacing w:after="0" w:line="202" w:lineRule="exact"/>
        <w:rPr>
          <w:sz w:val="20"/>
          <w:szCs w:val="20"/>
          <w:color w:val="auto"/>
        </w:rPr>
      </w:pPr>
    </w:p>
    <w:p>
      <w:pPr>
        <w:ind w:left="5500" w:right="1700" w:hanging="5492"/>
        <w:spacing w:after="0" w:line="778"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be subsequently filed, if applicable, by an amendment to this registration statement or by a Current Report on Form 8-K 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807" w:gutter="0" w:footer="0" w:header="0"/>
        </w:sectPr>
      </w:pPr>
    </w:p>
    <w:bookmarkStart w:id="35" w:name="page36"/>
    <w:bookmarkEnd w:id="35"/>
    <w:p>
      <w:pPr>
        <w:spacing w:after="0"/>
        <w:tabs>
          <w:tab w:leader="none" w:pos="8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980" w:right="20" w:hanging="324"/>
        <w:spacing w:after="0" w:line="254"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980" w:right="520" w:hanging="324"/>
        <w:spacing w:after="0" w:line="277"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340" w:right="2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660" w:right="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980" w:right="20" w:hanging="324"/>
        <w:spacing w:after="0" w:line="287"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52" w:right="280" w:hanging="328"/>
        <w:spacing w:after="0" w:line="257" w:lineRule="auto"/>
        <w:tabs>
          <w:tab w:leader="none" w:pos="6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972" w:hanging="324"/>
        <w:spacing w:after="0"/>
        <w:tabs>
          <w:tab w:leader="none" w:pos="972" w:val="left"/>
        </w:tabs>
        <w:numPr>
          <w:ilvl w:val="2"/>
          <w:numId w:val="28"/>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972" w:right="20" w:hanging="324"/>
        <w:spacing w:after="0" w:line="277" w:lineRule="auto"/>
        <w:tabs>
          <w:tab w:leader="none" w:pos="9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72" w:hanging="324"/>
        <w:spacing w:after="0" w:line="277" w:lineRule="auto"/>
        <w:tabs>
          <w:tab w:leader="none" w:pos="9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72" w:hanging="324"/>
        <w:spacing w:after="0"/>
        <w:tabs>
          <w:tab w:leader="none" w:pos="9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225" w:lineRule="exact"/>
        <w:rPr>
          <w:sz w:val="20"/>
          <w:szCs w:val="20"/>
          <w:color w:val="auto"/>
        </w:rPr>
      </w:pPr>
    </w:p>
    <w:p>
      <w:pPr>
        <w:jc w:val="both"/>
        <w:ind w:left="652" w:right="340" w:hanging="328"/>
        <w:spacing w:after="0" w:line="263" w:lineRule="auto"/>
        <w:tabs>
          <w:tab w:leader="none" w:pos="6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83"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0" w:lineRule="exact"/>
        <w:rPr>
          <w:rFonts w:ascii="Arial" w:cs="Arial" w:eastAsia="Arial" w:hAnsi="Arial"/>
          <w:sz w:val="18"/>
          <w:szCs w:val="18"/>
          <w:color w:val="auto"/>
        </w:rPr>
      </w:pPr>
    </w:p>
    <w:p>
      <w:pPr>
        <w:ind w:left="332" w:right="100" w:hanging="332"/>
        <w:spacing w:after="0" w:line="257"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332" w:right="20" w:hanging="332"/>
        <w:spacing w:after="0" w:line="291" w:lineRule="auto"/>
        <w:tabs>
          <w:tab w:leader="none" w:pos="3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6" w:lineRule="exact"/>
        <w:rPr>
          <w:rFonts w:ascii="Arial" w:cs="Arial" w:eastAsia="Arial" w:hAnsi="Arial"/>
          <w:sz w:val="16"/>
          <w:szCs w:val="16"/>
          <w:color w:val="auto"/>
        </w:rPr>
      </w:pPr>
    </w:p>
    <w:p>
      <w:pPr>
        <w:ind w:left="332" w:hanging="332"/>
        <w:spacing w:after="0"/>
        <w:tabs>
          <w:tab w:leader="none" w:pos="3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6"/>
          <w:szCs w:val="16"/>
          <w:color w:val="auto"/>
        </w:rPr>
        <w:t>(a) of Section 310 of the Trust Indenture Act (“Act”) in accordance with the rules and regulations prescribed by the Commission under section 305(b)</w:t>
      </w:r>
    </w:p>
    <w:p>
      <w:pPr>
        <w:spacing w:after="0" w:line="32"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(2) of the Act.</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24th day of July, 2020.</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(Principal Executive Officer, Principal</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Officer and Principal Accounting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XpresSpa Group, Inc. constitutes and appoints Douglas Satzman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with full power to act alone, full power and authority to do and perform each and every act and thing requisite and necessary to be done in and about the premises, as fully to all intents and purposes as he or she might or could do in person, and hereby ratifying and confirming all that the said attorney-in-fact and agent, or his substitute or substitute, may lawfully do or cause to be done by virtue hereof.</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360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6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Doug Satzman</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July 24, 2020</w:t>
            </w:r>
          </w:p>
        </w:tc>
      </w:tr>
      <w:tr>
        <w:trPr>
          <w:trHeight w:val="188"/>
        </w:trPr>
        <w:tc>
          <w:tcPr>
            <w:tcW w:w="3620" w:type="dxa"/>
            <w:vAlign w:val="bottom"/>
          </w:tcPr>
          <w:p>
            <w:pPr>
              <w:ind w:left="20"/>
              <w:spacing w:after="0" w:line="189" w:lineRule="exact"/>
              <w:rPr>
                <w:sz w:val="20"/>
                <w:szCs w:val="20"/>
                <w:color w:val="auto"/>
              </w:rPr>
            </w:pPr>
            <w:r>
              <w:rPr>
                <w:rFonts w:ascii="Arial" w:cs="Arial" w:eastAsia="Arial" w:hAnsi="Arial"/>
                <w:sz w:val="18"/>
                <w:szCs w:val="18"/>
                <w:color w:val="auto"/>
              </w:rPr>
              <w:t>Douglas Satzman</w:t>
            </w:r>
          </w:p>
        </w:tc>
        <w:tc>
          <w:tcPr>
            <w:tcW w:w="220" w:type="dxa"/>
            <w:vAlign w:val="bottom"/>
          </w:tcPr>
          <w:p>
            <w:pPr>
              <w:spacing w:after="0"/>
              <w:rPr>
                <w:sz w:val="16"/>
                <w:szCs w:val="16"/>
                <w:color w:val="auto"/>
              </w:rPr>
            </w:pPr>
          </w:p>
        </w:tc>
        <w:tc>
          <w:tcPr>
            <w:tcW w:w="3800" w:type="dxa"/>
            <w:vAlign w:val="bottom"/>
            <w:gridSpan w:val="2"/>
          </w:tcPr>
          <w:p>
            <w:pPr>
              <w:spacing w:after="0" w:line="189" w:lineRule="exact"/>
              <w:rPr>
                <w:sz w:val="20"/>
                <w:szCs w:val="20"/>
                <w:color w:val="auto"/>
              </w:rPr>
            </w:pPr>
            <w:r>
              <w:rPr>
                <w:rFonts w:ascii="Arial" w:cs="Arial" w:eastAsia="Arial" w:hAnsi="Arial"/>
                <w:sz w:val="18"/>
                <w:szCs w:val="18"/>
                <w:color w:val="auto"/>
              </w:rPr>
              <w:t>(Principal Executive Officer, Principal Financial</w:t>
            </w:r>
          </w:p>
        </w:tc>
        <w:tc>
          <w:tcPr>
            <w:tcW w:w="360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Officer and Principal Accounting Officer)</w:t>
            </w:r>
          </w:p>
        </w:tc>
        <w:tc>
          <w:tcPr>
            <w:tcW w:w="3600" w:type="dxa"/>
            <w:vAlign w:val="bottom"/>
          </w:tcPr>
          <w:p>
            <w:pPr>
              <w:spacing w:after="0"/>
              <w:rPr>
                <w:sz w:val="20"/>
                <w:szCs w:val="20"/>
                <w:color w:val="auto"/>
              </w:rPr>
            </w:pPr>
          </w:p>
        </w:tc>
      </w:tr>
      <w:tr>
        <w:trPr>
          <w:trHeight w:val="45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Bruce T. Bernstein</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July 24, 2020</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Bruce T. Bernstein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Weinstein</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July 24, 2020</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Robert Weinstein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Donald E. Stout</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July 24, 2020</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Lebowitz</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July 24, 2020</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Michael Lebowitz</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3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color w:val="auto"/>
              </w:rPr>
              <w:t>II-7</w:t>
            </w: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291465</wp:posOffset>
            </wp:positionV>
            <wp:extent cx="1320165" cy="754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0">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-121920</wp:posOffset>
            </wp:positionV>
            <wp:extent cx="1731645" cy="917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1">
                      <a:extLst>
                        <a:ext uri="{28A0092B-C50C-407E-A947-70E740481C1C}"/>
                      </a:extLst>
                    </a:blip>
                    <a:srcRect/>
                    <a:stretch>
                      <a:fillRect/>
                    </a:stretch>
                  </pic:blipFill>
                  <pic:spPr bwMode="auto">
                    <a:xfrm>
                      <a:off x="0" y="0"/>
                      <a:ext cx="173164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ectPr>
          <w:pgSz w:w="11900" w:h="16838" w:orient="portrait"/>
          <w:cols w:equalWidth="0" w:num="1">
            <w:col w:w="11240"/>
          </w:cols>
          <w:pgMar w:left="320" w:top="121" w:right="3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w:t>
      </w:r>
    </w:p>
    <w:p>
      <w:pPr>
        <w:spacing w:after="0" w:line="200" w:lineRule="exact"/>
        <w:rPr>
          <w:sz w:val="20"/>
          <w:szCs w:val="20"/>
          <w:color w:val="auto"/>
        </w:rPr>
      </w:pPr>
    </w:p>
    <w:p>
      <w:pPr>
        <w:sectPr>
          <w:pgSz w:w="11900" w:h="16838" w:orient="portrait"/>
          <w:cols w:equalWidth="0" w:num="2">
            <w:col w:w="260" w:space="420"/>
            <w:col w:w="10560"/>
          </w:cols>
          <w:pgMar w:left="320" w:top="121"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acted as special counsel to XpresSpa Group, Inc., a Delaware corporation (the “Company”), in connection with a Registration Statement on Form S-3 (the “Registration Statement”), being filed this date by the Company with the Securities and Exchange Commission (the “Commission”) under the Securities Act of 1933, as amended (the “Securities Act”), relating to the issuance by the Company of up to an aggregate of $200,000,000 of (i) shares of common stock of the Company, par value $0.01 per share (the “Common Stock”); (ii) shares of preferred stock of the Company, par value $0.01 per share (the “Preferred Stock”); (iii) senior debt securities of the Company (the “Senior Debt Securities”); (iv) subordinated debt securities of the Company (the “Subordinated Debt Securities” and, together with the Senior Debt Securities, the “Debt Securities”); (v) warrants to purchase Common Stock, Preferred Stock and/or Debt Securities (the “Warrants”); (vi) rights to purchase Common Stock, Preferred Stock or any other securities of the Company covered by the Registration Statement (the “Rights”); and (vii) units of the Company (the “Units”), consisting of one or more of Common Stock, Preferred Stock, Debt Securities, Warrants or Rights. The Common Stock, the Preferred Stock, the Debt Securities, the Warrants, the Rights and the Units are hereinafter referred to collectively as the “Shelf Securities.” The Shelf Securities may be issued and sold from time to time as set forth in the Registration Statement, any amendment thereto, and the base prospectus contained therein (the “Base Prospectus”) and any supplements thereto or term sheets to be filed pursuant to the rules and regulations promulgated under the Securities Act.</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Senior Debt Securities will be issued under a senior indenture (the “Senior Indenture”), to be entered into by the Company and a trustee qualified to act as such under the Trust Indenture Act of 1939 (the “Indenture Trustee”). The Subordinated Debt Securities will be issued under a subordinated indenture (the “Subordinated Indenture”), to be entered into by the Company and the Indenture Trustee. The Warrants will be issued pursuant to one or more warrant agreements (each, a “Warrant Agreement”) to be entered into between the Company and a warrant agent to be specified therein. The Rights will be issued pursuant to a rights agreement (the “Rights Agreement”) to be entered into between the Company and a rights agent to be specified therein (the “Rights Agent”). The Units will be issued pursuant to a unit agreement (the “Unit Agreement”) to be entered into between the Company and a unit agent to be specified therein (the “Unit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XSpresSpa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-121920</wp:posOffset>
            </wp:positionV>
            <wp:extent cx="1320165" cy="754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3">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herewith, we have examined the Registration Statement, including the form of Senior Indenture filed as Exhibit 4.28 thereto and the form of Subordinated Indenture filed as Exhibit 4.29 thereto. We have also examined originals or copies, certified or otherwise identified to our satisfaction, of the Amended and Restated Certificate of Incorporation, as amended, and the Amended and Restated Bylaws of the Company and such other corporate records, agreements and instruments of the Company,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Commission’s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have been filed with the Commission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Registration Statement and certificates and statements of appropriate representatives of the Company.</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also have assumed that: (1) at the time of execution, authentication, issuance and delivery of the Debt Securities, the Senior Indenture or Subordinated Indenture, as applicable, will have been duly authorized, executed and delivered by the Company and the Indenture Trustee and will be the valid and legally binding obligation of the Indenture Trustee, enforceable against such party in accordance with its terms; (2) at the time of the execution, countersignature, issuance and delivery of any Warrants, the related Warrant Agreement will be the valid and legally binding obligation of each party thereto (other than the Company), enforceable against such party in accordance with its terms; (3) at the time of the execution, countersignature, issuance and delivery of the Rights, the related Rights Agreement will be the valid and legally binding obligation of the Rights Agent, enforceable against such party in accordance with its terms; and (4) at the time of the execution, countersignature, issuance and delivery of the Units, the related Unit Agreement will be the valid and legally binding obligation of the Unit Agent, enforceable against such party in accordance with its terms.</w:t>
      </w:r>
    </w:p>
    <w:p>
      <w:pPr>
        <w:spacing w:after="0" w:line="16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have assumed further that: (1) at the time of execution, authentication, issuance and delivery of the Debt Securities, the Senior Indenture or Subordinated Indenture, as applicable, will be in full force and effect and will not have been terminated or rescinded by the Company or the Indenture Trustee; (2) at the time of execution, countersignature, issuance and delivery of any Warrants, the related Warrant Agreement will have been duly authorized, executed and delivered by the Company and each of the other parties thereto and will be in full force and effect and will not have been terminated or rescinded by the Company or any such other party; (3) at the time of execution, issuance and delivery of the Rights, the Rights Agreement will have been duly authorized, executed and delivered by the Company and the Unit Agent and will be in full force and effect and will not have been terminated or rescinded by the Company or the Unit Agent; (4) at the time of execution, issuance and delivery of the Units, the Unit Agreement will have been duly authorized, executed and delivered by the Company and the Unit Agent and will be in full force and effect and will not have been terminated or rescinded by the Company or the Unit Agent; and (5) at the time of issuance and sale of any of the Shelf Securities, the terms of the Shelf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XSpresSpa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-121920</wp:posOffset>
            </wp:positionV>
            <wp:extent cx="1320165" cy="754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5">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upon the foregoing and in reliance thereon, and subject to the assumptions, comments, qualifications, limitations and exceptions stated herein and the effectiveness of the Registration Statement under the Securities Act, we are of the opinion that:</w:t>
      </w:r>
    </w:p>
    <w:p>
      <w:pPr>
        <w:spacing w:after="0" w:line="170" w:lineRule="exact"/>
        <w:rPr>
          <w:sz w:val="20"/>
          <w:szCs w:val="20"/>
          <w:color w:val="auto"/>
        </w:rPr>
      </w:pPr>
    </w:p>
    <w:p>
      <w:pPr>
        <w:ind w:right="20" w:firstLine="8"/>
        <w:spacing w:after="0" w:line="257" w:lineRule="auto"/>
        <w:tabs>
          <w:tab w:leader="none" w:pos="6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the Common Stock, assuming the (a) taking by the Board of Directors of the Company or a duly constituted and acting committee of such board (such Board of Directors or committee being referred to herein as the “Board”) of all necessary corporate action to authorize and approve the issuance of the Common Stock and (b) due issuance and delivery of the Common Stock upon payment therefor in accordance with the applicable definitive purchase, underwriting or similar agreement approved by the Board, or upon the exercise, conversion or exchange of any Shelf Securities, the Common Stock will be validly issued, fully paid and nonassessable.</w:t>
      </w:r>
    </w:p>
    <w:p>
      <w:pPr>
        <w:spacing w:after="0" w:line="187" w:lineRule="exact"/>
        <w:rPr>
          <w:rFonts w:ascii="Arial" w:cs="Arial" w:eastAsia="Arial" w:hAnsi="Arial"/>
          <w:sz w:val="18"/>
          <w:szCs w:val="18"/>
          <w:color w:val="auto"/>
        </w:rPr>
      </w:pPr>
    </w:p>
    <w:p>
      <w:pPr>
        <w:ind w:right="140" w:firstLine="8"/>
        <w:spacing w:after="0" w:line="259" w:lineRule="auto"/>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the Preferred Stock, assuming the (a) taking by the Board of all necessary corporate action to authorize and approve the issuance of the Preferred Stock and (b) due issuance and delivery of the Preferred Stock upon payment therefor in accordance with the applicable definitive purchase, underwriting or similar agreement approved by the Board, or upon the exercise, conversion or exchange of any Shelf Securities, the Preferred Stock will be validly issued, fully paid and nonassessable.</w:t>
      </w:r>
    </w:p>
    <w:p>
      <w:pPr>
        <w:spacing w:after="0" w:line="186" w:lineRule="exact"/>
        <w:rPr>
          <w:rFonts w:ascii="Arial" w:cs="Arial" w:eastAsia="Arial" w:hAnsi="Arial"/>
          <w:sz w:val="18"/>
          <w:szCs w:val="18"/>
          <w:color w:val="auto"/>
        </w:rPr>
      </w:pPr>
    </w:p>
    <w:p>
      <w:pPr>
        <w:ind w:firstLine="8"/>
        <w:spacing w:after="0" w:line="255" w:lineRule="auto"/>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and otherwise in accordance with the provisions of (i) the Senior Indenture, in the case of the Senior Debt Securities, or (ii) the Subordinated Indenture, in the case of the Subordinated Debt Securities, in each case as applicable, such Debt Securities will constitute valid and binding obligations of the Company enforceable against the Company in accordance with their terms.</w:t>
      </w:r>
    </w:p>
    <w:p>
      <w:pPr>
        <w:spacing w:after="0" w:line="192" w:lineRule="exact"/>
        <w:rPr>
          <w:rFonts w:ascii="Arial" w:cs="Arial" w:eastAsia="Arial" w:hAnsi="Arial"/>
          <w:sz w:val="18"/>
          <w:szCs w:val="18"/>
          <w:color w:val="auto"/>
        </w:rPr>
      </w:pPr>
    </w:p>
    <w:p>
      <w:pPr>
        <w:ind w:right="20" w:firstLine="8"/>
        <w:spacing w:after="0" w:line="257" w:lineRule="auto"/>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the Warrants, assuming the (a) taking of all necessary corporate action to authorize and approve the issuance and terms of the Warrants, the terms of the offering thereof and related matters and (b) due execution, countersignature, issuance and delivery of such Warrants upon payment of the consideration for such Warrants provided for in the applicable definitive purchase, underwriting or similar agreement approved by the Board and otherwise in accordance with the provisions of the applicable Warrant Agreement, such Warrants will constitute valid and binding obligations of the Company, enforceable against the Company in accordance with their terms.</w:t>
      </w:r>
    </w:p>
    <w:p>
      <w:pPr>
        <w:spacing w:after="0" w:line="187" w:lineRule="exact"/>
        <w:rPr>
          <w:rFonts w:ascii="Arial" w:cs="Arial" w:eastAsia="Arial" w:hAnsi="Arial"/>
          <w:sz w:val="18"/>
          <w:szCs w:val="18"/>
          <w:color w:val="auto"/>
        </w:rPr>
      </w:pPr>
    </w:p>
    <w:p>
      <w:pPr>
        <w:ind w:right="20" w:firstLine="8"/>
        <w:spacing w:after="0" w:line="272" w:lineRule="auto"/>
        <w:tabs>
          <w:tab w:leader="none" w:pos="671"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With respect to the Rights, assuming the (a) taking of all necessary corporate action to authorize and approve the issuance and terms of any Rights, the related Rights Agreements and any Shelf Securities which are components of the Rights, (b) due execution, countersignature (where applicable), authentication, issuance and delivery of the Rights, the Rights Agreements, and the Shelf Securities that are components of such Rights, in each case upon the payment of the consideration therefor provided for in the applicable definitive purchase, underwriting or similar agreement approved by the Board, and otherwise in accordance with the provisions of the applicable (i) Warrant Agreement, in the case of Warrants, (ii) Senior Indenture, in the case of Senior Debt Securities, and (iii) Subordinated Indenture, in the case of Subordinated Debt Securities, such Rights will be validly issued and will entitle the holders thereof to the rights specified in the Rights Agreements.</w:t>
      </w:r>
    </w:p>
    <w:p>
      <w:pPr>
        <w:spacing w:after="0" w:line="177" w:lineRule="exact"/>
        <w:rPr>
          <w:rFonts w:ascii="Arial" w:cs="Arial" w:eastAsia="Arial" w:hAnsi="Arial"/>
          <w:sz w:val="17"/>
          <w:szCs w:val="17"/>
          <w:color w:val="auto"/>
        </w:rPr>
      </w:pPr>
    </w:p>
    <w:p>
      <w:pPr>
        <w:ind w:right="120" w:firstLine="8"/>
        <w:spacing w:after="0" w:line="291" w:lineRule="auto"/>
        <w:tabs>
          <w:tab w:leader="none" w:pos="6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execution and terms of any Units, the related Unit Agreements and any Shelf Securities which are components of the Units, the terms of the offering thereof and related matters,</w:t>
      </w: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(b) due execution, countersignature (where applicable), authentication, issuance and delivery of the Units, the Unit Agreements, and the Shelf Securities that are components of such Units, in each case upon the payment of the consideration therefor provided for in the applicable definitive purchase, underwriting or similar agreement approved by the Board, and otherwise in accordance with the provisions of the applicable (i) Warrant Agreement, in the case of Warrants, (ii) Rights Agreement, in the case of Rights, (iii) Senior Indenture, in the case of Senior Debt Securities, and (iv) Subordinated Indenture, in the case of Subordinated Debt Securities, such Units will be validly issued and will entitle the holders thereof to the rights specified in the Unit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XSpresSpa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-121920</wp:posOffset>
            </wp:positionV>
            <wp:extent cx="1320165" cy="754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7">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170" w:lineRule="exact"/>
        <w:rPr>
          <w:sz w:val="20"/>
          <w:szCs w:val="20"/>
          <w:color w:val="auto"/>
        </w:rPr>
      </w:pPr>
    </w:p>
    <w:p>
      <w:pPr>
        <w:ind w:right="20" w:firstLine="8"/>
        <w:spacing w:after="0" w:line="254" w:lineRule="auto"/>
        <w:tabs>
          <w:tab w:leader="none" w:pos="6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opinions herein reflect only the application of (i) the General Corporation Law of the State of Delaware (including the statutory provisions, all applicable provisions of the Delaware constitution and reported judicial decisions interpreting the foregoing) and (ii) the federal laws of the United States (excluding the federal securities laws, as to which we express no opinion).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91" w:lineRule="exact"/>
        <w:rPr>
          <w:rFonts w:ascii="Arial" w:cs="Arial" w:eastAsia="Arial" w:hAnsi="Arial"/>
          <w:sz w:val="18"/>
          <w:szCs w:val="18"/>
          <w:color w:val="auto"/>
        </w:rPr>
      </w:pPr>
    </w:p>
    <w:p>
      <w:pPr>
        <w:ind w:right="20" w:firstLine="8"/>
        <w:spacing w:after="0" w:line="272"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opinions herein are subject to and may be limited by (i) applicable bankruptcy, insolvency, reorganization, receivership, moratorium and other similar laws affecting or relating to the rights and remedies of creditors generally including, without limitation, laws relating to fraudulent transfers or conveyances, preferences and equitable subordination; (ii) general principles of equity (regardless of whether considered in a proceeding in equity or at law); (iii) an implied covenant of good faith and fair dealing; (iv) requirements that a claim with respect to the Shelf Securities denominated other than in United States dollars (or a judgment denominated other than in United States dollars with respect to such a claim) be converted into United States dollars at a rate of exchange prevailing on a date determined pursuant to applicable law; and (v) governmental authority to limit, delay or prohibit the making of payments outside the United States or in foreign or composite currency.</w:t>
      </w:r>
    </w:p>
    <w:p>
      <w:pPr>
        <w:spacing w:after="0" w:line="177" w:lineRule="exact"/>
        <w:rPr>
          <w:rFonts w:ascii="Arial" w:cs="Arial" w:eastAsia="Arial" w:hAnsi="Arial"/>
          <w:sz w:val="17"/>
          <w:szCs w:val="17"/>
          <w:color w:val="auto"/>
        </w:rPr>
      </w:pPr>
    </w:p>
    <w:p>
      <w:pPr>
        <w:ind w:firstLine="8"/>
        <w:spacing w:after="0" w:line="254" w:lineRule="auto"/>
        <w:tabs>
          <w:tab w:leader="none" w:pos="6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opinions are further subject to the effect of generally applicable rules of law arising from statutes, judicial and administrative decisions, and the rules and regulations of governmental authorities that: (i) limit or affect the enforcement of provisions of a contract that purport to require waiver of the obligations of good faith, fair dealing, diligence and reasonableness;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recklessness, willful misconduct or unlawful conduct; (iv) may, where less than all of the contract may be unenforceable, limit the enforceability of the balance of the contract to circumstances in which the unenforceable portion is not an essential part of the agreed exchange; and (v) govern and afford judicial discretion regarding the determination of damages and entitlement to attorneys’ fees.</w:t>
      </w:r>
    </w:p>
    <w:p>
      <w:pPr>
        <w:spacing w:after="0" w:line="191" w:lineRule="exact"/>
        <w:rPr>
          <w:rFonts w:ascii="Arial" w:cs="Arial" w:eastAsia="Arial" w:hAnsi="Arial"/>
          <w:sz w:val="18"/>
          <w:szCs w:val="18"/>
          <w:color w:val="auto"/>
        </w:rPr>
      </w:pPr>
    </w:p>
    <w:p>
      <w:pPr>
        <w:ind w:right="80" w:firstLine="8"/>
        <w:spacing w:after="0" w:line="263" w:lineRule="auto"/>
        <w:tabs>
          <w:tab w:leader="none" w:pos="6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express no opinion as to the enforceability of any rights to indemnification or contribution provided for in any Senior Indenture, Subordinated Indenture, Warrant Agreement, Rights Agreement, Unit Agreement or other agreement which are violative of public policy underlying any law, rule or regulation (including any federal or State securities law, rule or regulation) or the legality of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XSpresSpa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-121920</wp:posOffset>
            </wp:positionV>
            <wp:extent cx="1320165" cy="754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9">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8"/>
        <w:spacing w:after="0" w:line="287" w:lineRule="auto"/>
        <w:tabs>
          <w:tab w:leader="none" w:pos="646"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We express no opinion as to the enforceability of (1) any provision in any Senior Indenture, Subordinated Indenture, Warrant Agreement, Rights Agreement, Unit Agreement or other agreement purporting or attempting to (A) confer exclusive jurisdiction and/or venue upon certain courts or otherwise waive the defenses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or improper venue, (B) confer subject matter jurisdiction on a court not having independent grounds therefor,</w:t>
      </w:r>
    </w:p>
    <w:p>
      <w:pPr>
        <w:spacing w:after="0" w:line="2" w:lineRule="exact"/>
        <w:rPr>
          <w:rFonts w:ascii="Arial" w:cs="Arial" w:eastAsia="Arial" w:hAnsi="Arial"/>
          <w:sz w:val="16"/>
          <w:szCs w:val="16"/>
          <w:color w:val="auto"/>
        </w:rPr>
      </w:pPr>
    </w:p>
    <w:p>
      <w:pPr>
        <w:ind w:right="120"/>
        <w:spacing w:after="0" w:line="273" w:lineRule="auto"/>
        <w:rPr>
          <w:rFonts w:ascii="Arial" w:cs="Arial" w:eastAsia="Arial" w:hAnsi="Arial"/>
          <w:sz w:val="16"/>
          <w:szCs w:val="16"/>
          <w:color w:val="auto"/>
        </w:rPr>
      </w:pPr>
      <w:r>
        <w:rPr>
          <w:rFonts w:ascii="Arial" w:cs="Arial" w:eastAsia="Arial" w:hAnsi="Arial"/>
          <w:sz w:val="17"/>
          <w:szCs w:val="17"/>
          <w:color w:val="auto"/>
        </w:rPr>
        <w:t>(C) modify or waive the requirements for effective service of process for any action that may be brought, (D) waive the right of the Company or any other person to a trial by jury, (E) provide that remedies are cumulative or that decisions by a party are conclusive, or (F) modify or waive the rights to notice, legal defenses, statutes of limitations or other benefits that cannot be waived under applicable law or (2) any choice of law provision of any Senior Indenture, Subordinated Indenture, Warrant Agreement, Rights Agreement, Unit Agreement or other agreement relating thereto.</w:t>
      </w:r>
    </w:p>
    <w:p>
      <w:pPr>
        <w:spacing w:after="0" w:line="176" w:lineRule="exact"/>
        <w:rPr>
          <w:rFonts w:ascii="Arial" w:cs="Arial" w:eastAsia="Arial" w:hAnsi="Arial"/>
          <w:sz w:val="16"/>
          <w:szCs w:val="16"/>
          <w:color w:val="auto"/>
        </w:rPr>
      </w:pPr>
    </w:p>
    <w:p>
      <w:pPr>
        <w:ind w:firstLine="8"/>
        <w:spacing w:after="0" w:line="257" w:lineRule="auto"/>
        <w:tabs>
          <w:tab w:leader="none" w:pos="6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have informed us that you intend to issue the Shelf Securities from time to time on a delayed or continuous basis, and this opinion is limited to the laws, including the rules and regulations, as in effect on the date hereof. We understand that prior to issuing any Shelf Securities you will afford us an opportunity to review the operative documents pursuant to which such Shelf Securities are to be issued (including the applicable prospectus supplement) and will file such supplement or amendment to this opinion (if any) as we may reasonably consider necessary or appropriate by reason of the terms of such Shelf Securities.</w:t>
      </w:r>
    </w:p>
    <w:p>
      <w:pPr>
        <w:spacing w:after="0" w:line="18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do not render any opinions except as set forth above. We hereby consent to the filing of this opinion as an exhibit to the Registration Statement and to the use of our name under the caption “Legal Matters” in the Prospectus. We also consent to your filing copies of this opinion as an exhibit to the Registration Statement with agencies of such States as you deem necessary in the course of complying with the laws of such States regarding the offering and sale of the Shelf Securities. In giving such consent, we do not thereby concede that we are within the category of persons whose consent is required under Section 7 of the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BRYAN CAVE LEIGHTON PAISNER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on Form S-3 of XpresSpa Group, Inc. of our report dated April 20, 2020 with respect to our audits of the consolidated financial statements of XpresSpa Group, Inc. (which includes an explanatory paragraph relating to the Company’s ability to continue as a going concern), as of and for the years ended December 31, 2019 and 2018, which appear in the Annual Report on Form 10-K of XpresSpa Group Inc. for the year ended December 31, 2019. We also consent to the reference to our firm under the caption “Experts” in the Prospectus, which is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upperLetter"/>
      <w:start w:val="29"/>
    </w:lvl>
  </w:abstractNum>
  <w:abstractNum w:abstractNumId="2">
    <w:nsid w:val="3F2DBA31"/>
    <w:multiLevelType w:val="hybridMultilevel"/>
    <w:lvl w:ilvl="0">
      <w:lvlJc w:val="left"/>
      <w:lvlText w:val="(%1)"/>
      <w:numFmt w:val="lowerRoman"/>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1E7FF521"/>
    <w:multiLevelType w:val="hybridMultilevel"/>
    <w:lvl w:ilvl="0">
      <w:lvlJc w:val="left"/>
      <w:lvlText w:val="(%1)"/>
      <w:numFmt w:val="decimal"/>
      <w:start w:val="2"/>
    </w:lvl>
    <w:lvl w:ilvl="1">
      <w:lvlJc w:val="left"/>
      <w:lvlText w:val="(%2)"/>
      <w:numFmt w:val="lowerRoman"/>
      <w:start w:val="1"/>
    </w:lvl>
  </w:abstractNum>
  <w:abstractNum w:abstractNumId="27">
    <w:nsid w:val="7C3DBD3D"/>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8">
    <w:nsid w:val="737B8DD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9">
    <w:nsid w:val="6CEAF087"/>
    <w:multiLevelType w:val="hybridMultilevel"/>
    <w:lvl w:ilvl="0">
      <w:lvlJc w:val="left"/>
      <w:lvlText w:val="%1"/>
      <w:numFmt w:val="lowerLetter"/>
      <w:start w:val="1"/>
    </w:lvl>
    <w:lvl w:ilvl="1">
      <w:lvlJc w:val="left"/>
      <w:lvlText w:val="(%2)"/>
      <w:numFmt w:val="lowerRoman"/>
      <w:start w:val="1"/>
    </w:lvl>
  </w:abstractNum>
  <w:abstractNum w:abstractNumId="30">
    <w:nsid w:val="22221A70"/>
    <w:multiLevelType w:val="hybridMultilevel"/>
    <w:lvl w:ilvl="0">
      <w:lvlJc w:val="left"/>
      <w:lvlText w:val="(%1)"/>
      <w:numFmt w:val="lowerLetter"/>
      <w:start w:val="3"/>
    </w:lvl>
    <w:lvl w:ilvl="1">
      <w:lvlJc w:val="left"/>
      <w:lvlText w:val="%2"/>
      <w:numFmt w:val="lowerRoman"/>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6" Type="http://schemas.openxmlformats.org/officeDocument/2006/relationships/image" Target="media/image35.png"/><Relationship Id="rId84" Type="http://schemas.openxmlformats.org/officeDocument/2006/relationships/image" Target="media/image36.png"/><Relationship Id="rId96" Type="http://schemas.openxmlformats.org/officeDocument/2006/relationships/image" Target="media/image37.png"/><Relationship Id="rId97" Type="http://schemas.openxmlformats.org/officeDocument/2006/relationships/image" Target="media/image38.png"/><Relationship Id="rId98" Type="http://schemas.openxmlformats.org/officeDocument/2006/relationships/image" Target="media/image39.png"/><Relationship Id="rId99" Type="http://schemas.openxmlformats.org/officeDocument/2006/relationships/image" Target="media/image40.png"/><Relationship Id="rId100" Type="http://schemas.openxmlformats.org/officeDocument/2006/relationships/image" Target="media/image41.jpeg"/><Relationship Id="rId101" Type="http://schemas.openxmlformats.org/officeDocument/2006/relationships/image" Target="media/image42.jpeg"/><Relationship Id="rId102" Type="http://schemas.openxmlformats.org/officeDocument/2006/relationships/image" Target="media/image43.png"/><Relationship Id="rId103" Type="http://schemas.openxmlformats.org/officeDocument/2006/relationships/image" Target="media/image44.jpeg"/><Relationship Id="rId104" Type="http://schemas.openxmlformats.org/officeDocument/2006/relationships/image" Target="media/image45.png"/><Relationship Id="rId105" Type="http://schemas.openxmlformats.org/officeDocument/2006/relationships/image" Target="media/image46.jpeg"/><Relationship Id="rId106" Type="http://schemas.openxmlformats.org/officeDocument/2006/relationships/image" Target="media/image47.png"/><Relationship Id="rId107" Type="http://schemas.openxmlformats.org/officeDocument/2006/relationships/image" Target="media/image48.jpeg"/><Relationship Id="rId108" Type="http://schemas.openxmlformats.org/officeDocument/2006/relationships/image" Target="media/image49.png"/><Relationship Id="rId109" Type="http://schemas.openxmlformats.org/officeDocument/2006/relationships/image" Target="media/image50.jpeg"/><Relationship Id="rId110" Type="http://schemas.openxmlformats.org/officeDocument/2006/relationships/image" Target="media/image51.png"/><Relationship Id="rId111" Type="http://schemas.openxmlformats.org/officeDocument/2006/relationships/image" Target="media/image52.png"/><Relationship Id="rId39" Type="http://schemas.openxmlformats.org/officeDocument/2006/relationships/hyperlink" Target="https://www.sec.gov/Archives/edgar/data/1410428/000110465920048780/tm205324-1_10k.htm" TargetMode="External"/><Relationship Id="rId40" Type="http://schemas.openxmlformats.org/officeDocument/2006/relationships/hyperlink" Target="https://www.sec.gov/Archives/edgar/data/1410428/000110465920063789/tm2020063d1_10ka.htm" TargetMode="External"/><Relationship Id="rId41" Type="http://schemas.openxmlformats.org/officeDocument/2006/relationships/hyperlink" Target="https://www.sec.gov/Archives/edgar/data/1410428/000110465920073018/tm2022516d1_10ka.htm" TargetMode="External"/><Relationship Id="rId42" Type="http://schemas.openxmlformats.org/officeDocument/2006/relationships/hyperlink" Target="https://www.sec.gov/Archives/edgar/data/1410428/000155837020008024/xspa-20200331x10q.htm" TargetMode="External"/><Relationship Id="rId43" Type="http://schemas.openxmlformats.org/officeDocument/2006/relationships/hyperlink" Target="https://www.sec.gov/Archives/edgar/data/1410428/000110465920000939/tm201126d1_8k.htm" TargetMode="External"/><Relationship Id="rId44" Type="http://schemas.openxmlformats.org/officeDocument/2006/relationships/hyperlink" Target="https://www.sec.gov/Archives/edgar/data/1410428/000110465920003636/tm203197-1_8k.htm" TargetMode="External"/><Relationship Id="rId45" Type="http://schemas.openxmlformats.org/officeDocument/2006/relationships/hyperlink" Target="https://www.sec.gov/Archives/edgar/data/1410428/000110465920009856/tm206420d1_8k.htm" TargetMode="External"/><Relationship Id="rId46" Type="http://schemas.openxmlformats.org/officeDocument/2006/relationships/hyperlink" Target="https://www.sec.gov/Archives/edgar/data/1410428/000110465920029962/tm2011914d1_8k.htm" TargetMode="External"/><Relationship Id="rId47" Type="http://schemas.openxmlformats.org/officeDocument/2006/relationships/hyperlink" Target="https://www.sec.gov/Archives/edgar/data/1410428/000110465920035631/tm2013177d1_8k.htm" TargetMode="External"/><Relationship Id="rId48" Type="http://schemas.openxmlformats.org/officeDocument/2006/relationships/hyperlink" Target="https://www.sec.gov/Archives/edgar/data/1410428/000110465920057642/tm2018713d2_8k.htm" TargetMode="External"/><Relationship Id="rId49" Type="http://schemas.openxmlformats.org/officeDocument/2006/relationships/hyperlink" Target="https://www.sec.gov/Archives/edgar/data/1410428/000110465920059539/tm2019325-1_8k.htm" TargetMode="External"/><Relationship Id="rId50" Type="http://schemas.openxmlformats.org/officeDocument/2006/relationships/hyperlink" Target="https://www.sec.gov/Archives/edgar/data/1410428/000110465920065144/tm2020772d1_8k.htm" TargetMode="External"/><Relationship Id="rId51" Type="http://schemas.openxmlformats.org/officeDocument/2006/relationships/hyperlink" Target="https://www.sec.gov/Archives/edgar/data/1410428/000110465920067377/tm2021289d1_8k.htm" TargetMode="External"/><Relationship Id="rId52" Type="http://schemas.openxmlformats.org/officeDocument/2006/relationships/hyperlink" Target="https://www.sec.gov/Archives/edgar/data/1410428/000110465920069761/tm2021831d1_8k.htm" TargetMode="External"/><Relationship Id="rId53" Type="http://schemas.openxmlformats.org/officeDocument/2006/relationships/hyperlink" Target="https://www.sec.gov/Archives/edgar/data/1410428/000110465920071715/tm2021956d1_8k.htm" TargetMode="External"/><Relationship Id="rId54" Type="http://schemas.openxmlformats.org/officeDocument/2006/relationships/hyperlink" Target="https://www.sec.gov/Archives/edgar/data/1410428/000110465920074007/tm2022774d1_8k.htm" TargetMode="External"/><Relationship Id="rId55" Type="http://schemas.openxmlformats.org/officeDocument/2006/relationships/hyperlink" Target="https://www.sec.gov/Archives/edgar/data/1410428/000114420413024675/v342843_8a12b.htm" TargetMode="External"/><Relationship Id="rId56" Type="http://schemas.openxmlformats.org/officeDocument/2006/relationships/hyperlink" Target="https://www.sec.gov/Archives/edgar/data/1410428/000119312510140514/d8a12b.htm" TargetMode="External"/><Relationship Id="rId60" Type="http://schemas.openxmlformats.org/officeDocument/2006/relationships/hyperlink" Target="https://www.sec.gov/Archives/edgar/data/1410428/000114420416117230/v446257_ex2-1.htm" TargetMode="External"/><Relationship Id="rId61" Type="http://schemas.openxmlformats.org/officeDocument/2006/relationships/hyperlink" Target="https://www.sec.gov/Archives/edgar/data/1410428/000114420416123414/v448507_ex2-1.htm" TargetMode="External"/><Relationship Id="rId62" Type="http://schemas.openxmlformats.org/officeDocument/2006/relationships/hyperlink" Target="https://www.sec.gov/Archives/edgar/data/1410428/000114420416129472/v451220_ex2-1.htm" TargetMode="External"/><Relationship Id="rId63" Type="http://schemas.openxmlformats.org/officeDocument/2006/relationships/hyperlink" Target="https://www.sec.gov/Archives/edgar/data/1410428/000110465920048780/tm205324d1_ex3-1.htm" TargetMode="External"/><Relationship Id="rId64" Type="http://schemas.openxmlformats.org/officeDocument/2006/relationships/hyperlink" Target="https://www.sec.gov/Archives/edgar/data/1410428/000110465920071715/tm2021956d1_ex3-1.htm" TargetMode="External"/><Relationship Id="rId65" Type="http://schemas.openxmlformats.org/officeDocument/2006/relationships/hyperlink" Target="https://www.sec.gov/Archives/edgar/data/1410428/000114420419033939/tv524856_ex3-4.htm" TargetMode="External"/><Relationship Id="rId67" Type="http://schemas.openxmlformats.org/officeDocument/2006/relationships/hyperlink" Target="https://www.sec.gov/Archives/edgar/data/1410428/000114420419017496/tv516017_ex3-2.htm" TargetMode="External"/><Relationship Id="rId68" Type="http://schemas.openxmlformats.org/officeDocument/2006/relationships/hyperlink" Target="https://www.sec.gov/Archives/edgar/data/1410428/000119312510123446/dex42.htm" TargetMode="External"/><Relationship Id="rId69" Type="http://schemas.openxmlformats.org/officeDocument/2006/relationships/hyperlink" Target="https://www.sec.gov/Archives/edgar/data/1410428/000114420415059695/v422196_ex4-1.htm" TargetMode="External"/><Relationship Id="rId70" Type="http://schemas.openxmlformats.org/officeDocument/2006/relationships/hyperlink" Target="https://www.sec.gov/Archives/edgar/data/1410428/000114420415027143/v409292_ex10-3.htm" TargetMode="External"/><Relationship Id="rId71" Type="http://schemas.openxmlformats.org/officeDocument/2006/relationships/hyperlink" Target="https://www.sec.gov/Archives/edgar/data/1410428/000114420416089189/v434655_ex4-1.htm" TargetMode="External"/><Relationship Id="rId72" Type="http://schemas.openxmlformats.org/officeDocument/2006/relationships/hyperlink" Target="https://www.sec.gov/Archives/edgar/data/1410428/000114420419015650/tv516755_ex10-1.htm" TargetMode="External"/><Relationship Id="rId73" Type="http://schemas.openxmlformats.org/officeDocument/2006/relationships/hyperlink" Target="https://www.sec.gov/Archives/edgar/data/1410428/000114420416129474/v449051_s4a.htm#t6ANN" TargetMode="External"/><Relationship Id="rId74" Type="http://schemas.openxmlformats.org/officeDocument/2006/relationships/hyperlink" Target="https://www.sec.gov/Archives/edgar/data/1410428/000114420418028911/tv492938_ex4-1.htm" TargetMode="External"/><Relationship Id="rId75" Type="http://schemas.openxmlformats.org/officeDocument/2006/relationships/hyperlink" Target="https://www.sec.gov/Archives/edgar/data/1410428/000114420419032532/tv524367_ex4-1.htm" TargetMode="External"/><Relationship Id="rId76" Type="http://schemas.openxmlformats.org/officeDocument/2006/relationships/hyperlink" Target="https://www.sec.gov/Archives/edgar/data/1410428/000114420419033939/tv524856_ex4-3.htm" TargetMode="External"/><Relationship Id="rId77" Type="http://schemas.openxmlformats.org/officeDocument/2006/relationships/hyperlink" Target="https://www.sec.gov/Archives/edgar/data/1410428/000110465920003636/tm203197d1_ex4-1.htm" TargetMode="External"/><Relationship Id="rId78" Type="http://schemas.openxmlformats.org/officeDocument/2006/relationships/hyperlink" Target="https://www.sec.gov/Archives/edgar/data/1410428/000110465920029962/tm2011914d1_ex4-1.htm" TargetMode="External"/><Relationship Id="rId79" Type="http://schemas.openxmlformats.org/officeDocument/2006/relationships/hyperlink" Target="https://www.sec.gov/Archives/edgar/data/1410428/000114420418028911/tv492938_ex4-2.htm" TargetMode="External"/><Relationship Id="rId80" Type="http://schemas.openxmlformats.org/officeDocument/2006/relationships/hyperlink" Target="https://www.sec.gov/Archives/edgar/data/1410428/000114420419027101/tv521899_ex10-1.htm" TargetMode="External"/><Relationship Id="rId81" Type="http://schemas.openxmlformats.org/officeDocument/2006/relationships/hyperlink" Target="https://www.sec.gov/Archives/edgar/data/1410428/000114420419031189/tv523626_ex10-1.htm" TargetMode="External"/><Relationship Id="rId82" Type="http://schemas.openxmlformats.org/officeDocument/2006/relationships/hyperlink" Target="https://www.sec.gov/Archives/edgar/data/1410428/000114420419033939/tv524856_ex4-1.htm" TargetMode="External"/><Relationship Id="rId83" Type="http://schemas.openxmlformats.org/officeDocument/2006/relationships/hyperlink" Target="https://www.sec.gov/Archives/edgar/data/1410428/000114420419033939/tv524856_ex4-4.htm" TargetMode="External"/><Relationship Id="rId85" Type="http://schemas.openxmlformats.org/officeDocument/2006/relationships/hyperlink" Target="https://www.sec.gov/Archives/edgar/data/1410428/000110465920035631/tm2013177d1_ex4-1.htm" TargetMode="External"/><Relationship Id="rId86" Type="http://schemas.openxmlformats.org/officeDocument/2006/relationships/hyperlink" Target="https://www.sec.gov/Archives/edgar/data/1410428/000110465920038562/tm2013765d1_ex4-1.htm" TargetMode="External"/><Relationship Id="rId87" Type="http://schemas.openxmlformats.org/officeDocument/2006/relationships/hyperlink" Target="https://www.sec.gov/Archives/edgar/data/1410428/000110465920039953/tm2014049d1_ex4-1.htm" TargetMode="External"/><Relationship Id="rId88" Type="http://schemas.openxmlformats.org/officeDocument/2006/relationships/hyperlink" Target="https://www.sec.gov/Archives/edgar/data/1410428/000110465920043879/tm2015133d1_ex4-1.htm" TargetMode="External"/><Relationship Id="rId89" Type="http://schemas.openxmlformats.org/officeDocument/2006/relationships/hyperlink" Target="https://www.sec.gov/Archives/edgar/data/1410428/000110465920048297/tm2016230-1_ex41.htm" TargetMode="External"/><Relationship Id="rId90" Type="http://schemas.openxmlformats.org/officeDocument/2006/relationships/hyperlink" Target="https://www.sec.gov/Archives/edgar/data/1410428/000110465920051103/tm2016889d1_ex4-1.htm" TargetMode="External"/><Relationship Id="rId91" Type="http://schemas.openxmlformats.org/officeDocument/2006/relationships/hyperlink" Target="https://www.sec.gov/Archives/edgar/data/1410428/000110465920074007/tm2022774d1_ex4-1.htm" TargetMode="External"/><Relationship Id="rId92" Type="http://schemas.openxmlformats.org/officeDocument/2006/relationships/hyperlink" Target="https://www.sec.gov/Archives/edgar/data/1410428/000110465920074007/tm2022774d1_ex4-2.htm" TargetMode="External"/><Relationship Id="rId93" Type="http://schemas.openxmlformats.org/officeDocument/2006/relationships/hyperlink" Target="https://www.sec.gov/Archives/edgar/data/1410428/000110465920074007/tm2022774d1_ex10-1.htm" TargetMode="External"/><Relationship Id="rId94" Type="http://schemas.openxmlformats.org/officeDocument/2006/relationships/hyperlink" Target="https://www.sec.gov/Archives/edgar/data/1410428/000114420419035414/tv525226_ex4-14.htm" TargetMode="External"/><Relationship Id="rId95" Type="http://schemas.openxmlformats.org/officeDocument/2006/relationships/hyperlink" Target="https://www.sec.gov/Archives/edgar/data/1410428/000114420419035414/tv525226_ex4-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2020-07-24T15:12:48Z</dcterms:created>
  <dcterms:modified xsi:type="dcterms:W3CDTF">2020-07-24T15:12:48Z</dcterms:modified>
</cp:coreProperties>
</file>