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3980" w:right="1620" w:hanging="3972"/>
        <w:spacing w:after="0" w:line="484" w:lineRule="auto"/>
        <w:tabs>
          <w:tab w:leader="none" w:pos="66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2018</w:t>
      </w:r>
    </w:p>
    <w:p>
      <w:pPr>
        <w:spacing w:after="0" w:line="29" w:lineRule="exact"/>
        <w:rPr>
          <w:sz w:val="24"/>
          <w:szCs w:val="24"/>
          <w:color w:val="auto"/>
        </w:rPr>
      </w:pPr>
    </w:p>
    <w:p>
      <w:pPr>
        <w:ind w:left="4140" w:right="1600" w:hanging="4132"/>
        <w:spacing w:after="0" w:line="501" w:lineRule="auto"/>
        <w:tabs>
          <w:tab w:leader="none" w:pos="65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 to ___</w:t>
      </w:r>
    </w:p>
    <w:p>
      <w:pPr>
        <w:ind w:left="43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001-34785</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Delaware</w:t>
            </w:r>
          </w:p>
        </w:tc>
        <w:tc>
          <w:tcPr>
            <w:tcW w:w="5600" w:type="dxa"/>
            <w:vAlign w:val="bottom"/>
          </w:tcPr>
          <w:p>
            <w:pPr>
              <w:jc w:val="right"/>
              <w:ind w:right="2270"/>
              <w:spacing w:after="0"/>
              <w:rPr>
                <w:sz w:val="20"/>
                <w:szCs w:val="20"/>
                <w:color w:val="auto"/>
              </w:rPr>
            </w:pPr>
            <w:r>
              <w:rPr>
                <w:rFonts w:ascii="Arial" w:cs="Arial" w:eastAsia="Arial" w:hAnsi="Arial"/>
                <w:sz w:val="18"/>
                <w:szCs w:val="18"/>
                <w:b w:val="1"/>
                <w:bCs w:val="1"/>
                <w:color w:val="auto"/>
              </w:rPr>
              <w:t>20-4988129</w:t>
            </w:r>
          </w:p>
        </w:tc>
      </w:tr>
      <w:tr>
        <w:trPr>
          <w:trHeight w:val="216"/>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(State or other jurisdiction of</w:t>
            </w:r>
          </w:p>
        </w:tc>
        <w:tc>
          <w:tcPr>
            <w:tcW w:w="560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incorporation or organization)</w:t>
            </w:r>
          </w:p>
        </w:tc>
        <w:tc>
          <w:tcPr>
            <w:tcW w:w="5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780 Third Avenue, 12th Floor, New York, NY</w:t>
            </w:r>
          </w:p>
        </w:tc>
        <w:tc>
          <w:tcPr>
            <w:tcW w:w="5600" w:type="dxa"/>
            <w:vAlign w:val="bottom"/>
          </w:tcPr>
          <w:p>
            <w:pPr>
              <w:jc w:val="right"/>
              <w:ind w:right="2490"/>
              <w:spacing w:after="0"/>
              <w:rPr>
                <w:sz w:val="20"/>
                <w:szCs w:val="20"/>
                <w:color w:val="auto"/>
              </w:rPr>
            </w:pPr>
            <w:r>
              <w:rPr>
                <w:rFonts w:ascii="Arial" w:cs="Arial" w:eastAsia="Arial" w:hAnsi="Arial"/>
                <w:sz w:val="18"/>
                <w:szCs w:val="18"/>
                <w:b w:val="1"/>
                <w:bCs w:val="1"/>
                <w:color w:val="auto"/>
              </w:rPr>
              <w:t>10017</w:t>
            </w:r>
          </w:p>
        </w:tc>
      </w:tr>
      <w:tr>
        <w:trPr>
          <w:trHeight w:val="230"/>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(Address of principal executive offices)</w:t>
            </w: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432"/>
        </w:trPr>
        <w:tc>
          <w:tcPr>
            <w:tcW w:w="11420" w:type="dxa"/>
            <w:vAlign w:val="bottom"/>
            <w:gridSpan w:val="3"/>
          </w:tcPr>
          <w:p>
            <w:pPr>
              <w:jc w:val="center"/>
              <w:spacing w:after="0"/>
              <w:rPr>
                <w:sz w:val="20"/>
                <w:szCs w:val="20"/>
                <w:color w:val="auto"/>
              </w:rPr>
            </w:pPr>
            <w:r>
              <w:rPr>
                <w:rFonts w:ascii="Arial" w:cs="Arial" w:eastAsia="Arial" w:hAnsi="Arial"/>
                <w:sz w:val="18"/>
                <w:szCs w:val="18"/>
                <w:color w:val="auto"/>
                <w:w w:val="91"/>
              </w:rPr>
              <w:t xml:space="preserve">(Registrant’s Telephone Number, Including Area Code): </w:t>
            </w:r>
            <w:r>
              <w:rPr>
                <w:rFonts w:ascii="Arial" w:cs="Arial" w:eastAsia="Arial" w:hAnsi="Arial"/>
                <w:sz w:val="18"/>
                <w:szCs w:val="18"/>
                <w:b w:val="1"/>
                <w:bCs w:val="1"/>
                <w:color w:val="auto"/>
                <w:w w:val="91"/>
              </w:rPr>
              <w:t>(212) 309-7549</w:t>
            </w:r>
          </w:p>
        </w:tc>
      </w:tr>
      <w:tr>
        <w:trPr>
          <w:trHeight w:val="432"/>
        </w:trPr>
        <w:tc>
          <w:tcPr>
            <w:tcW w:w="114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432"/>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Title of each class</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00" w:type="dxa"/>
            <w:vAlign w:val="bottom"/>
          </w:tcPr>
          <w:p>
            <w:pPr>
              <w:spacing w:after="0"/>
              <w:rPr>
                <w:sz w:val="19"/>
                <w:szCs w:val="19"/>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2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7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32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37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32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rPr>
                <w:sz w:val="20"/>
                <w:szCs w:val="20"/>
                <w:color w:val="auto"/>
              </w:rPr>
            </w:pPr>
            <w:r>
              <w:rPr>
                <w:rFonts w:ascii="Arial" w:cs="Arial" w:eastAsia="Arial" w:hAnsi="Arial"/>
                <w:sz w:val="18"/>
                <w:szCs w:val="18"/>
                <w:color w:val="auto"/>
              </w:rPr>
              <w:t>x</w:t>
            </w:r>
          </w:p>
        </w:tc>
      </w:tr>
      <w:tr>
        <w:trPr>
          <w:trHeight w:val="283"/>
        </w:trPr>
        <w:tc>
          <w:tcPr>
            <w:tcW w:w="5680" w:type="dxa"/>
            <w:vAlign w:val="bottom"/>
            <w:gridSpan w:val="2"/>
          </w:tcPr>
          <w:p>
            <w:pPr>
              <w:spacing w:after="0"/>
              <w:rPr>
                <w:sz w:val="20"/>
                <w:szCs w:val="20"/>
                <w:color w:val="auto"/>
              </w:rPr>
            </w:pPr>
            <w:r>
              <w:rPr>
                <w:rFonts w:ascii="Arial" w:cs="Arial" w:eastAsia="Arial" w:hAnsi="Arial"/>
                <w:sz w:val="18"/>
                <w:szCs w:val="18"/>
                <w:color w:val="auto"/>
              </w:rPr>
              <w:t>(Do not check if a smaller reporting company)</w:t>
            </w:r>
          </w:p>
        </w:tc>
        <w:tc>
          <w:tcPr>
            <w:tcW w:w="4740" w:type="dxa"/>
            <w:vAlign w:val="bottom"/>
          </w:tcPr>
          <w:p>
            <w:pPr>
              <w:ind w:left="232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400" w:val="left"/>
          <w:tab w:leader="none" w:pos="91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August 10, 2018, 27,114,662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920" w:type="dxa"/>
            <w:vAlign w:val="bottom"/>
            <w:gridSpan w:val="5"/>
          </w:tcPr>
          <w:p>
            <w:pPr>
              <w:jc w:val="center"/>
              <w:ind w:right="2440"/>
              <w:spacing w:after="0"/>
              <w:rPr>
                <w:sz w:val="20"/>
                <w:szCs w:val="20"/>
                <w:color w:val="auto"/>
              </w:rPr>
            </w:pPr>
            <w:r>
              <w:rPr>
                <w:rFonts w:ascii="Arial" w:cs="Arial" w:eastAsia="Arial" w:hAnsi="Arial"/>
                <w:sz w:val="18"/>
                <w:szCs w:val="18"/>
                <w:b w:val="1"/>
                <w:bCs w:val="1"/>
                <w:color w:val="auto"/>
                <w:w w:val="90"/>
              </w:rPr>
              <w:t>XpresSpa Group, Inc. and Subsidiaries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00" w:type="dxa"/>
            <w:vAlign w:val="bottom"/>
            <w:gridSpan w:val="4"/>
          </w:tcPr>
          <w:p>
            <w:pPr>
              <w:jc w:val="center"/>
              <w:ind w:right="3460"/>
              <w:spacing w:after="0"/>
              <w:rPr>
                <w:sz w:val="20"/>
                <w:szCs w:val="20"/>
                <w:color w:val="auto"/>
              </w:rPr>
            </w:pPr>
            <w:r>
              <w:rPr>
                <w:rFonts w:ascii="Arial" w:cs="Arial" w:eastAsia="Arial" w:hAnsi="Arial"/>
                <w:sz w:val="18"/>
                <w:szCs w:val="18"/>
                <w:b w:val="1"/>
                <w:bCs w:val="1"/>
                <w:color w:val="auto"/>
                <w:w w:val="89"/>
              </w:rPr>
              <w:t>Table of Contents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40" w:type="dxa"/>
            <w:vAlign w:val="bottom"/>
            <w:gridSpan w:val="4"/>
          </w:tcPr>
          <w:p>
            <w:pPr>
              <w:ind w:left="3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380" w:type="dxa"/>
            <w:vAlign w:val="bottom"/>
            <w:tcBorders>
              <w:top w:val="single" w:sz="8" w:color="CCEEFF"/>
            </w:tcBorders>
            <w:gridSpan w:val="16"/>
            <w:shd w:val="clear" w:color="auto" w:fill="CCEEFF"/>
          </w:tcPr>
          <w:p>
            <w:pPr>
              <w:spacing w:after="0" w:line="136" w:lineRule="exact"/>
              <w:rPr>
                <w:rFonts w:ascii="Arial" w:cs="Arial" w:eastAsia="Arial" w:hAnsi="Arial"/>
                <w:sz w:val="15"/>
                <w:szCs w:val="15"/>
                <w:color w:val="0000EE"/>
              </w:rPr>
            </w:pPr>
            <w:hyperlink w:anchor="page3">
              <w:r>
                <w:rPr>
                  <w:rFonts w:ascii="Arial" w:cs="Arial" w:eastAsia="Arial" w:hAnsi="Arial"/>
                  <w:sz w:val="15"/>
                  <w:szCs w:val="15"/>
                  <w:color w:val="0000EE"/>
                </w:rPr>
                <w:t>PART I. FINANCIAL INFORMATION</w:t>
              </w:r>
            </w:hyperlink>
          </w:p>
        </w:tc>
        <w:tc>
          <w:tcPr>
            <w:tcW w:w="1020" w:type="dxa"/>
            <w:vAlign w:val="bottom"/>
            <w:tcBorders>
              <w:top w:val="single" w:sz="8" w:color="auto"/>
            </w:tcBorders>
            <w:gridSpan w:val="3"/>
            <w:shd w:val="clear" w:color="auto" w:fill="CCEEFF"/>
          </w:tcPr>
          <w:p>
            <w:pPr>
              <w:jc w:val="right"/>
              <w:spacing w:after="0" w:line="142" w:lineRule="exact"/>
              <w:rPr>
                <w:rFonts w:ascii="Arial" w:cs="Arial" w:eastAsia="Arial" w:hAnsi="Arial"/>
                <w:sz w:val="16"/>
                <w:szCs w:val="16"/>
                <w:color w:val="0000EE"/>
              </w:rPr>
            </w:pPr>
            <w:hyperlink w:anchor="page3">
              <w:r>
                <w:rPr>
                  <w:rFonts w:ascii="Arial" w:cs="Arial" w:eastAsia="Arial" w:hAnsi="Arial"/>
                  <w:sz w:val="16"/>
                  <w:szCs w:val="16"/>
                  <w:color w:val="0000EE"/>
                </w:rPr>
                <w:t>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Item 1.</w:t>
              </w:r>
            </w:hyperlink>
          </w:p>
        </w:tc>
        <w:tc>
          <w:tcPr>
            <w:tcW w:w="640" w:type="dxa"/>
            <w:vAlign w:val="bottom"/>
            <w:gridSpan w:val="2"/>
            <w:shd w:val="clear" w:color="auto" w:fill="CCEEFF"/>
          </w:tcPr>
          <w:p>
            <w:pPr>
              <w:spacing w:after="0"/>
              <w:rPr>
                <w:sz w:val="15"/>
                <w:szCs w:val="15"/>
                <w:color w:val="auto"/>
              </w:rPr>
            </w:pPr>
          </w:p>
        </w:tc>
        <w:tc>
          <w:tcPr>
            <w:tcW w:w="9240" w:type="dxa"/>
            <w:vAlign w:val="bottom"/>
            <w:gridSpan w:val="13"/>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w:t>
              </w:r>
            </w:hyperlink>
          </w:p>
        </w:tc>
        <w:tc>
          <w:tcPr>
            <w:tcW w:w="10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tcPr>
          <w:p>
            <w:pPr>
              <w:spacing w:after="0" w:line="17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Item 2.</w:t>
              </w:r>
            </w:hyperlink>
          </w:p>
        </w:tc>
        <w:tc>
          <w:tcPr>
            <w:tcW w:w="640" w:type="dxa"/>
            <w:vAlign w:val="bottom"/>
            <w:gridSpan w:val="2"/>
          </w:tcPr>
          <w:p>
            <w:pPr>
              <w:spacing w:after="0"/>
              <w:rPr>
                <w:sz w:val="15"/>
                <w:szCs w:val="15"/>
                <w:color w:val="auto"/>
              </w:rPr>
            </w:pPr>
          </w:p>
        </w:tc>
        <w:tc>
          <w:tcPr>
            <w:tcW w:w="9240" w:type="dxa"/>
            <w:vAlign w:val="bottom"/>
            <w:gridSpan w:val="13"/>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1020" w:type="dxa"/>
            <w:vAlign w:val="bottom"/>
            <w:gridSpan w:val="3"/>
          </w:tcPr>
          <w:p>
            <w:pPr>
              <w:jc w:val="right"/>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21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Item 3.</w:t>
              </w:r>
            </w:hyperlink>
          </w:p>
        </w:tc>
        <w:tc>
          <w:tcPr>
            <w:tcW w:w="640" w:type="dxa"/>
            <w:vAlign w:val="bottom"/>
            <w:tcBorders>
              <w:bottom w:val="single" w:sz="8" w:color="CCEEFF"/>
            </w:tcBorders>
            <w:gridSpan w:val="2"/>
            <w:shd w:val="clear" w:color="auto" w:fill="CCEEFF"/>
          </w:tcPr>
          <w:p>
            <w:pPr>
              <w:spacing w:after="0"/>
              <w:rPr>
                <w:sz w:val="17"/>
                <w:szCs w:val="17"/>
                <w:color w:val="auto"/>
              </w:rPr>
            </w:pPr>
          </w:p>
        </w:tc>
        <w:tc>
          <w:tcPr>
            <w:tcW w:w="436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Quantitative and Qualitative Disclosures About Market Risk</w:t>
              </w:r>
            </w:hyperlink>
          </w:p>
        </w:tc>
        <w:tc>
          <w:tcPr>
            <w:tcW w:w="4880" w:type="dxa"/>
            <w:vAlign w:val="bottom"/>
            <w:tcBorders>
              <w:bottom w:val="single" w:sz="8" w:color="CCEEFF"/>
            </w:tcBorders>
            <w:gridSpan w:val="2"/>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3"/>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4.</w:t>
              </w:r>
            </w:hyperlink>
          </w:p>
        </w:tc>
        <w:tc>
          <w:tcPr>
            <w:tcW w:w="9240" w:type="dxa"/>
            <w:vAlign w:val="bottom"/>
            <w:gridSpan w:val="13"/>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1020" w:type="dxa"/>
            <w:vAlign w:val="bottom"/>
            <w:gridSpan w:val="3"/>
          </w:tcPr>
          <w:p>
            <w:pPr>
              <w:jc w:val="right"/>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27</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80" w:type="dxa"/>
            <w:vAlign w:val="bottom"/>
            <w:gridSpan w:val="16"/>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PART II. OTHER INFORMATION</w:t>
              </w:r>
            </w:hyperlink>
          </w:p>
        </w:tc>
        <w:tc>
          <w:tcPr>
            <w:tcW w:w="1020" w:type="dxa"/>
            <w:vAlign w:val="bottom"/>
            <w:gridSpan w:val="3"/>
          </w:tcPr>
          <w:p>
            <w:pPr>
              <w:jc w:val="right"/>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28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3"/>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1.</w:t>
              </w:r>
            </w:hyperlink>
          </w:p>
        </w:tc>
        <w:tc>
          <w:tcPr>
            <w:tcW w:w="9240" w:type="dxa"/>
            <w:vAlign w:val="bottom"/>
            <w:gridSpan w:val="13"/>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1020" w:type="dxa"/>
            <w:vAlign w:val="bottom"/>
            <w:gridSpan w:val="3"/>
          </w:tcPr>
          <w:p>
            <w:pPr>
              <w:jc w:val="right"/>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28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1A.</w:t>
              </w:r>
            </w:hyperlink>
          </w:p>
        </w:tc>
        <w:tc>
          <w:tcPr>
            <w:tcW w:w="9240" w:type="dxa"/>
            <w:vAlign w:val="bottom"/>
            <w:gridSpan w:val="13"/>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10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28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2"/>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2.</w:t>
              </w:r>
            </w:hyperlink>
          </w:p>
        </w:tc>
        <w:tc>
          <w:tcPr>
            <w:tcW w:w="520" w:type="dxa"/>
            <w:vAlign w:val="bottom"/>
          </w:tcPr>
          <w:p>
            <w:pPr>
              <w:spacing w:after="0"/>
              <w:rPr>
                <w:sz w:val="15"/>
                <w:szCs w:val="15"/>
                <w:color w:val="auto"/>
              </w:rPr>
            </w:pPr>
          </w:p>
        </w:tc>
        <w:tc>
          <w:tcPr>
            <w:tcW w:w="9240" w:type="dxa"/>
            <w:vAlign w:val="bottom"/>
            <w:gridSpan w:val="13"/>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1020" w:type="dxa"/>
            <w:vAlign w:val="bottom"/>
            <w:gridSpan w:val="3"/>
          </w:tcPr>
          <w:p>
            <w:pPr>
              <w:jc w:val="right"/>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28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Item 3.</w:t>
              </w:r>
            </w:hyperlink>
          </w:p>
        </w:tc>
        <w:tc>
          <w:tcPr>
            <w:tcW w:w="640" w:type="dxa"/>
            <w:vAlign w:val="bottom"/>
            <w:gridSpan w:val="2"/>
            <w:shd w:val="clear" w:color="auto" w:fill="CCEEFF"/>
          </w:tcPr>
          <w:p>
            <w:pPr>
              <w:spacing w:after="0"/>
              <w:rPr>
                <w:sz w:val="17"/>
                <w:szCs w:val="17"/>
                <w:color w:val="auto"/>
              </w:rPr>
            </w:pPr>
          </w:p>
        </w:tc>
        <w:tc>
          <w:tcPr>
            <w:tcW w:w="9240" w:type="dxa"/>
            <w:vAlign w:val="bottom"/>
            <w:gridSpan w:val="13"/>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Defaults Upon Senior Securities</w:t>
              </w:r>
            </w:hyperlink>
          </w:p>
        </w:tc>
        <w:tc>
          <w:tcPr>
            <w:tcW w:w="10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28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Item 4.</w:t>
              </w:r>
            </w:hyperlink>
          </w:p>
        </w:tc>
        <w:tc>
          <w:tcPr>
            <w:tcW w:w="640" w:type="dxa"/>
            <w:vAlign w:val="bottom"/>
            <w:tcBorders>
              <w:top w:val="single" w:sz="8" w:color="CCEEFF"/>
            </w:tcBorders>
            <w:gridSpan w:val="2"/>
          </w:tcPr>
          <w:p>
            <w:pPr>
              <w:spacing w:after="0"/>
              <w:rPr>
                <w:sz w:val="15"/>
                <w:szCs w:val="15"/>
                <w:color w:val="auto"/>
              </w:rPr>
            </w:pPr>
          </w:p>
        </w:tc>
        <w:tc>
          <w:tcPr>
            <w:tcW w:w="2320" w:type="dxa"/>
            <w:vAlign w:val="bottom"/>
            <w:tcBorders>
              <w:top w:val="single" w:sz="8" w:color="0000EE"/>
            </w:tcBorders>
            <w:gridSpan w:val="8"/>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6920" w:type="dxa"/>
            <w:vAlign w:val="bottom"/>
            <w:tcBorders>
              <w:top w:val="single" w:sz="8" w:color="CCEEFF"/>
            </w:tcBorders>
            <w:gridSpan w:val="5"/>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28</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Item 5.</w:t>
              </w:r>
            </w:hyperlink>
          </w:p>
        </w:tc>
        <w:tc>
          <w:tcPr>
            <w:tcW w:w="640" w:type="dxa"/>
            <w:vAlign w:val="bottom"/>
            <w:tcBorders>
              <w:bottom w:val="single" w:sz="8" w:color="CCEEFF"/>
            </w:tcBorders>
            <w:gridSpan w:val="2"/>
            <w:shd w:val="clear" w:color="auto" w:fill="CCEEFF"/>
          </w:tcPr>
          <w:p>
            <w:pPr>
              <w:spacing w:after="0"/>
              <w:rPr>
                <w:sz w:val="17"/>
                <w:szCs w:val="17"/>
                <w:color w:val="auto"/>
              </w:rPr>
            </w:pPr>
          </w:p>
        </w:tc>
        <w:tc>
          <w:tcPr>
            <w:tcW w:w="13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Other Information</w:t>
              </w:r>
            </w:hyperlink>
          </w:p>
        </w:tc>
        <w:tc>
          <w:tcPr>
            <w:tcW w:w="7920" w:type="dxa"/>
            <w:vAlign w:val="bottom"/>
            <w:tcBorders>
              <w:bottom w:val="single" w:sz="8" w:color="CCEEFF"/>
            </w:tcBorders>
            <w:gridSpan w:val="10"/>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500" w:type="dxa"/>
            <w:vAlign w:val="bottom"/>
            <w:tcBorders>
              <w:bottom w:val="single" w:sz="8" w:color="0000EE"/>
            </w:tcBorders>
          </w:tcPr>
          <w:p>
            <w:pPr>
              <w:spacing w:after="0" w:line="17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Item 6.</w:t>
              </w:r>
            </w:hyperlink>
          </w:p>
        </w:tc>
        <w:tc>
          <w:tcPr>
            <w:tcW w:w="640" w:type="dxa"/>
            <w:vAlign w:val="bottom"/>
            <w:gridSpan w:val="2"/>
          </w:tcPr>
          <w:p>
            <w:pPr>
              <w:spacing w:after="0"/>
              <w:rPr>
                <w:sz w:val="15"/>
                <w:szCs w:val="15"/>
                <w:color w:val="auto"/>
              </w:rPr>
            </w:pPr>
          </w:p>
        </w:tc>
        <w:tc>
          <w:tcPr>
            <w:tcW w:w="600" w:type="dxa"/>
            <w:vAlign w:val="bottom"/>
            <w:tcBorders>
              <w:bottom w:val="single" w:sz="8" w:color="0000EE"/>
            </w:tcBorders>
          </w:tcPr>
          <w:p>
            <w:pPr>
              <w:spacing w:after="0" w:line="17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Exhibits</w:t>
              </w:r>
            </w:hyperlink>
          </w:p>
        </w:tc>
        <w:tc>
          <w:tcPr>
            <w:tcW w:w="8640" w:type="dxa"/>
            <w:vAlign w:val="bottom"/>
            <w:gridSpan w:val="12"/>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Borders>
              <w:bottom w:val="single" w:sz="8" w:color="0000EE"/>
            </w:tcBorders>
            <w:gridSpan w:val="2"/>
          </w:tcPr>
          <w:p>
            <w:pPr>
              <w:jc w:val="right"/>
              <w:spacing w:after="0" w:line="17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29</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160" w:type="dxa"/>
            <w:vAlign w:val="bottom"/>
          </w:tcPr>
          <w:p>
            <w:pPr>
              <w:jc w:val="center"/>
              <w:ind w:left="1630"/>
              <w:spacing w:after="0"/>
              <w:rPr>
                <w:sz w:val="20"/>
                <w:szCs w:val="20"/>
                <w:color w:val="auto"/>
              </w:rPr>
            </w:pPr>
            <w:r>
              <w:rPr>
                <w:rFonts w:ascii="Arial" w:cs="Arial" w:eastAsia="Arial" w:hAnsi="Arial"/>
                <w:sz w:val="18"/>
                <w:szCs w:val="18"/>
                <w:b w:val="1"/>
                <w:bCs w:val="1"/>
                <w:color w:val="auto"/>
              </w:rPr>
              <w:t>PART I - FINANCIAL INFORMATION</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Condensed Consolidated Financial Statements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160" w:type="dxa"/>
            <w:vAlign w:val="bottom"/>
          </w:tcPr>
          <w:p>
            <w:pPr>
              <w:jc w:val="center"/>
              <w:ind w:left="1630"/>
              <w:spacing w:after="0"/>
              <w:rPr>
                <w:sz w:val="20"/>
                <w:szCs w:val="20"/>
                <w:color w:val="auto"/>
              </w:rPr>
            </w:pPr>
            <w:r>
              <w:rPr>
                <w:rFonts w:ascii="Arial" w:cs="Arial" w:eastAsia="Arial" w:hAnsi="Arial"/>
                <w:sz w:val="18"/>
                <w:szCs w:val="18"/>
                <w:b w:val="1"/>
                <w:bCs w:val="1"/>
                <w:color w:val="auto"/>
                <w:w w:val="90"/>
              </w:rPr>
              <w:t>XpresSpa Group, Inc. and Subsidiaries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6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160" w:type="dxa"/>
            <w:vAlign w:val="bottom"/>
          </w:tcPr>
          <w:p>
            <w:pPr>
              <w:jc w:val="center"/>
              <w:ind w:left="163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8"/>
              </w:rPr>
              <w:t>Current assets</w:t>
            </w:r>
          </w:p>
        </w:tc>
        <w:tc>
          <w:tcPr>
            <w:tcW w:w="7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4,458</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6,368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7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581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held for disposal</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6,446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w w:val="99"/>
              </w:rPr>
              <w:t>Restricted cash</w:t>
            </w:r>
          </w:p>
        </w:tc>
        <w:tc>
          <w:tcPr>
            <w:tcW w:w="7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487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15,576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10,407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11,547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Other assets</w:t>
            </w:r>
          </w:p>
        </w:tc>
        <w:tc>
          <w:tcPr>
            <w:tcW w:w="7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3,658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7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36,363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Accounts payable, accrued expenses and other current liabilities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8,079</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8,736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notes,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Liabilities held for disposal</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3,761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7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Convertible notes,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520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warrant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Other liabilities</w:t>
            </w:r>
          </w:p>
        </w:tc>
        <w:tc>
          <w:tcPr>
            <w:tcW w:w="7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Total liabilities</w:t>
            </w:r>
          </w:p>
        </w:tc>
        <w:tc>
          <w:tcPr>
            <w:tcW w:w="7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 (see Note 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Series A Convertible Preferred stock, $0.01 par value per share; 500,000 shares authorized; 6,968 issued and none</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7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gridSpan w:val="2"/>
          </w:tcPr>
          <w:p>
            <w:pPr>
              <w:spacing w:after="0" w:line="201" w:lineRule="exact"/>
              <w:rPr>
                <w:sz w:val="20"/>
                <w:szCs w:val="20"/>
                <w:color w:val="auto"/>
              </w:rPr>
            </w:pPr>
            <w:r>
              <w:rPr>
                <w:rFonts w:ascii="Arial" w:cs="Arial" w:eastAsia="Arial" w:hAnsi="Arial"/>
                <w:sz w:val="18"/>
                <w:szCs w:val="18"/>
                <w:color w:val="auto"/>
                <w:w w:val="90"/>
              </w:rPr>
              <w:t>Series B Convertible Preferred stock, $0.01 par value per share; 5,000,000 shares authorized; 1,666,667 issued and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80" w:type="dxa"/>
            <w:vAlign w:val="bottom"/>
            <w:gridSpan w:val="2"/>
          </w:tcPr>
          <w:p>
            <w:pPr>
              <w:spacing w:after="0"/>
              <w:rPr>
                <w:sz w:val="20"/>
                <w:szCs w:val="20"/>
                <w:color w:val="auto"/>
              </w:rPr>
            </w:pPr>
            <w:r>
              <w:rPr>
                <w:rFonts w:ascii="Arial" w:cs="Arial" w:eastAsia="Arial" w:hAnsi="Arial"/>
                <w:sz w:val="18"/>
                <w:szCs w:val="18"/>
                <w:color w:val="auto"/>
                <w:w w:val="91"/>
              </w:rPr>
              <w:t>none outstanding</w:t>
            </w:r>
          </w:p>
        </w:tc>
        <w:tc>
          <w:tcPr>
            <w:tcW w:w="7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Series C Junior Preferred stock, $0.01 par value per share; 300,000 shares authorized; none issued and outstanding</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gridSpan w:val="2"/>
          </w:tcPr>
          <w:p>
            <w:pPr>
              <w:spacing w:after="0" w:line="201" w:lineRule="exact"/>
              <w:rPr>
                <w:sz w:val="20"/>
                <w:szCs w:val="20"/>
                <w:color w:val="auto"/>
              </w:rPr>
            </w:pPr>
            <w:r>
              <w:rPr>
                <w:rFonts w:ascii="Arial" w:cs="Arial" w:eastAsia="Arial" w:hAnsi="Arial"/>
                <w:sz w:val="18"/>
                <w:szCs w:val="18"/>
                <w:color w:val="auto"/>
                <w:w w:val="90"/>
              </w:rPr>
              <w:t>Series D Convertible Preferred Stock, $0.01 par value per share; 500,000 shares authorized; 475,208 shares issued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40" w:type="dxa"/>
            <w:vAlign w:val="bottom"/>
            <w:gridSpan w:val="3"/>
          </w:tcPr>
          <w:p>
            <w:pPr>
              <w:spacing w:after="0"/>
              <w:rPr>
                <w:sz w:val="20"/>
                <w:szCs w:val="20"/>
                <w:color w:val="auto"/>
              </w:rPr>
            </w:pPr>
            <w:r>
              <w:rPr>
                <w:rFonts w:ascii="Arial" w:cs="Arial" w:eastAsia="Arial" w:hAnsi="Arial"/>
                <w:sz w:val="18"/>
                <w:szCs w:val="18"/>
                <w:color w:val="auto"/>
              </w:rPr>
              <w:t>and 420,541 shares outstanding with a liquidation value of $20,186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$0.01 par value per share; 150,000,000 shares authorized; 27,114,662 and 26,545,690 issued and</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June 30, 2018 and December 31, 2017, respectively</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291,025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290,396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(277,164)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(249,708)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(276)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 attributable to the Company</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4,152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4,956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36,363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65,240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2"/>
              </w:rPr>
              <w:t>Three months ended June 30,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7"/>
          </w:tcPr>
          <w:p>
            <w:pPr>
              <w:jc w:val="right"/>
              <w:ind w:right="440"/>
              <w:spacing w:after="0"/>
              <w:rPr>
                <w:sz w:val="20"/>
                <w:szCs w:val="20"/>
                <w:color w:val="auto"/>
              </w:rPr>
            </w:pPr>
            <w:r>
              <w:rPr>
                <w:rFonts w:ascii="Arial" w:cs="Arial" w:eastAsia="Arial" w:hAnsi="Arial"/>
                <w:sz w:val="18"/>
                <w:szCs w:val="18"/>
                <w:b w:val="1"/>
                <w:bCs w:val="1"/>
                <w:color w:val="auto"/>
                <w:w w:val="92"/>
              </w:rPr>
              <w:t>Six months ended June 30,</w:t>
            </w:r>
          </w:p>
        </w:tc>
        <w:tc>
          <w:tcPr>
            <w:tcW w:w="0" w:type="dxa"/>
            <w:vAlign w:val="bottom"/>
          </w:tcPr>
          <w:p>
            <w:pPr>
              <w:spacing w:after="0"/>
              <w:rPr>
                <w:sz w:val="1"/>
                <w:szCs w:val="1"/>
                <w:color w:val="auto"/>
              </w:rPr>
            </w:pPr>
          </w:p>
        </w:tc>
      </w:tr>
      <w:tr>
        <w:trPr>
          <w:trHeight w:val="223"/>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services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13,038</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12,927</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24,838</w:t>
            </w: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Labor</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6,490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5,783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12,700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11,092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Occupancy</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Products and other operating costs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2,753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3,216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4,607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cost of sales</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2,931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3,496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4,657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 impairment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19,630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3,904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3,864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8,500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8,857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51,762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32,967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Operating loss from continuing operations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(3,068)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(26,124)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(8,956)</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Other non-operating income (expense), net</w:t>
            </w:r>
          </w:p>
        </w:tc>
        <w:tc>
          <w:tcPr>
            <w:tcW w:w="16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589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499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(9,257)</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Income tax benefit (expense)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net loss from continuing operations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(4,613</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(26,081</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(9,484</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Loss from discontinued operations before income taxes*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(3,775)</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benefit (expense)</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Consolidated net loss from discontinued operations</w:t>
            </w: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(3,775</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net loss</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(27,196</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(13,259</w:t>
            </w: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the Company</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(27,456</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(13,435</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net loss from continuing operations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(2,836)</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(4,613)</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(26,081)</w:t>
            </w: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(9,484)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Other comprehensive loss from continuing operations</w:t>
            </w:r>
          </w:p>
        </w:tc>
        <w:tc>
          <w:tcPr>
            <w:tcW w:w="1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loss from continuing operations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(26,283</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(9,635</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Consolidated net loss from discontinued operations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(3,775)</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loss from discontinued operations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Comprehensive loss from discontinued operations</w:t>
            </w: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(3,775</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(3,482</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(27,398</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(13,410</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Loss per share from continuing operations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(0.11)</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(0.99)</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per share from discontinued operations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Total basic and diluted net loss per share</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6"/>
              </w:rPr>
              <w:t>Weighted-average number of shares outstanding during the period:</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4"/>
                <w:szCs w:val="2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26,841,975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19,310,994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26,718,066</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19,178,769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26,841,975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19,310,994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26,718,066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19,178,769</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*Includes stock-based compensation expense, as follows: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259</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543</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571</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Discontinued operations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Total stock-based compensation expense</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148"/>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9"/>
              </w:rPr>
              <w:t>Preferred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Common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3"/>
            <w:vMerge w:val="restart"/>
          </w:tcPr>
          <w:p>
            <w:pPr>
              <w:jc w:val="center"/>
              <w:ind w:right="88"/>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48"/>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paid-</w:t>
            </w:r>
          </w:p>
        </w:tc>
        <w:tc>
          <w:tcPr>
            <w:tcW w:w="1040" w:type="dxa"/>
            <w:vAlign w:val="bottom"/>
            <w:gridSpan w:val="3"/>
            <w:vMerge w:val="continue"/>
          </w:tcPr>
          <w:p>
            <w:pPr>
              <w:spacing w:after="0"/>
              <w:rPr>
                <w:sz w:val="12"/>
                <w:szCs w:val="12"/>
                <w:color w:val="auto"/>
              </w:rPr>
            </w:pPr>
          </w:p>
        </w:tc>
        <w:tc>
          <w:tcPr>
            <w:tcW w:w="12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Company</w:t>
            </w: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 capital</w:t>
            </w:r>
          </w:p>
        </w:tc>
        <w:tc>
          <w:tcPr>
            <w:tcW w:w="160" w:type="dxa"/>
            <w:vAlign w:val="bottom"/>
          </w:tcPr>
          <w:p>
            <w:pPr>
              <w:spacing w:after="0"/>
              <w:rPr>
                <w:sz w:val="14"/>
                <w:szCs w:val="14"/>
                <w:color w:val="auto"/>
              </w:rPr>
            </w:pPr>
          </w:p>
        </w:tc>
        <w:tc>
          <w:tcPr>
            <w:tcW w:w="88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92"/>
              </w:rPr>
              <w:t>deficit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328"/>
              <w:spacing w:after="0"/>
              <w:rPr>
                <w:sz w:val="20"/>
                <w:szCs w:val="20"/>
                <w:color w:val="auto"/>
              </w:rPr>
            </w:pPr>
            <w:r>
              <w:rPr>
                <w:rFonts w:ascii="Arial" w:cs="Arial" w:eastAsia="Arial" w:hAnsi="Arial"/>
                <w:sz w:val="14"/>
                <w:szCs w:val="14"/>
                <w:b w:val="1"/>
                <w:bCs w:val="1"/>
                <w:color w:val="auto"/>
                <w:w w:val="78"/>
              </w:rPr>
              <w:t>loss</w:t>
            </w: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equity</w:t>
            </w:r>
          </w:p>
        </w:tc>
        <w:tc>
          <w:tcPr>
            <w:tcW w:w="1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interest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142"/>
        </w:trPr>
        <w:tc>
          <w:tcPr>
            <w:tcW w:w="24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2017</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265</w:t>
            </w: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290,396</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(249,708)</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40,883</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4,956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45,839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line="149" w:lineRule="exact"/>
              <w:rPr>
                <w:sz w:val="20"/>
                <w:szCs w:val="20"/>
                <w:color w:val="auto"/>
              </w:rPr>
            </w:pPr>
            <w:r>
              <w:rPr>
                <w:rFonts w:ascii="Arial" w:cs="Arial" w:eastAsia="Arial" w:hAnsi="Arial"/>
                <w:sz w:val="14"/>
                <w:szCs w:val="14"/>
                <w:color w:val="auto"/>
                <w:w w:val="94"/>
              </w:rPr>
              <w:t>Vesting of restricted stock units (“RSUs”)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8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equity warrants</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242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571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571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571</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for the period</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(27,456)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(27,456)</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(27,196)</w:t>
            </w:r>
          </w:p>
        </w:tc>
        <w:tc>
          <w:tcPr>
            <w:tcW w:w="0" w:type="dxa"/>
            <w:vAlign w:val="bottom"/>
          </w:tcPr>
          <w:p>
            <w:pPr>
              <w:spacing w:after="0"/>
              <w:rPr>
                <w:sz w:val="1"/>
                <w:szCs w:val="1"/>
                <w:color w:val="auto"/>
              </w:rPr>
            </w:pPr>
          </w:p>
        </w:tc>
      </w:tr>
      <w:tr>
        <w:trPr>
          <w:trHeight w:val="149"/>
        </w:trPr>
        <w:tc>
          <w:tcPr>
            <w:tcW w:w="242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(202)</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(202)</w:t>
            </w: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30"/>
        </w:trPr>
        <w:tc>
          <w:tcPr>
            <w:tcW w:w="2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Contributions from</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shd w:val="clear" w:color="auto" w:fill="CCEEFF"/>
          </w:tcPr>
          <w:p>
            <w:pPr>
              <w:spacing w:after="0"/>
              <w:rPr>
                <w:sz w:val="20"/>
                <w:szCs w:val="20"/>
                <w:color w:val="auto"/>
              </w:rPr>
            </w:pPr>
            <w:r>
              <w:rPr>
                <w:rFonts w:ascii="Arial" w:cs="Arial" w:eastAsia="Arial" w:hAnsi="Arial"/>
                <w:sz w:val="14"/>
                <w:szCs w:val="14"/>
                <w:color w:val="auto"/>
              </w:rPr>
              <w:t>noncontrolling interests</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20"/>
                <w:szCs w:val="20"/>
                <w:color w:val="auto"/>
              </w:rPr>
            </w:pPr>
            <w:r>
              <w:rPr>
                <w:rFonts w:ascii="Arial" w:cs="Arial" w:eastAsia="Arial" w:hAnsi="Arial"/>
                <w:sz w:val="14"/>
                <w:szCs w:val="14"/>
                <w:color w:val="auto"/>
                <w:w w:val="99"/>
              </w:rPr>
              <w:t>Distributions to noncontrolling interests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(1,140)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(1,140)</w:t>
            </w:r>
          </w:p>
        </w:tc>
        <w:tc>
          <w:tcPr>
            <w:tcW w:w="0" w:type="dxa"/>
            <w:vAlign w:val="bottom"/>
          </w:tcPr>
          <w:p>
            <w:pPr>
              <w:spacing w:after="0"/>
              <w:rPr>
                <w:sz w:val="1"/>
                <w:szCs w:val="1"/>
                <w:color w:val="auto"/>
              </w:rPr>
            </w:pPr>
          </w:p>
        </w:tc>
      </w:tr>
      <w:tr>
        <w:trPr>
          <w:trHeight w:val="156"/>
        </w:trPr>
        <w:tc>
          <w:tcPr>
            <w:tcW w:w="242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June 30, 2018</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4</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271</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291,025</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(277,164</w:t>
            </w:r>
          </w:p>
        </w:tc>
        <w:tc>
          <w:tcPr>
            <w:tcW w:w="140" w:type="dxa"/>
            <w:vAlign w:val="bottom"/>
            <w:tcBorders>
              <w:top w:val="single" w:sz="8" w:color="CCEEFF"/>
              <w:bottom w:val="single" w:sz="8" w:color="CCEEFF"/>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(276</w:t>
            </w:r>
          </w:p>
        </w:tc>
        <w:tc>
          <w:tcPr>
            <w:tcW w:w="220" w:type="dxa"/>
            <w:vAlign w:val="bottom"/>
            <w:tcBorders>
              <w:top w:val="single" w:sz="8" w:color="CCEEFF"/>
              <w:bottom w:val="single" w:sz="8" w:color="CCEEFF"/>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13,860</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4,152</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18,012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3"/>
          </w:tcPr>
          <w:p>
            <w:pPr>
              <w:jc w:val="center"/>
              <w:ind w:right="148"/>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4"/>
                <w:szCs w:val="24"/>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24"/>
                <w:szCs w:val="24"/>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auto"/>
                <w:w w:val="96"/>
              </w:rPr>
              <w:t>Preferred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5"/>
              </w:rPr>
              <w:t>Common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3"/>
            <w:vMerge w:val="restart"/>
          </w:tcPr>
          <w:p>
            <w:pPr>
              <w:jc w:val="center"/>
              <w:ind w:right="88"/>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48"/>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paid-</w:t>
            </w:r>
          </w:p>
        </w:tc>
        <w:tc>
          <w:tcPr>
            <w:tcW w:w="1040" w:type="dxa"/>
            <w:vAlign w:val="bottom"/>
            <w:gridSpan w:val="3"/>
            <w:vMerge w:val="continue"/>
          </w:tcPr>
          <w:p>
            <w:pPr>
              <w:spacing w:after="0"/>
              <w:rPr>
                <w:sz w:val="12"/>
                <w:szCs w:val="12"/>
                <w:color w:val="auto"/>
              </w:rPr>
            </w:pPr>
          </w:p>
        </w:tc>
        <w:tc>
          <w:tcPr>
            <w:tcW w:w="12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Company</w:t>
            </w: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8"/>
              </w:rPr>
              <w:t>stock</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 capital</w:t>
            </w:r>
          </w:p>
        </w:tc>
        <w:tc>
          <w:tcPr>
            <w:tcW w:w="160" w:type="dxa"/>
            <w:vAlign w:val="bottom"/>
          </w:tcPr>
          <w:p>
            <w:pPr>
              <w:spacing w:after="0"/>
              <w:rPr>
                <w:sz w:val="14"/>
                <w:szCs w:val="14"/>
                <w:color w:val="auto"/>
              </w:rPr>
            </w:pPr>
          </w:p>
        </w:tc>
        <w:tc>
          <w:tcPr>
            <w:tcW w:w="88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92"/>
              </w:rPr>
              <w:t>deficit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328"/>
              <w:spacing w:after="0"/>
              <w:rPr>
                <w:sz w:val="20"/>
                <w:szCs w:val="20"/>
                <w:color w:val="auto"/>
              </w:rPr>
            </w:pPr>
            <w:r>
              <w:rPr>
                <w:rFonts w:ascii="Arial" w:cs="Arial" w:eastAsia="Arial" w:hAnsi="Arial"/>
                <w:sz w:val="14"/>
                <w:szCs w:val="14"/>
                <w:b w:val="1"/>
                <w:bCs w:val="1"/>
                <w:color w:val="auto"/>
                <w:w w:val="78"/>
              </w:rPr>
              <w:t>loss</w:t>
            </w: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equity</w:t>
            </w:r>
          </w:p>
        </w:tc>
        <w:tc>
          <w:tcPr>
            <w:tcW w:w="1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interest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142"/>
        </w:trPr>
        <w:tc>
          <w:tcPr>
            <w:tcW w:w="24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2016</w:t>
            </w: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183</w:t>
            </w: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280,221</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(220,868)</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59,528</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4,641</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64,169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line="149" w:lineRule="exact"/>
              <w:rPr>
                <w:sz w:val="20"/>
                <w:szCs w:val="20"/>
                <w:color w:val="auto"/>
              </w:rPr>
            </w:pPr>
            <w:r>
              <w:rPr>
                <w:rFonts w:ascii="Arial" w:cs="Arial" w:eastAsia="Arial" w:hAnsi="Arial"/>
                <w:sz w:val="14"/>
                <w:szCs w:val="14"/>
                <w:color w:val="auto"/>
                <w:w w:val="99"/>
              </w:rPr>
              <w:t>Issuance of common stock for services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30"/>
        </w:trPr>
        <w:tc>
          <w:tcPr>
            <w:tcW w:w="2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for</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shd w:val="clear" w:color="auto" w:fill="CCEEFF"/>
          </w:tcPr>
          <w:p>
            <w:pPr>
              <w:spacing w:after="0"/>
              <w:rPr>
                <w:sz w:val="20"/>
                <w:szCs w:val="20"/>
                <w:color w:val="auto"/>
              </w:rPr>
            </w:pPr>
            <w:r>
              <w:rPr>
                <w:rFonts w:ascii="Arial" w:cs="Arial" w:eastAsia="Arial" w:hAnsi="Arial"/>
                <w:sz w:val="14"/>
                <w:szCs w:val="14"/>
                <w:color w:val="auto"/>
              </w:rPr>
              <w:t>acquisition of Excalibur</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1,800</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1,809</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1,809</w:t>
            </w:r>
          </w:p>
        </w:tc>
        <w:tc>
          <w:tcPr>
            <w:tcW w:w="0" w:type="dxa"/>
            <w:vAlign w:val="bottom"/>
          </w:tcPr>
          <w:p>
            <w:pPr>
              <w:spacing w:after="0"/>
              <w:rPr>
                <w:sz w:val="1"/>
                <w:szCs w:val="1"/>
                <w:color w:val="auto"/>
              </w:rPr>
            </w:pPr>
          </w:p>
        </w:tc>
      </w:tr>
      <w:tr>
        <w:trPr>
          <w:trHeight w:val="130"/>
        </w:trPr>
        <w:tc>
          <w:tcPr>
            <w:tcW w:w="2420" w:type="dxa"/>
            <w:vAlign w:val="bottom"/>
          </w:tcPr>
          <w:p>
            <w:pPr>
              <w:spacing w:after="0" w:line="130" w:lineRule="exact"/>
              <w:rPr>
                <w:sz w:val="20"/>
                <w:szCs w:val="20"/>
                <w:color w:val="auto"/>
              </w:rPr>
            </w:pPr>
            <w:r>
              <w:rPr>
                <w:rFonts w:ascii="Arial" w:cs="Arial" w:eastAsia="Arial" w:hAnsi="Arial"/>
                <w:sz w:val="14"/>
                <w:szCs w:val="14"/>
                <w:color w:val="auto"/>
              </w:rPr>
              <w:t>Decrease in shares of preferred stock</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tcPr>
          <w:p>
            <w:pPr>
              <w:spacing w:after="0"/>
              <w:rPr>
                <w:sz w:val="20"/>
                <w:szCs w:val="20"/>
                <w:color w:val="auto"/>
              </w:rPr>
            </w:pPr>
            <w:r>
              <w:rPr>
                <w:rFonts w:ascii="Arial" w:cs="Arial" w:eastAsia="Arial" w:hAnsi="Arial"/>
                <w:sz w:val="14"/>
                <w:szCs w:val="14"/>
                <w:color w:val="auto"/>
              </w:rPr>
              <w:t>issued to XpresSpa sellers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(908)</w:t>
            </w:r>
          </w:p>
        </w:tc>
        <w:tc>
          <w:tcPr>
            <w:tcW w:w="160" w:type="dxa"/>
            <w:vAlign w:val="bottom"/>
          </w:tcPr>
          <w:p>
            <w:pPr>
              <w:spacing w:after="0"/>
              <w:rPr>
                <w:sz w:val="14"/>
                <w:szCs w:val="14"/>
                <w:color w:val="auto"/>
              </w:rPr>
            </w:pPr>
          </w:p>
        </w:tc>
        <w:tc>
          <w:tcPr>
            <w:tcW w:w="8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(908)</w:t>
            </w: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(908)</w:t>
            </w:r>
          </w:p>
        </w:tc>
        <w:tc>
          <w:tcPr>
            <w:tcW w:w="0" w:type="dxa"/>
            <w:vAlign w:val="bottom"/>
          </w:tcPr>
          <w:p>
            <w:pPr>
              <w:spacing w:after="0"/>
              <w:rPr>
                <w:sz w:val="1"/>
                <w:szCs w:val="1"/>
                <w:color w:val="auto"/>
              </w:rPr>
            </w:pPr>
          </w:p>
        </w:tc>
      </w:tr>
      <w:tr>
        <w:trPr>
          <w:trHeight w:val="130"/>
        </w:trPr>
        <w:tc>
          <w:tcPr>
            <w:tcW w:w="2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Conversion of preferred stock to</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shd w:val="clear" w:color="auto" w:fill="CCEEFF"/>
          </w:tcPr>
          <w:p>
            <w:pPr>
              <w:spacing w:after="0"/>
              <w:rPr>
                <w:sz w:val="20"/>
                <w:szCs w:val="20"/>
                <w:color w:val="auto"/>
              </w:rPr>
            </w:pPr>
            <w:r>
              <w:rPr>
                <w:rFonts w:ascii="Arial" w:cs="Arial" w:eastAsia="Arial" w:hAnsi="Arial"/>
                <w:sz w:val="14"/>
                <w:szCs w:val="14"/>
                <w:color w:val="auto"/>
              </w:rPr>
              <w:t>common stock</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2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1,473</w:t>
            </w:r>
          </w:p>
        </w:tc>
        <w:tc>
          <w:tcPr>
            <w:tcW w:w="160" w:type="dxa"/>
            <w:vAlign w:val="bottom"/>
          </w:tcPr>
          <w:p>
            <w:pPr>
              <w:spacing w:after="0"/>
              <w:rPr>
                <w:sz w:val="12"/>
                <w:szCs w:val="12"/>
                <w:color w:val="auto"/>
              </w:rPr>
            </w:pPr>
          </w:p>
        </w:tc>
        <w:tc>
          <w:tcPr>
            <w:tcW w:w="8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1,473</w:t>
            </w: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1,473</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for the period</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(13,435)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(13,435)</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(13,259)</w:t>
            </w:r>
          </w:p>
        </w:tc>
        <w:tc>
          <w:tcPr>
            <w:tcW w:w="0" w:type="dxa"/>
            <w:vAlign w:val="bottom"/>
          </w:tcPr>
          <w:p>
            <w:pPr>
              <w:spacing w:after="0"/>
              <w:rPr>
                <w:sz w:val="1"/>
                <w:szCs w:val="1"/>
                <w:color w:val="auto"/>
              </w:rPr>
            </w:pPr>
          </w:p>
        </w:tc>
      </w:tr>
      <w:tr>
        <w:trPr>
          <w:trHeight w:val="149"/>
        </w:trPr>
        <w:tc>
          <w:tcPr>
            <w:tcW w:w="242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(151)</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(151)</w:t>
            </w: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30"/>
        </w:trPr>
        <w:tc>
          <w:tcPr>
            <w:tcW w:w="2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Contributions from</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shd w:val="clear" w:color="auto" w:fill="CCEEFF"/>
          </w:tcPr>
          <w:p>
            <w:pPr>
              <w:spacing w:after="0"/>
              <w:rPr>
                <w:sz w:val="20"/>
                <w:szCs w:val="20"/>
                <w:color w:val="auto"/>
              </w:rPr>
            </w:pPr>
            <w:r>
              <w:rPr>
                <w:rFonts w:ascii="Arial" w:cs="Arial" w:eastAsia="Arial" w:hAnsi="Arial"/>
                <w:sz w:val="14"/>
                <w:szCs w:val="14"/>
                <w:color w:val="auto"/>
              </w:rPr>
              <w:t>noncontrolling interests</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30"/>
        </w:trPr>
        <w:tc>
          <w:tcPr>
            <w:tcW w:w="2420" w:type="dxa"/>
            <w:vAlign w:val="bottom"/>
          </w:tcPr>
          <w:p>
            <w:pPr>
              <w:spacing w:after="0" w:line="130" w:lineRule="exact"/>
              <w:rPr>
                <w:sz w:val="20"/>
                <w:szCs w:val="20"/>
                <w:color w:val="auto"/>
              </w:rPr>
            </w:pPr>
            <w:r>
              <w:rPr>
                <w:rFonts w:ascii="Arial" w:cs="Arial" w:eastAsia="Arial" w:hAnsi="Arial"/>
                <w:sz w:val="14"/>
                <w:szCs w:val="14"/>
                <w:color w:val="auto"/>
              </w:rPr>
              <w:t>Distributions to noncontrolling</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420" w:type="dxa"/>
            <w:vAlign w:val="bottom"/>
          </w:tcPr>
          <w:p>
            <w:pPr>
              <w:spacing w:after="0"/>
              <w:rPr>
                <w:sz w:val="20"/>
                <w:szCs w:val="20"/>
                <w:color w:val="auto"/>
              </w:rPr>
            </w:pPr>
            <w:r>
              <w:rPr>
                <w:rFonts w:ascii="Arial" w:cs="Arial" w:eastAsia="Arial" w:hAnsi="Arial"/>
                <w:sz w:val="14"/>
                <w:szCs w:val="14"/>
                <w:color w:val="auto"/>
              </w:rPr>
              <w:t>interests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(131)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56"/>
        </w:trPr>
        <w:tc>
          <w:tcPr>
            <w:tcW w:w="242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June 30, 2017</w:t>
            </w: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196</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282,603</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(234,303</w:t>
            </w:r>
          </w:p>
        </w:tc>
        <w:tc>
          <w:tcPr>
            <w:tcW w:w="140" w:type="dxa"/>
            <w:vAlign w:val="bottom"/>
            <w:tcBorders>
              <w:top w:val="single" w:sz="8" w:color="CCEEFF"/>
              <w:bottom w:val="single" w:sz="8" w:color="CCEEFF"/>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(164</w:t>
            </w:r>
          </w:p>
        </w:tc>
        <w:tc>
          <w:tcPr>
            <w:tcW w:w="220" w:type="dxa"/>
            <w:vAlign w:val="bottom"/>
            <w:tcBorders>
              <w:top w:val="single" w:sz="8" w:color="CCEEFF"/>
              <w:bottom w:val="single" w:sz="8" w:color="CCEEFF"/>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48,336</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4,917</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53,253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8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4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ind w:left="180"/>
              <w:spacing w:after="0"/>
              <w:rPr>
                <w:sz w:val="20"/>
                <w:szCs w:val="20"/>
                <w:color w:val="auto"/>
              </w:rPr>
            </w:pPr>
            <w:r>
              <w:rPr>
                <w:rFonts w:ascii="Arial" w:cs="Arial" w:eastAsia="Arial" w:hAnsi="Arial"/>
                <w:sz w:val="18"/>
                <w:szCs w:val="18"/>
                <w:color w:val="auto"/>
              </w:rPr>
              <w:t>Consolidated net loss</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(27,196)</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(13,259)</w:t>
            </w:r>
          </w:p>
        </w:tc>
      </w:tr>
      <w:tr>
        <w:trPr>
          <w:trHeight w:val="23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net loss from discontinued operations</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(3,775)</w:t>
            </w:r>
          </w:p>
        </w:tc>
      </w:tr>
      <w:tr>
        <w:trPr>
          <w:trHeight w:val="210"/>
        </w:trPr>
        <w:tc>
          <w:tcPr>
            <w:tcW w:w="8400" w:type="dxa"/>
            <w:vAlign w:val="bottom"/>
          </w:tcPr>
          <w:p>
            <w:pPr>
              <w:ind w:left="180"/>
              <w:spacing w:after="0"/>
              <w:rPr>
                <w:sz w:val="20"/>
                <w:szCs w:val="20"/>
                <w:color w:val="auto"/>
              </w:rPr>
            </w:pPr>
            <w:r>
              <w:rPr>
                <w:rFonts w:ascii="Arial" w:cs="Arial" w:eastAsia="Arial" w:hAnsi="Arial"/>
                <w:sz w:val="18"/>
                <w:szCs w:val="18"/>
                <w:color w:val="auto"/>
              </w:rPr>
              <w:t>Consolidated net loss from continuing operations</w:t>
            </w: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(26,081)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(9,484)</w:t>
            </w: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w w:val="92"/>
              </w:rPr>
              <w:t>Adjustments to reconcile consolidated net loss from continuing operations to net cash used in operating activities: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b w:val="1"/>
                <w:bCs w:val="1"/>
                <w:color w:val="auto"/>
              </w:rPr>
              <w:t>Items not affecting cash flows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3,496</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4,657</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Goodwill impairment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19,630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571</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1,473</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Issuance of shares of common stock</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1,829</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Amortization of debt discount and debt issuance costs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 warrant liabilities – May 2015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Change in fair value of derivative warrant liabilities – May 2018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(865)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Contingent liability assumed from acquisition</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Gain on the sale of patents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assets and liabilities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Decrease in inventory</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233</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other current assets and other assets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904</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Decrease in accounts payable, accrued expenses and other current liabilities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(617)</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(3,052)</w:t>
            </w:r>
          </w:p>
        </w:tc>
      </w:tr>
      <w:tr>
        <w:trPr>
          <w:trHeight w:val="23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Increase in other liabilities</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788</w:t>
            </w:r>
          </w:p>
        </w:tc>
      </w:tr>
      <w:tr>
        <w:trPr>
          <w:trHeight w:val="210"/>
        </w:trPr>
        <w:tc>
          <w:tcPr>
            <w:tcW w:w="8400" w:type="dxa"/>
            <w:vAlign w:val="bottom"/>
          </w:tcPr>
          <w:p>
            <w:pPr>
              <w:spacing w:after="0"/>
              <w:rPr>
                <w:sz w:val="20"/>
                <w:szCs w:val="20"/>
                <w:color w:val="auto"/>
              </w:rPr>
            </w:pPr>
            <w:r>
              <w:rPr>
                <w:rFonts w:ascii="Arial" w:cs="Arial" w:eastAsia="Arial" w:hAnsi="Arial"/>
                <w:sz w:val="18"/>
                <w:szCs w:val="18"/>
                <w:b w:val="1"/>
                <w:bCs w:val="1"/>
                <w:color w:val="auto"/>
              </w:rPr>
              <w:t>Net cash used in operating activities – continuing operations</w:t>
            </w: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(3,127)</w:t>
            </w:r>
          </w:p>
        </w:tc>
        <w:tc>
          <w:tcPr>
            <w:tcW w:w="100" w:type="dxa"/>
            <w:vAlign w:val="bottom"/>
          </w:tcPr>
          <w:p>
            <w:pPr>
              <w:spacing w:after="0"/>
              <w:rPr>
                <w:sz w:val="18"/>
                <w:szCs w:val="18"/>
                <w:color w:val="auto"/>
              </w:rPr>
            </w:pPr>
          </w:p>
        </w:tc>
      </w:tr>
      <w:tr>
        <w:trPr>
          <w:trHeight w:val="230"/>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operating activities – discontinued operations</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1,461</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(4,633)</w:t>
            </w:r>
          </w:p>
        </w:tc>
      </w:tr>
      <w:tr>
        <w:trPr>
          <w:trHeight w:val="210"/>
        </w:trPr>
        <w:tc>
          <w:tcPr>
            <w:tcW w:w="84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Acquisition of property and equipment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(2,058)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(1,301)</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software</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Proceeds from the sale of patents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from note receivable</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840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 – continuing operations</w:t>
            </w: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18"/>
                <w:szCs w:val="18"/>
                <w:color w:val="auto"/>
              </w:rPr>
            </w:pPr>
          </w:p>
        </w:tc>
      </w:tr>
      <w:tr>
        <w:trPr>
          <w:trHeight w:val="230"/>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 – discontinued operations</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10"/>
        </w:trPr>
        <w:tc>
          <w:tcPr>
            <w:tcW w:w="84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(used in) financing activities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Proceeds from convertible notes and warrants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4,350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Contributions from noncontrolling interests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231</w:t>
            </w:r>
          </w:p>
        </w:tc>
      </w:tr>
      <w:tr>
        <w:trPr>
          <w:trHeight w:val="23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noncontrolling interests</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10"/>
        </w:trPr>
        <w:tc>
          <w:tcPr>
            <w:tcW w:w="840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r>
      <w:tr>
        <w:trPr>
          <w:trHeight w:val="230"/>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 – discontinued operations</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10"/>
        </w:trPr>
        <w:tc>
          <w:tcPr>
            <w:tcW w:w="84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2,977</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and foreign currency translation</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40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(9,952)</w:t>
            </w:r>
          </w:p>
        </w:tc>
        <w:tc>
          <w:tcPr>
            <w:tcW w:w="100" w:type="dxa"/>
            <w:vAlign w:val="bottom"/>
          </w:tcPr>
          <w:p>
            <w:pPr>
              <w:spacing w:after="0"/>
              <w:rPr>
                <w:sz w:val="18"/>
                <w:szCs w:val="18"/>
                <w:color w:val="auto"/>
              </w:rPr>
            </w:pPr>
          </w:p>
        </w:tc>
      </w:tr>
      <w:tr>
        <w:trPr>
          <w:trHeight w:val="23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6,368</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17,910</w:t>
            </w:r>
          </w:p>
        </w:tc>
      </w:tr>
      <w:tr>
        <w:trPr>
          <w:trHeight w:val="263"/>
        </w:trPr>
        <w:tc>
          <w:tcPr>
            <w:tcW w:w="8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4,458</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7,958</w:t>
            </w:r>
          </w:p>
        </w:tc>
        <w:tc>
          <w:tcPr>
            <w:tcW w:w="100" w:type="dxa"/>
            <w:vAlign w:val="bottom"/>
            <w:tcBorders>
              <w:bottom w:val="single" w:sz="8" w:color="CCEEFF"/>
            </w:tcBorders>
          </w:tcPr>
          <w:p>
            <w:pPr>
              <w:spacing w:after="0"/>
              <w:rPr>
                <w:sz w:val="22"/>
                <w:szCs w:val="22"/>
                <w:color w:val="auto"/>
              </w:rPr>
            </w:pPr>
          </w:p>
        </w:tc>
      </w:tr>
      <w:tr>
        <w:trPr>
          <w:trHeight w:val="197"/>
        </w:trPr>
        <w:tc>
          <w:tcPr>
            <w:tcW w:w="8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paid during the period for</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Interest</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588</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430</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transactions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Non-cash acquisition of cost method investment</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2,075</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Debt discount related to issuance of convertible notes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1,962</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January 5, 2018, FORM Holdings Corp. changed its name to XpresSpa Group, Inc. (“XpresSpa Group” or the “Company”). The Company’s common stock, par value $0.01 per share, which had previously been listed under the trading symbol “FH” on the Nasdaq Capital Market (“Nasdaq”), has been listed under the trading symbol “XSPA” since January 8, 2018. Rebranding to XpresSpa Group aligned the Company’s corporate strategy to build a pure-play health and wellness services company, which the Company commenced following its acquisition of XpresSpa Holdings, LLC (“XpresSpa”) on December 23, 2016.</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transition to a pure-play health and wellness services company, the Company currently has one operating segment that is also its sole reporting unit, XpresSpa, a leading airport retailer of spa services. XpresSpa is a well-recognized airport spa brand with 57 locations, consisting of 52 domestic and 5 international locations as of June 30, 2018. XpresSpa offers travelers premium spa services, including massage, nail and skin care, as well as spa and travel products.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2017, the Company completed the sale of FLI Charge, Inc. (“FLI Charge”) and, in March 2018, the Company completed the sale of Group Mobile Int’l LLC (“Group Mobile”). These two entities formerly comprised the Company’s technology operating segment, which was discontinued following the disposition of Group Mobile. The results of operations for FLI Charge and Group Mobile are presented in the condensed consolidated statements of operations and comprehensive loss as consolidated net loss from discontinued operations. The carrying amounts of assets and liabilities belonging to Group Mobile are presented in the condensed consolidated balance sheets as assets held for disposal and liabilities held for disposal, respectively, as of June 30, 2018 and December 31, 2017.</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owns certain patent portfolios, which it looks to monetize through sales and licensing agreements. During the six-month period ended June 30, 2018, the Company determined that its former intellectual property operating segment would no longer be an area of focus and, as such, will no longer operate as a separate operating segment, as it is not expected to generate any material revenues or operating costs.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On April 19, 2018, Andrew D. Perlman resigned as Chief Executive Officer of the Company and as a Director of the Company, effective as of that date. Mr.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Perlman’s resignation was not as a result of any disagreement with the Company on any matters related to the Company’s operations, policies or practices.</w:t>
      </w:r>
    </w:p>
    <w:p>
      <w:pPr>
        <w:spacing w:after="0" w:line="23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Effective as of the same date, Edward Jankowski, Senior Vice President and Chief Executive Officer of the Company’s wholly-owned subsidiary, XpresSpa, was appointed by the Board of Directors as the Chief Executive Officer of the Company and as a Director of the Company.</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15, 2018, the Company entered into a securities purchase agreement (the “Securities Purchase Agreement”) with certain institutional investors (the “Investors”), pursuant to which the Company agreed to sell up to (i) an aggregate principal amount of $4,438 in 5% Secured Convertible Notes due November 16, 2019, which includes $88 to be issued to Palladium Capital Advisors as Placement Agent (the “Convertible Notes”), convertible into shares of the Company’s common stock, par value $0.01 per share (the “Common Stock”) at a conversion price of $0.62 per share, (ii) Class A Warrants (the “Class A Warrants”) to purchase 7,157,259 shares of Common Stock at an exercise price of $0.62 per share and (iii) Class B Warrants (the “Class B Warrants,” and together with the Class A Warrants, the “Warrants”) to purchase 3,578,630 shares of Common Stock at an exercise price of $0.62 per share. The Convertible Notes bear interest at a rate of 5% per annum. The Convertible Notes are senior secured obligations of the Company and are secured by certain of its personal property. Unless earlier converted or redeemed, the Convertible Notes will mature on November 16, 2019. The transaction closed on May 17, 2018, at which time the Company received $4,350 in gross proceeds from the Investors.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19, 2018, Anastasia Nyrkovskaya, Chief Financial Officer, Principal Financial Officer and Principal Accounting Officer of the Company, resigned from her positions at the Company to pursue other career interests. Ms. Nyrkovskaya has agreed to remain with the Company in a reduced capacity through October 15, 2018, during which time she is expected to transition certain projects while the Company completes an ongoing search for a new Chief Financial Officer. On June 19, 2018, the Company entered into a separation agreement with Ms. Nyrkovskaya, a copy of which is attached as Exhibit 10.1 hereto and is incorporated herein by reference.</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June 30, 2018, the Company’s current assets were $6,235, which included cash and cash equivalents of $4,458. The Company’s current liabilities were $9,873 as of June 30, 2018, which included $1,754 of convertible notes classified as short-term for which principal repayments may be made in the Company’s common stock at the Company’s election. In addition, included in total current liabilities is approximately $1,762 which relates to obligations that will not settle in cash, and an additional $465 of liabilities that are not expected to settle in the next twelve months.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management believes that its current cash balance, cash to be provided by future operating activities, and cash proceeds from the anticipated liquidation of certain investments, will be sufficient to fund its planned operations and pay its liabilities as they become due, including scheduled Convertible Note principal repayments for at least the next twelve months following the filing date of these financial statements. At the Company’s election, principal repayments of the Convertible Notes may be made in cash or, subject to certain conditions, in registered shares of the Company’s common stock. In addition, the Company has access to additional sources of financing and may attempt to renegotiate terms of various contracts.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and Reporting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 and principles of consolidation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interim condensed consolidated financial statements have been prepared in accordance with generally accepted accounting principles in the United States of America (“U.S. GAAP”) for interim financial information and the instructions to Rule 10-01 of Regulation S-X, and should be read in conjunction with the Company's Annual Report on Form 10-K for the year ended December 31, 2017. The condensed consolidated financial statements include the accounts of the Company, all entities that are wholly-owned by the Company, and all entities in which the Company has a controlling financial interest. All adjustments that, in the opinion of management, are necessary for a fair presentation for the periods presented have been reflected by the Company. Such adjustments are of a normal, recurring nature. The results of operations for the three and six-month periods ended June 30, 2018 are not necessarily indicative of the results that may be expected for the entire fiscal year or for any other interim period. All significant intercompany balances and transactions have been eliminated in consolidation.</w:t>
      </w:r>
    </w:p>
    <w:p>
      <w:pPr>
        <w:sectPr>
          <w:pgSz w:w="11900" w:h="16907" w:orient="portrait"/>
          <w:cols w:equalWidth="0" w:num="1">
            <w:col w:w="11420"/>
          </w:cols>
          <w:pgMar w:left="240" w:top="904" w:right="239" w:bottom="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the accompanying condensed consolidated financial statements in conformity with U.S. GAAP requires management to make certain estimates and assumptions that affect the reported amounts of assets and liabilities and disclosure of contingent assets and liabilities as of the date of the condensed consolidated financial statements and the reported amounts of revenues and expenses for the periods presented. Actual results may differ from such estimates. Significant items subject to such estimates and assumptions include the Company’s intangible assets, investments classified as other assets, the useful lives of the Company’s intangible assets, the valuation of the Company’s derivative warrant liabilities, the valuation of stock-based compensation, deferred tax assets and liabilities, income tax uncertainties, and other contingencies.</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(c) Cash and Cash Equivalents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maintains cash in checking accounts with financial institutions. The Company has established guidelines relating to diversification and maturities of its investments in order to minimize credit risk and maintain high liquidity of funds. Cash equivalents include amounts due from third-party financial institutions for credit and debit card transactions. These items typically settle in less than five days. As of June 30, 2018, the Company held significant portions of its cash balance in overseas accounts, totaling $1,232, which is not insured by the Federal Deposit Insurance Corporation (“FDIC”). If the Company were to distribute the amounts held overseas, the Company would need to follow an approval process as defined in its operating and partnership agreements, which may delay the availability of cash to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Revenue recognition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revenue from the sale of XpresSpa products and services at the point of sale, net of discounts and applicable sales taxes. Revenues from the XpresSpa wholesale and e-commerce businesses are recorded at the time goods are shipped. The Company excludes all sales taxes assessed to its customers. Sales taxes assessed on revenues are included in accounts payable, accrued expenses and other current liabilities in the condensed consolidated balance sheets until remitted to the state agencies.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Other revenue relates to one-time intellectual property licenses as well as the sale of certain of the Company’s intellectual property. Revenue from patent licensing is recognized when the Company transfers promised intellectual property rights to customers in an amount that reflects the consideration to which the Company expects to be entitled in exchange for those intellectual property rights. Currently, revenue arrangements related to intellectual property provide for the payment of contractually determined fees and other consideration for the grant of certain intellectual property rights related to the Company’s patents. These rights typically include some combination of the following: (i) the grant of a non-exclusive, retroactive and future license to manufacture and/or sell products covered by patents, (ii) the release of the licensee from certain claims, and (iii) the dismissal of any pending litigation. The intellectual property rights granted typically extend until the expiration of the related patents. Pursuant to the terms of these agreements, the Company has no further obligation with respect to the grant of the non-exclusive retroactive and future licenses, covenants-not-to-sue, releases, and other deliverables, including no express or implied obligation on the Company’s part to maintain or upgrade the related technology, or provide future support or services. Generally, the agreements provide for the grant of the licenses, covenants-not-to-sue, releases, and other significant deliverables upon execution of the agreement, or upon receipt of the upfront payment. As such, the earnings process is complete and revenue is recognized upon the execution of the agreement, receipt of the upfront fee, and transfer of the promised intellectual property rights.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Cost of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sales consists of store-level costs. Store-level costs include all costs that are directly attributable to the store operations and include:</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payroll and related benefits for store operations and store-level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rent, percentage rent and occupancy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of merchandise;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freight, shipping and handling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production costs;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inventory shortage and valuation adjustments, including purchase price allocation increase in fair values which was recorded as part of acquisition;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sourcing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sales related to the Company’s intellectual property mainly includes expenses incurred in connection with the Company’s patent licensing and enforcement activities, patent-related legal expenses paid to external patent counsel (including contingent legal fees), licensing and enforcement related research, consulting and other expenses paid to third parties, as well as related internal payroll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Investments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accounts for its investments in other entities using the cost method of accounting when the Company has no substantial influence over, and the investment is less than 20% of, the investee entity. Under the cost method, the investment is recorded at cost, which approximates fair value, on the date of acquisition. The Company performs an assessment for impairment on at least an annual basis, or when there is an indication that cost exceeds fair value.</w:t>
      </w:r>
    </w:p>
    <w:p>
      <w:pPr>
        <w:spacing w:after="0" w:line="35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(g) Fair value measurements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measures fair value in accordance with FASB ASC 820-10,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FASB ASC 820-10 clarifies that fair value is an exit price, representing the amount that would be received by selling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FASB ASC 820-10 establishes a three-tier value hierarchy, which prioritizes the inputs used in the valuation methodologies in measuring fair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 Unadjusted quoted prices in active markets for identical assets or liabilities accessible to the reporting entity at the measurement date.</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Other than quoted prices included in Level 1 inputs that are observable for the asset or liability, either directly or indirectly, for substantially the full</w:t>
      </w:r>
      <w:r>
        <w:rPr>
          <w:rFonts w:ascii="Arial" w:cs="Arial" w:eastAsia="Arial" w:hAnsi="Arial"/>
          <w:sz w:val="18"/>
          <w:szCs w:val="18"/>
          <w:b w:val="1"/>
          <w:bCs w:val="1"/>
          <w:color w:val="auto"/>
        </w:rPr>
        <w:t xml:space="preserve"> </w:t>
      </w:r>
      <w:r>
        <w:rPr>
          <w:rFonts w:ascii="Arial" w:cs="Arial" w:eastAsia="Arial" w:hAnsi="Arial"/>
          <w:sz w:val="18"/>
          <w:szCs w:val="18"/>
          <w:color w:val="auto"/>
        </w:rPr>
        <w:t>term of the asset or liability.</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Unobservable inputs for the asset or liability used to measure fair value to the extent that observable inputs are not available, thereby allowing for</w:t>
      </w:r>
      <w:r>
        <w:rPr>
          <w:rFonts w:ascii="Arial" w:cs="Arial" w:eastAsia="Arial" w:hAnsi="Arial"/>
          <w:sz w:val="18"/>
          <w:szCs w:val="18"/>
          <w:b w:val="1"/>
          <w:bCs w:val="1"/>
          <w:color w:val="auto"/>
        </w:rPr>
        <w:t xml:space="preserve"> </w:t>
      </w:r>
      <w:r>
        <w:rPr>
          <w:rFonts w:ascii="Arial" w:cs="Arial" w:eastAsia="Arial" w:hAnsi="Arial"/>
          <w:sz w:val="18"/>
          <w:szCs w:val="18"/>
          <w:color w:val="auto"/>
        </w:rPr>
        <w:t>situations in which there is little, if any, market activity for the asset or liability at measurement date.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Recently issued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2014-09, Revenue from Contracts with Customers (Topic 606)</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core principle of this new standard is that revenue should be recognized to depict the transfer of promised goods or services to customers in an amount that reflects the consideration to which the entity expects to be entitled in exchange for those goods or services. This guidance was amended in July 2015 and is effective for annual reporting periods beginning after December 15, 2017. Adoption of this ASU did not have a material impact on the Company’s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2016-01, Financial Instruments – Overall (Topic 825-10): Recognition and Measurement of Financial Assets and Financial Liabilities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standard amends various aspects of the recognition, measurement, presentation, and disclosure for financial instruments. With respect to the Company’s condensed consolidated financial statements, the most significant impact relates to the accounting for equity investments. It will impact the disclosure and presentation of financial assets and liabilities. The amendments in this update are effective for annual reporting periods, and interim periods within those years beginning after December 15, 2017. Adoption of this ASU did not have a material impact on the Company’s condensed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2016-02, Leases (Topic 842)</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standard provides new guidance related to accounting for leases and supersedes U.S. GAAP on lease accounting with the intent to increase transparency. This standard requires operating leases to be recorded on the balance sheet as assets and liabilities and requires disclosure of key information about leasing arrangements. Leases will be classified as either finance or operating, with classification affecting the pattern of expense recognition in the statement of operations and comprehensive loss. The adoption will require a modified retrospective approach as of the beginning of the earliest period presented. The new standard is effective for the fiscal year beginning after December 15, 2018, with early adoption permitted. The Company is currently in the process of evaluating the impact of the adoption on its condensed consolidated financial statements, but the Company expects that it will result in a significant increase in its long-term assets and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2017-04, Intangibles-Goodwill and Other (Topic 350): Simplifying the Test for Goodwill Impairment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standard provides new guidance to eliminate the requirement to calculate the implied fair value of goodwill, or the Step 2 test, to measure a goodwill impairment charge. Instead, entities will record an impairment charge based on the excess of a reporting unit’s carrying amount over its fair value. The loss recognized should not exceed the total goodwill allocated to the reporting unit. The new standard is effective for the fiscal year beginning after December 15, 2019, with early adoption permitted. The Company early adopted this standard effective January 1, 2018. Adoption of this ASU did not have a material impact on the Company’s condensed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2017-11, Earnings Per Share (Topic 260); Distinguishing Liabilities from Equity (Topic 480); Derivatives and Hedging (Topic 815)</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standard provides new guidance to address the complexity of accounting for certain financial instruments with down round features. The amendments of this ASU change the classification analysis of certain equity-linked financial instruments (or embedded features) with down round features. A down round feature no longer precludes equity classification when assessing whether the instrument is indexed to an entity’s own stock. A freestanding equity-linked financial instrument (or embedded conversion feature) no longer would be accounted for as a derivative liability at fair value as a result of the existence of a down round feature. The new standard is effective for the fiscal year beginning after December 15, 2018 with early adoption permitted. The Company early adopted this standard effective January 1, 2018. Adoption of this ASU did not have a material impact on the Company’s condensed consolidated financial statements.</w:t>
      </w: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spacing w:after="0" w:line="258" w:lineRule="auto"/>
        <w:rPr>
          <w:sz w:val="20"/>
          <w:szCs w:val="20"/>
          <w:color w:val="auto"/>
        </w:rPr>
      </w:pPr>
      <w:r>
        <w:rPr>
          <w:rFonts w:ascii="Arial" w:cs="Arial" w:eastAsia="Arial" w:hAnsi="Arial"/>
          <w:sz w:val="18"/>
          <w:szCs w:val="18"/>
          <w:i w:val="1"/>
          <w:iCs w:val="1"/>
          <w:color w:val="auto"/>
        </w:rPr>
        <w:t>ASU No. 2018-02, Income Statement – Reporting Comprehensive Income (Topic 220): Reclassification of Certain Tax Effects from Accumulated Other Comprehensive Income</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standard provides guidance on the reclassification of certain tax effects from accumulated other comprehensive income to retained earnings in the period in which the effects of the change in the United States federal corporate income tax rate in the Tax Cuts and Jobs Act is recorded. The new standard is effective for the fiscal year beginning after December 15, 2018. The Company is currently in the process of evaluating the potential impact of the adoption of this standard on its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Reclassification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balances have been reclassified to conform to presentation requirements, including the presentation of discontinued operations and the consistent presentation of the allocation of cost of sales and general and administrative expenses between store locations and corporate in the condensed consolidated statements of operations and comprehensive loss.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Net Loss per Share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computation of basic and diluted net loss per share of common stock:</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2"/>
              </w:rPr>
              <w:t>Three months ended June 30,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2"/>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numerator:</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3"/>
              </w:rPr>
              <w:t>Net loss from continuing operations attributable to shares of common stock</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(3,013)</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(4,713)</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(26,341)</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(9,660)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Net loss from discontinued operations attributable to shares of common</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w:t>
            </w: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attributable to the Company</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(3,523</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(27,456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denominator:</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shares of common stock outstanding</w:t>
            </w:r>
          </w:p>
        </w:tc>
        <w:tc>
          <w:tcPr>
            <w:tcW w:w="160" w:type="dxa"/>
            <w:vAlign w:val="bottom"/>
          </w:tcPr>
          <w:p>
            <w:pPr>
              <w:spacing w:after="0"/>
              <w:rPr>
                <w:sz w:val="24"/>
                <w:szCs w:val="2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26,841,975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19,310,994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26,718,066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19,178,769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 loss per share of common stock from continuing operations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(0.11)</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(0.99)</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share of common stock from discontinued operations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net loss per share of common stock</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Diluted numerator:</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3"/>
              </w:rPr>
              <w:t>Net loss from continuing operations attributable to shares of common stock</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(3,013)</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(26,341)</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w w:val="98"/>
              </w:rPr>
              <w:t>Net loss from discontinued operations attributable to shares of common</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stock</w:t>
            </w:r>
          </w:p>
        </w:tc>
        <w:tc>
          <w:tcPr>
            <w:tcW w:w="16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(510)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(2,297)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(1,115)</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the Company</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(27,456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denominator:</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Diluted shares of common stock outstanding</w:t>
            </w: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26,841,975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19,310,994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26,718,066</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19,178,769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share of common stock from continuing operations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(0.11)</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Diluted loss per share of common stock from discontinued operations</w:t>
            </w:r>
          </w:p>
        </w:tc>
        <w:tc>
          <w:tcPr>
            <w:tcW w:w="1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net loss per share of common stock</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Net loss per share data presented excludes from the calculation of</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95"/>
              </w:rPr>
              <w:t>diluted net loss the following potentially dilutive securities, as they</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had an anti-dilutive impact:</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w w:val="91"/>
              </w:rPr>
              <w:t>Both vested and unvested options to purchase an equal number of shares of</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common stock of the Company</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3,102,500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5,135,399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3,102,500</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5,135,399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Unvested RSUs to issue an equal number of shares of common stock of the</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Company</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465,000</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400,942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465,000</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400,942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w w:val="95"/>
              </w:rPr>
              <w:t>Warrants to purchase an equal number of shares of common stock of the</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Company</w:t>
            </w:r>
          </w:p>
        </w:tc>
        <w:tc>
          <w:tcPr>
            <w:tcW w:w="16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14,073,390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3,430,877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14,073,390</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3,430,877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on an as converted basis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3,364,328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3,439,587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3,364,328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3,620,626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Convertible notes on an as converted basis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4,350,000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4,350,000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0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7"/>
              </w:rPr>
              <w:t>Total number of potentially dilutive instruments, excluded from the</w:t>
            </w:r>
          </w:p>
        </w:tc>
        <w:tc>
          <w:tcPr>
            <w:tcW w:w="1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calculation of net loss per share</w:t>
            </w:r>
          </w:p>
        </w:tc>
        <w:tc>
          <w:tcPr>
            <w:tcW w:w="1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25,355,218</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12,406,805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25,355,218</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12,587,844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4. Goodwill</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5, 2018, the Company changed its name to XpresSpa Group as part of a rebranding effort to carry out its corporate strategy to build a pure-play health and wellness services company, which the Company commenced following its acquisition of XpresSpa on December 23, 2016. The Company completed the sale of Group Mobile on March 22, 2018, which was the only remaining component of the Company’s technology operating segment. Following the sale of Group Mobile, the Company’s management made the decision that its intellectual property operating segment would no longer be an area of focus and would no longer be a separate operating segment as it is not expected to generate any material revenues. This completed the transition of the Company into a pure-play health and wellness company with only one operating segment, consisting of its XpresSpa business.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market capitalization is sensitive to the volatility of its stock price. On January 2, 2018, the first trading day of fiscal year 2018, the Company’s stock price opened at $1.36 and closed at $1.45. The closing price of the Company’s stock on March 29, 2018, the last trading day of the first quarter of fiscal 2018, was $0.72. The average closing stock price of the Company from January 2, 2018 through March 29, 2018 was approximately $1.02, ranging from $0.71 to $1.80 during that period.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19, 2018, the Company entered into a separation agreement with its Chief Executive Officer regarding his resignation as Chief Executive Officer and as a Director the Company. On that same date, the Company’s Senior Vice President and Chief Executive Officer of XpresSpa was appointed by the Board of Directors as the Chief Executive Officer and as a Director of the Company.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events were identified by the Company’s management as triggering events requiring that goodwill be tested for impairment as of March 31, 2018. In addition to the Company’s rebranding efforts to a pure-play health and wellness services company, its stock price continued to decline even after the announcement of the new Chief Executive Officer. As the stock price had not rebounded, the Company determined that the impairment related to the three-month period ended March 31, 2018.</w:t>
      </w:r>
    </w:p>
    <w:p>
      <w:pPr>
        <w:spacing w:after="0" w:line="187"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The Company performed a quantitative goodwill impairment test, in which the Company compared the carrying value of the reporting unit to its estimated fair value, which was calculated using an income approach. The key assumptions for this approach were projected future cash flows and a discount rate, which was based on a weighted average cost of capital adjusted for the relevant risk associated with the characteristics of the business and the projected future cash flows. As a result of the quantitative goodwill impairment test performed as of March 31, 2018, the Company determined that the fair value of the reporting unit did not exceed its carrying amount and, therefore, goodwill of the reporting unit was considered impaired.</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estimated fair value of goodwill, the Company recorded an impairment charge of $19,630, to reduce the carrying value of goodwill to its fair value, which was determined to be zero. This impairment charge is included in goodwill impairment in the condensed consolidated statements of operations and comprehensive loss for the six-month period ended June 30, 2018.</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measurement of goodwill was classified within Level 3 of the fair value hierarchy because the income approach was used, which utilizes significant inputs that are unobservable in the market. The Company believes it made reasonable estimates and assumptions to calculate the fair value of the reporting unit as of the impairment test measurement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assets in the condensed consolidated balance sheets are comprised of the following as of June 30, 2018 and December 31,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June 30, 2018</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2017</w:t>
            </w:r>
          </w:p>
        </w:tc>
      </w:tr>
      <w:tr>
        <w:trPr>
          <w:trHeight w:val="210"/>
        </w:trPr>
        <w:tc>
          <w:tcPr>
            <w:tcW w:w="8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method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Lease deposits</w:t>
            </w: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852</w:t>
            </w:r>
          </w:p>
        </w:tc>
      </w:tr>
      <w:tr>
        <w:trPr>
          <w:trHeight w:val="223"/>
        </w:trPr>
        <w:tc>
          <w:tcPr>
            <w:tcW w:w="8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the Company’s other assets included:</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$1,625 cost method investment in Route1 Inc. (“Route1”), which the Company received from the disposition of Group Mobile in March 2018;</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$787 cost method investment in InfoMedia Services Limited (“InfoMedia”), which the Company acquired in 2014;</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$343 cost method investment in Marathon Patent Group, Inc. (“Marathon”), which the Company acquired in January 2018 with an acquisition date fair value of $450. Based on the Company’s evaluation of the investment, it was determined that certain unrealized losses represented an other-than-temporary impairment as of June 30, 2018 and the Company recognized an impairment charge of $107 for the three and six months ended June 30, 2018, equal to the excess of cost basis over fair value;</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$47 cost method investment in FLI Charge, which the Company received from the disposition of FLI Charge in October 2017;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$856 deposits made pursuant to various lease agreements, which will be returned to the Company at the end of the leases.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6. Segment Information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 result of the Company’s transition to a pure-play health and wellness services company, it currently has one operating segment that is also its sole reporting unit, XpresSpa.</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currently operates in two geographical segments: the United States and all other countries. The following table represents the geographical revenue and segment operating loss for the three- and six-month periods ended June 30, 2018 and 2017 and total asset information as of June 30, 2018 and December 31, 2017. There were no concentrations of geographical revenue, segment operating loss or total assets related to any single foreign country that were material to the Company’s condensed consolidated financial statements.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2"/>
              </w:rPr>
              <w:t>Three months ended June 30,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7"/>
          </w:tcPr>
          <w:p>
            <w:pPr>
              <w:jc w:val="right"/>
              <w:ind w:right="440"/>
              <w:spacing w:after="0"/>
              <w:rPr>
                <w:sz w:val="20"/>
                <w:szCs w:val="20"/>
                <w:color w:val="auto"/>
              </w:rPr>
            </w:pPr>
            <w:r>
              <w:rPr>
                <w:rFonts w:ascii="Arial" w:cs="Arial" w:eastAsia="Arial" w:hAnsi="Arial"/>
                <w:sz w:val="18"/>
                <w:szCs w:val="18"/>
                <w:b w:val="1"/>
                <w:bCs w:val="1"/>
                <w:color w:val="auto"/>
                <w:w w:val="92"/>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11,738</w:t>
            </w:r>
          </w:p>
        </w:tc>
        <w:tc>
          <w:tcPr>
            <w:tcW w:w="160" w:type="dxa"/>
            <w:vAlign w:val="bottom"/>
          </w:tcPr>
          <w:p>
            <w:pPr>
              <w:spacing w:after="0"/>
              <w:rPr>
                <w:sz w:val="18"/>
                <w:szCs w:val="18"/>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11,665</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22,997</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21,633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 other countries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2,641</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revenue</w:t>
            </w: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13,038</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12,927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25,638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24,011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9,694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18,468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All other countries</w:t>
            </w:r>
          </w:p>
        </w:tc>
        <w:tc>
          <w:tcPr>
            <w:tcW w:w="16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881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1,668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cost of sales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operating income (loss)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(3,099)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(4,893)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(26,375)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(9,652)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 other countries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Operating loss from continuing operations</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(26,124)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(8,956)</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non-operating expense, net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(2,884</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(4,613</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(26,213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June 30, 2018</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2017</w:t>
            </w: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33,355</w:t>
            </w: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55,152</w:t>
            </w: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 other countries</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3,642</w:t>
            </w:r>
          </w:p>
        </w:tc>
      </w:tr>
      <w:tr>
        <w:trPr>
          <w:trHeight w:val="230"/>
        </w:trPr>
        <w:tc>
          <w:tcPr>
            <w:tcW w:w="5140" w:type="dxa"/>
            <w:vAlign w:val="bottom"/>
          </w:tcPr>
          <w:p>
            <w:pPr>
              <w:ind w:left="180"/>
              <w:spacing w:after="0"/>
              <w:rPr>
                <w:sz w:val="20"/>
                <w:szCs w:val="20"/>
                <w:color w:val="auto"/>
              </w:rPr>
            </w:pPr>
            <w:r>
              <w:rPr>
                <w:rFonts w:ascii="Arial" w:cs="Arial" w:eastAsia="Arial" w:hAnsi="Arial"/>
                <w:sz w:val="18"/>
                <w:szCs w:val="18"/>
                <w:color w:val="auto"/>
              </w:rPr>
              <w:t>Assets held for disposal</w:t>
            </w:r>
          </w:p>
        </w:tc>
        <w:tc>
          <w:tcPr>
            <w:tcW w:w="3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6,446</w:t>
            </w:r>
          </w:p>
        </w:tc>
      </w:tr>
      <w:tr>
        <w:trPr>
          <w:trHeight w:val="223"/>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Warrant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placement in the fair value hierarchy of derivative warrant liabilities measured at fair value on a recurring basis as of June 30, 2018, May 17, 2018 and December 31,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May 2015 Warrants</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9"/>
          </w:tcPr>
          <w:p>
            <w:pPr>
              <w:ind w:left="460"/>
              <w:spacing w:after="0"/>
              <w:rPr>
                <w:sz w:val="20"/>
                <w:szCs w:val="20"/>
                <w:color w:val="auto"/>
              </w:rPr>
            </w:pPr>
            <w:r>
              <w:rPr>
                <w:rFonts w:ascii="Arial" w:cs="Arial" w:eastAsia="Arial" w:hAnsi="Arial"/>
                <w:sz w:val="18"/>
                <w:szCs w:val="18"/>
                <w:b w:val="1"/>
                <w:bCs w:val="1"/>
                <w:color w:val="auto"/>
                <w:w w:val="92"/>
              </w:rPr>
              <w:t>Fair value measurement at reporting date using</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Quoted prices in</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active markets</w:t>
            </w: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w w:val="95"/>
              </w:rPr>
              <w:t>Significant 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for identical</w:t>
            </w: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observable</w:t>
            </w:r>
          </w:p>
        </w:tc>
        <w:tc>
          <w:tcPr>
            <w:tcW w:w="100" w:type="dxa"/>
            <w:vAlign w:val="bottom"/>
          </w:tcPr>
          <w:p>
            <w:pPr>
              <w:spacing w:after="0"/>
              <w:rPr>
                <w:sz w:val="18"/>
                <w:szCs w:val="18"/>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unobservable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Balance</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assets (Level 1)</w:t>
            </w: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inputs (Level 2)</w:t>
            </w:r>
          </w:p>
        </w:tc>
        <w:tc>
          <w:tcPr>
            <w:tcW w:w="100" w:type="dxa"/>
            <w:vAlign w:val="bottom"/>
          </w:tcPr>
          <w:p>
            <w:pPr>
              <w:spacing w:after="0"/>
              <w:rPr>
                <w:sz w:val="20"/>
                <w:szCs w:val="20"/>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inputs (Level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2018:</w:t>
            </w:r>
          </w:p>
        </w:tc>
        <w:tc>
          <w:tcPr>
            <w:tcW w:w="1000" w:type="dxa"/>
            <w:vAlign w:val="bottom"/>
            <w:tcBorders>
              <w:top w:val="single" w:sz="8" w:color="auto"/>
            </w:tcBorders>
            <w:shd w:val="clear" w:color="auto" w:fill="CCEEFF"/>
          </w:tcPr>
          <w:p>
            <w:pPr>
              <w:jc w:val="right"/>
              <w:ind w:right="840"/>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000" w:type="dxa"/>
            <w:vAlign w:val="bottom"/>
            <w:shd w:val="clear" w:color="auto" w:fill="CCEEFF"/>
          </w:tcPr>
          <w:p>
            <w:pPr>
              <w:jc w:val="right"/>
              <w:ind w:right="840"/>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May 2018 Warrants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60" w:type="dxa"/>
            <w:vAlign w:val="bottom"/>
            <w:gridSpan w:val="9"/>
          </w:tcPr>
          <w:p>
            <w:pPr>
              <w:jc w:val="center"/>
              <w:ind w:right="280"/>
              <w:spacing w:after="0"/>
              <w:rPr>
                <w:sz w:val="20"/>
                <w:szCs w:val="20"/>
                <w:color w:val="auto"/>
              </w:rPr>
            </w:pPr>
            <w:r>
              <w:rPr>
                <w:rFonts w:ascii="Arial" w:cs="Arial" w:eastAsia="Arial" w:hAnsi="Arial"/>
                <w:sz w:val="18"/>
                <w:szCs w:val="18"/>
                <w:b w:val="1"/>
                <w:bCs w:val="1"/>
                <w:color w:val="auto"/>
                <w:w w:val="90"/>
              </w:rPr>
              <w:t>Fair value measurement at reporting date using</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88"/>
              </w:rPr>
              <w:t>Quoted prices in</w:t>
            </w: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active markets</w:t>
            </w: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w w:val="98"/>
              </w:rPr>
              <w:t>Significant other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for identical</w:t>
            </w:r>
          </w:p>
        </w:tc>
        <w:tc>
          <w:tcPr>
            <w:tcW w:w="18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observable</w:t>
            </w:r>
          </w:p>
        </w:tc>
        <w:tc>
          <w:tcPr>
            <w:tcW w:w="100" w:type="dxa"/>
            <w:vAlign w:val="bottom"/>
          </w:tcPr>
          <w:p>
            <w:pPr>
              <w:spacing w:after="0"/>
              <w:rPr>
                <w:sz w:val="19"/>
                <w:szCs w:val="19"/>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unobservable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8"/>
              </w:rPr>
              <w:t>Balance</w:t>
            </w:r>
          </w:p>
        </w:tc>
        <w:tc>
          <w:tcPr>
            <w:tcW w:w="15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assets (Level 1)</w:t>
            </w:r>
          </w:p>
        </w:tc>
        <w:tc>
          <w:tcPr>
            <w:tcW w:w="14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inputs (Level 2)</w:t>
            </w:r>
          </w:p>
        </w:tc>
        <w:tc>
          <w:tcPr>
            <w:tcW w:w="100" w:type="dxa"/>
            <w:vAlign w:val="bottom"/>
          </w:tcPr>
          <w:p>
            <w:pPr>
              <w:spacing w:after="0"/>
              <w:rPr>
                <w:sz w:val="20"/>
                <w:szCs w:val="20"/>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inputs (Level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30,2018:</w:t>
            </w: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A Warrants</w:t>
            </w:r>
          </w:p>
        </w:tc>
        <w:tc>
          <w:tcPr>
            <w:tcW w:w="24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1,091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 Warrants</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81"/>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May 17, 2018:</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 Warrants</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B Warrants</w:t>
            </w:r>
          </w:p>
        </w:tc>
        <w:tc>
          <w:tcPr>
            <w:tcW w:w="2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9"/>
                <w:szCs w:val="19"/>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measures its derivative warrant liabilities at fair value. The derivative warrant liabilities were classified within Level 3 because they were valued using the Black-Scholes-Merton model, which utilizes significant inputs that are unobservable in the market. These derivative warrant liabilities were initially measured at fair value and are marked to market at each balance sheet date. The derivative warrant liabilities are included in other liabilities in the condensed consolidated balance sheets and the revaluation of the derivative warrants liabilities is included in other non-operating income (expense) in the condensed consolidated statements of operations and comprehensive loss.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above, the Company’s financial instruments as of June 30, 2018 and December 31, 2017, consisted of cash and cash equivalents, trade and loan receivables, inventory, accounts payable and other current liabilities. The carrying amounts of all the aforementioned financial instruments approximate fair value because of the short-term maturities of these instruments.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changes in the Company’s derivative warrant liabilities measured at fair value using significant unobservable inputs (Level 3) during the three and six-month periods ended June 30,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48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Issuance of warrants May 17, 2018</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1,962</w:t>
            </w:r>
          </w:p>
        </w:tc>
        <w:tc>
          <w:tcPr>
            <w:tcW w:w="80" w:type="dxa"/>
            <w:vAlign w:val="bottom"/>
          </w:tcPr>
          <w:p>
            <w:pPr>
              <w:spacing w:after="0"/>
              <w:rPr>
                <w:sz w:val="18"/>
                <w:szCs w:val="18"/>
                <w:color w:val="auto"/>
              </w:rPr>
            </w:pPr>
          </w:p>
        </w:tc>
      </w:tr>
      <w:tr>
        <w:trPr>
          <w:trHeight w:val="230"/>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Decrease in fair value of the derivative warrant liabilities</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(898)</w:t>
            </w:r>
          </w:p>
        </w:tc>
      </w:tr>
      <w:tr>
        <w:trPr>
          <w:trHeight w:val="223"/>
        </w:trPr>
        <w:tc>
          <w:tcPr>
            <w:tcW w:w="10060" w:type="dxa"/>
            <w:vAlign w:val="bottom"/>
          </w:tcPr>
          <w:p>
            <w:pPr>
              <w:spacing w:after="0"/>
              <w:rPr>
                <w:sz w:val="20"/>
                <w:szCs w:val="20"/>
                <w:color w:val="auto"/>
              </w:rPr>
            </w:pPr>
            <w:r>
              <w:rPr>
                <w:rFonts w:ascii="Arial" w:cs="Arial" w:eastAsia="Arial" w:hAnsi="Arial"/>
                <w:sz w:val="18"/>
                <w:szCs w:val="18"/>
                <w:color w:val="auto"/>
              </w:rPr>
              <w:t>June 30, 2018</w:t>
            </w: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processes for Level 3 Fair Value Measurements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Fair value measurement of the derivative warrant liabilities falls within Level 3 of the fair value hierarchy. The fair value measurements are evaluated by management to ensure that changes are consistent with expectations of management based upon the sensitivity and nature of the inputs.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May 2015 Warrants</w:t>
            </w: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2980" w:type="dxa"/>
            <w:vAlign w:val="bottom"/>
            <w:gridSpan w:val="2"/>
          </w:tcPr>
          <w:p>
            <w:pPr>
              <w:spacing w:after="0"/>
              <w:rPr>
                <w:sz w:val="20"/>
                <w:szCs w:val="20"/>
                <w:color w:val="auto"/>
              </w:rPr>
            </w:pPr>
            <w:r>
              <w:rPr>
                <w:rFonts w:ascii="Arial" w:cs="Arial" w:eastAsia="Arial" w:hAnsi="Arial"/>
                <w:sz w:val="18"/>
                <w:szCs w:val="18"/>
                <w:color w:val="auto"/>
              </w:rPr>
              <w:t>June 30, 2018:</w:t>
            </w: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6"/>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Borders>
              <w:bottom w:val="single" w:sz="8" w:color="CCEEFF"/>
            </w:tcBorders>
          </w:tcPr>
          <w:p>
            <w:pPr>
              <w:spacing w:after="0"/>
              <w:rPr>
                <w:sz w:val="24"/>
                <w:szCs w:val="24"/>
                <w:color w:val="auto"/>
              </w:rPr>
            </w:pPr>
          </w:p>
        </w:tc>
        <w:tc>
          <w:tcPr>
            <w:tcW w:w="272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Valuation technique</w:t>
            </w:r>
          </w:p>
        </w:tc>
        <w:tc>
          <w:tcPr>
            <w:tcW w:w="120" w:type="dxa"/>
            <w:vAlign w:val="bottom"/>
            <w:tcBorders>
              <w:bottom w:val="single" w:sz="8" w:color="CCEEFF"/>
            </w:tcBorders>
          </w:tcPr>
          <w:p>
            <w:pPr>
              <w:spacing w:after="0"/>
              <w:rPr>
                <w:sz w:val="24"/>
                <w:szCs w:val="24"/>
                <w:color w:val="auto"/>
              </w:rPr>
            </w:pPr>
          </w:p>
        </w:tc>
        <w:tc>
          <w:tcPr>
            <w:tcW w:w="272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Unobservable inputs</w:t>
            </w:r>
          </w:p>
        </w:tc>
        <w:tc>
          <w:tcPr>
            <w:tcW w:w="120" w:type="dxa"/>
            <w:vAlign w:val="bottom"/>
            <w:tcBorders>
              <w:bottom w:val="single" w:sz="8" w:color="CCEEFF"/>
            </w:tcBorders>
          </w:tcPr>
          <w:p>
            <w:pPr>
              <w:spacing w:after="0"/>
              <w:rPr>
                <w:sz w:val="24"/>
                <w:szCs w:val="24"/>
                <w:color w:val="auto"/>
              </w:rPr>
            </w:pPr>
          </w:p>
        </w:tc>
        <w:tc>
          <w:tcPr>
            <w:tcW w:w="260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Range</w:t>
            </w:r>
          </w:p>
        </w:tc>
        <w:tc>
          <w:tcPr>
            <w:tcW w:w="160" w:type="dxa"/>
            <w:vAlign w:val="bottom"/>
            <w:tcBorders>
              <w:bottom w:val="single" w:sz="8" w:color="CCEEFF"/>
            </w:tcBorders>
          </w:tcPr>
          <w:p>
            <w:pPr>
              <w:spacing w:after="0"/>
              <w:rPr>
                <w:sz w:val="24"/>
                <w:szCs w:val="24"/>
                <w:color w:val="auto"/>
              </w:rPr>
            </w:pPr>
          </w:p>
        </w:tc>
      </w:tr>
      <w:tr>
        <w:trPr>
          <w:trHeight w:val="21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Derivative warrant liabilities</w:t>
            </w:r>
          </w:p>
        </w:tc>
        <w:tc>
          <w:tcPr>
            <w:tcW w:w="1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Black-Scholes-Merton</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68.14%</w:t>
            </w:r>
          </w:p>
        </w:tc>
      </w:t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Risk free interest rate</w:t>
            </w:r>
          </w:p>
        </w:tc>
        <w:tc>
          <w:tcPr>
            <w:tcW w:w="2760" w:type="dxa"/>
            <w:vAlign w:val="bottom"/>
            <w:gridSpan w:val="2"/>
          </w:tcPr>
          <w:p>
            <w:pPr>
              <w:jc w:val="right"/>
              <w:ind w:right="20"/>
              <w:spacing w:after="0"/>
              <w:rPr>
                <w:sz w:val="20"/>
                <w:szCs w:val="20"/>
                <w:color w:val="auto"/>
              </w:rPr>
            </w:pPr>
            <w:r>
              <w:rPr>
                <w:rFonts w:ascii="Arial" w:cs="Arial" w:eastAsia="Arial" w:hAnsi="Arial"/>
                <w:sz w:val="18"/>
                <w:szCs w:val="18"/>
                <w:color w:val="auto"/>
              </w:rPr>
              <w:t>2.46%</w:t>
            </w:r>
          </w:p>
        </w:tc>
      </w:tr>
      <w:tr>
        <w:trPr>
          <w:trHeight w:val="216"/>
        </w:trPr>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Expected term, in years</w:t>
            </w: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w:t>
            </w:r>
          </w:p>
        </w:tc>
      </w:tr>
      <w:tr>
        <w:trPr>
          <w:trHeight w:val="230"/>
        </w:trPr>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Dividend yield</w:t>
            </w:r>
          </w:p>
        </w:tc>
        <w:tc>
          <w:tcPr>
            <w:tcW w:w="27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418"/>
        </w:trPr>
        <w:tc>
          <w:tcPr>
            <w:tcW w:w="2980" w:type="dxa"/>
            <w:vAlign w:val="bottom"/>
            <w:gridSpan w:val="2"/>
          </w:tcPr>
          <w:p>
            <w:pPr>
              <w:spacing w:after="0"/>
              <w:rPr>
                <w:sz w:val="20"/>
                <w:szCs w:val="20"/>
                <w:color w:val="auto"/>
              </w:rPr>
            </w:pPr>
            <w:r>
              <w:rPr>
                <w:rFonts w:ascii="Arial" w:cs="Arial" w:eastAsia="Arial" w:hAnsi="Arial"/>
                <w:sz w:val="18"/>
                <w:szCs w:val="18"/>
                <w:color w:val="auto"/>
              </w:rPr>
              <w:t>December 31, 2017:</w:t>
            </w: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Borders>
              <w:bottom w:val="single" w:sz="8" w:color="CCEEFF"/>
            </w:tcBorders>
          </w:tcPr>
          <w:p>
            <w:pPr>
              <w:spacing w:after="0"/>
              <w:rPr>
                <w:sz w:val="20"/>
                <w:szCs w:val="20"/>
                <w:color w:val="auto"/>
              </w:rPr>
            </w:pPr>
          </w:p>
        </w:tc>
        <w:tc>
          <w:tcPr>
            <w:tcW w:w="272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Valuation technique</w:t>
            </w:r>
          </w:p>
        </w:tc>
        <w:tc>
          <w:tcPr>
            <w:tcW w:w="120" w:type="dxa"/>
            <w:vAlign w:val="bottom"/>
            <w:tcBorders>
              <w:bottom w:val="single" w:sz="8" w:color="CCEEFF"/>
            </w:tcBorders>
          </w:tcPr>
          <w:p>
            <w:pPr>
              <w:spacing w:after="0"/>
              <w:rPr>
                <w:sz w:val="20"/>
                <w:szCs w:val="20"/>
                <w:color w:val="auto"/>
              </w:rPr>
            </w:pPr>
          </w:p>
        </w:tc>
        <w:tc>
          <w:tcPr>
            <w:tcW w:w="272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Unobservable inputs</w:t>
            </w:r>
          </w:p>
        </w:tc>
        <w:tc>
          <w:tcPr>
            <w:tcW w:w="120" w:type="dxa"/>
            <w:vAlign w:val="bottom"/>
            <w:tcBorders>
              <w:bottom w:val="single" w:sz="8" w:color="CCEEFF"/>
            </w:tcBorders>
          </w:tcPr>
          <w:p>
            <w:pPr>
              <w:spacing w:after="0"/>
              <w:rPr>
                <w:sz w:val="20"/>
                <w:szCs w:val="20"/>
                <w:color w:val="auto"/>
              </w:rPr>
            </w:pPr>
          </w:p>
        </w:tc>
        <w:tc>
          <w:tcPr>
            <w:tcW w:w="260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Range</w:t>
            </w:r>
          </w:p>
        </w:tc>
        <w:tc>
          <w:tcPr>
            <w:tcW w:w="160" w:type="dxa"/>
            <w:vAlign w:val="bottom"/>
            <w:tcBorders>
              <w:bottom w:val="single" w:sz="8" w:color="CCEEFF"/>
            </w:tcBorders>
          </w:tcPr>
          <w:p>
            <w:pPr>
              <w:spacing w:after="0"/>
              <w:rPr>
                <w:sz w:val="20"/>
                <w:szCs w:val="20"/>
                <w:color w:val="auto"/>
              </w:rPr>
            </w:pPr>
          </w:p>
        </w:tc>
      </w:tr>
      <w:tr>
        <w:trPr>
          <w:trHeight w:val="21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Derivative warrant liabilities</w:t>
            </w:r>
          </w:p>
        </w:tc>
        <w:tc>
          <w:tcPr>
            <w:tcW w:w="1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Black-Scholes-Merton</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39.64%</w:t>
            </w:r>
          </w:p>
        </w:tc>
      </w:t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Risk-free interest rate</w:t>
            </w:r>
          </w:p>
        </w:tc>
        <w:tc>
          <w:tcPr>
            <w:tcW w:w="276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r>
      <w:tr>
        <w:trPr>
          <w:trHeight w:val="216"/>
        </w:trPr>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Expected term, in years</w:t>
            </w: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w:t>
            </w:r>
          </w:p>
        </w:tc>
      </w:tr>
      <w:tr>
        <w:trPr>
          <w:trHeight w:val="230"/>
        </w:trPr>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Dividend yield</w:t>
            </w:r>
          </w:p>
        </w:tc>
        <w:tc>
          <w:tcPr>
            <w:tcW w:w="27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May 2018 Warrants</w:t>
            </w: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2980" w:type="dxa"/>
            <w:vAlign w:val="bottom"/>
            <w:gridSpan w:val="2"/>
          </w:tcPr>
          <w:p>
            <w:pPr>
              <w:spacing w:after="0"/>
              <w:rPr>
                <w:sz w:val="20"/>
                <w:szCs w:val="20"/>
                <w:color w:val="auto"/>
              </w:rPr>
            </w:pPr>
            <w:r>
              <w:rPr>
                <w:rFonts w:ascii="Arial" w:cs="Arial" w:eastAsia="Arial" w:hAnsi="Arial"/>
                <w:sz w:val="18"/>
                <w:szCs w:val="18"/>
                <w:color w:val="auto"/>
              </w:rPr>
              <w:t>June 30, 2018:</w:t>
            </w: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6"/>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2720" w:type="dxa"/>
            <w:vAlign w:val="bottom"/>
          </w:tcPr>
          <w:p>
            <w:pPr>
              <w:ind w:left="600"/>
              <w:spacing w:after="0"/>
              <w:rPr>
                <w:sz w:val="20"/>
                <w:szCs w:val="20"/>
                <w:color w:val="auto"/>
              </w:rPr>
            </w:pPr>
            <w:r>
              <w:rPr>
                <w:rFonts w:ascii="Arial" w:cs="Arial" w:eastAsia="Arial" w:hAnsi="Arial"/>
                <w:sz w:val="18"/>
                <w:szCs w:val="18"/>
                <w:b w:val="1"/>
                <w:bCs w:val="1"/>
                <w:color w:val="auto"/>
              </w:rPr>
              <w:t>Valuation technique</w:t>
            </w:r>
          </w:p>
        </w:tc>
        <w:tc>
          <w:tcPr>
            <w:tcW w:w="120" w:type="dxa"/>
            <w:vAlign w:val="bottom"/>
          </w:tcPr>
          <w:p>
            <w:pPr>
              <w:spacing w:after="0"/>
              <w:rPr>
                <w:sz w:val="24"/>
                <w:szCs w:val="24"/>
                <w:color w:val="auto"/>
              </w:rPr>
            </w:pPr>
          </w:p>
        </w:tc>
        <w:tc>
          <w:tcPr>
            <w:tcW w:w="2840" w:type="dxa"/>
            <w:vAlign w:val="bottom"/>
            <w:gridSpan w:val="2"/>
          </w:tcPr>
          <w:p>
            <w:pPr>
              <w:ind w:left="560"/>
              <w:spacing w:after="0"/>
              <w:rPr>
                <w:sz w:val="20"/>
                <w:szCs w:val="20"/>
                <w:color w:val="auto"/>
              </w:rPr>
            </w:pPr>
            <w:r>
              <w:rPr>
                <w:rFonts w:ascii="Arial" w:cs="Arial" w:eastAsia="Arial" w:hAnsi="Arial"/>
                <w:sz w:val="18"/>
                <w:szCs w:val="18"/>
                <w:b w:val="1"/>
                <w:bCs w:val="1"/>
                <w:color w:val="auto"/>
              </w:rPr>
              <w:t>Unobservable inputs</w:t>
            </w:r>
          </w:p>
        </w:tc>
        <w:tc>
          <w:tcPr>
            <w:tcW w:w="2760" w:type="dxa"/>
            <w:vAlign w:val="bottom"/>
            <w:gridSpan w:val="2"/>
          </w:tcPr>
          <w:p>
            <w:pPr>
              <w:jc w:val="right"/>
              <w:ind w:right="1220"/>
              <w:spacing w:after="0"/>
              <w:rPr>
                <w:sz w:val="20"/>
                <w:szCs w:val="20"/>
                <w:color w:val="auto"/>
              </w:rPr>
            </w:pPr>
            <w:r>
              <w:rPr>
                <w:rFonts w:ascii="Arial" w:cs="Arial" w:eastAsia="Arial" w:hAnsi="Arial"/>
                <w:sz w:val="18"/>
                <w:szCs w:val="18"/>
                <w:b w:val="1"/>
                <w:bCs w:val="1"/>
                <w:color w:val="auto"/>
              </w:rPr>
              <w:t>Range</w:t>
            </w:r>
          </w:p>
        </w:tc>
      </w:tr>
      <w:tr>
        <w:trPr>
          <w:trHeight w:val="195"/>
        </w:trPr>
        <w:tc>
          <w:tcPr>
            <w:tcW w:w="28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Derivative warrant liabilities –</w:t>
            </w:r>
          </w:p>
        </w:tc>
        <w:tc>
          <w:tcPr>
            <w:tcW w:w="100" w:type="dxa"/>
            <w:vAlign w:val="bottom"/>
            <w:tcBorders>
              <w:top w:val="single" w:sz="8" w:color="CCEEFF"/>
            </w:tcBorders>
            <w:shd w:val="clear" w:color="auto" w:fill="CCEEFF"/>
          </w:tcPr>
          <w:p>
            <w:pPr>
              <w:spacing w:after="0"/>
              <w:rPr>
                <w:sz w:val="16"/>
                <w:szCs w:val="16"/>
                <w:color w:val="auto"/>
              </w:rPr>
            </w:pPr>
          </w:p>
        </w:tc>
        <w:tc>
          <w:tcPr>
            <w:tcW w:w="2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30"/>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Warrants</w:t>
            </w: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Black-Scholes-Merton</w:t>
            </w:r>
          </w:p>
        </w:tc>
        <w:tc>
          <w:tcPr>
            <w:tcW w:w="2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Volatility</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72.23%</w:t>
            </w:r>
          </w:p>
        </w:tc>
      </w:t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Risk free interest rate</w:t>
            </w:r>
          </w:p>
        </w:tc>
        <w:tc>
          <w:tcPr>
            <w:tcW w:w="2760" w:type="dxa"/>
            <w:vAlign w:val="bottom"/>
            <w:gridSpan w:val="2"/>
          </w:tcPr>
          <w:p>
            <w:pPr>
              <w:jc w:val="right"/>
              <w:ind w:right="20"/>
              <w:spacing w:after="0"/>
              <w:rPr>
                <w:sz w:val="20"/>
                <w:szCs w:val="20"/>
                <w:color w:val="auto"/>
              </w:rPr>
            </w:pPr>
            <w:r>
              <w:rPr>
                <w:rFonts w:ascii="Arial" w:cs="Arial" w:eastAsia="Arial" w:hAnsi="Arial"/>
                <w:sz w:val="18"/>
                <w:szCs w:val="18"/>
                <w:color w:val="auto"/>
              </w:rPr>
              <w:t>2.77%</w:t>
            </w:r>
          </w:p>
        </w:tc>
      </w:tr>
      <w:tr>
        <w:trPr>
          <w:trHeight w:val="216"/>
        </w:trPr>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Expected term, in years</w:t>
            </w: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4.88</w:t>
            </w:r>
          </w:p>
        </w:tc>
      </w:tr>
      <w:tr>
        <w:trPr>
          <w:trHeight w:val="230"/>
        </w:trPr>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Dividend yield</w:t>
            </w:r>
          </w:p>
        </w:tc>
        <w:tc>
          <w:tcPr>
            <w:tcW w:w="27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2720" w:type="dxa"/>
            <w:vAlign w:val="bottom"/>
          </w:tcPr>
          <w:p>
            <w:pPr>
              <w:ind w:left="600"/>
              <w:spacing w:after="0"/>
              <w:rPr>
                <w:sz w:val="20"/>
                <w:szCs w:val="20"/>
                <w:color w:val="auto"/>
              </w:rPr>
            </w:pPr>
            <w:r>
              <w:rPr>
                <w:rFonts w:ascii="Arial" w:cs="Arial" w:eastAsia="Arial" w:hAnsi="Arial"/>
                <w:sz w:val="18"/>
                <w:szCs w:val="18"/>
                <w:b w:val="1"/>
                <w:bCs w:val="1"/>
                <w:color w:val="auto"/>
              </w:rPr>
              <w:t>Valuation technique</w:t>
            </w:r>
          </w:p>
        </w:tc>
        <w:tc>
          <w:tcPr>
            <w:tcW w:w="120" w:type="dxa"/>
            <w:vAlign w:val="bottom"/>
          </w:tcPr>
          <w:p>
            <w:pPr>
              <w:spacing w:after="0"/>
              <w:rPr>
                <w:sz w:val="20"/>
                <w:szCs w:val="20"/>
                <w:color w:val="auto"/>
              </w:rPr>
            </w:pPr>
          </w:p>
        </w:tc>
        <w:tc>
          <w:tcPr>
            <w:tcW w:w="2840" w:type="dxa"/>
            <w:vAlign w:val="bottom"/>
            <w:gridSpan w:val="2"/>
          </w:tcPr>
          <w:p>
            <w:pPr>
              <w:ind w:left="560"/>
              <w:spacing w:after="0"/>
              <w:rPr>
                <w:sz w:val="20"/>
                <w:szCs w:val="20"/>
                <w:color w:val="auto"/>
              </w:rPr>
            </w:pPr>
            <w:r>
              <w:rPr>
                <w:rFonts w:ascii="Arial" w:cs="Arial" w:eastAsia="Arial" w:hAnsi="Arial"/>
                <w:sz w:val="18"/>
                <w:szCs w:val="18"/>
                <w:b w:val="1"/>
                <w:bCs w:val="1"/>
                <w:color w:val="auto"/>
              </w:rPr>
              <w:t>Unobservable inputs</w:t>
            </w:r>
          </w:p>
        </w:tc>
        <w:tc>
          <w:tcPr>
            <w:tcW w:w="2760" w:type="dxa"/>
            <w:vAlign w:val="bottom"/>
            <w:gridSpan w:val="2"/>
          </w:tcPr>
          <w:p>
            <w:pPr>
              <w:jc w:val="right"/>
              <w:ind w:right="1220"/>
              <w:spacing w:after="0"/>
              <w:rPr>
                <w:sz w:val="20"/>
                <w:szCs w:val="20"/>
                <w:color w:val="auto"/>
              </w:rPr>
            </w:pPr>
            <w:r>
              <w:rPr>
                <w:rFonts w:ascii="Arial" w:cs="Arial" w:eastAsia="Arial" w:hAnsi="Arial"/>
                <w:sz w:val="18"/>
                <w:szCs w:val="18"/>
                <w:b w:val="1"/>
                <w:bCs w:val="1"/>
                <w:color w:val="auto"/>
              </w:rPr>
              <w:t>Range</w:t>
            </w:r>
          </w:p>
        </w:tc>
      </w:tr>
      <w:tr>
        <w:trPr>
          <w:trHeight w:val="195"/>
        </w:trPr>
        <w:tc>
          <w:tcPr>
            <w:tcW w:w="28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Derivative warrant liabilities –</w:t>
            </w:r>
          </w:p>
        </w:tc>
        <w:tc>
          <w:tcPr>
            <w:tcW w:w="100" w:type="dxa"/>
            <w:vAlign w:val="bottom"/>
            <w:tcBorders>
              <w:top w:val="single" w:sz="8" w:color="CCEEFF"/>
            </w:tcBorders>
            <w:shd w:val="clear" w:color="auto" w:fill="CCEEFF"/>
          </w:tcPr>
          <w:p>
            <w:pPr>
              <w:spacing w:after="0"/>
              <w:rPr>
                <w:sz w:val="16"/>
                <w:szCs w:val="16"/>
                <w:color w:val="auto"/>
              </w:rPr>
            </w:pPr>
          </w:p>
        </w:tc>
        <w:tc>
          <w:tcPr>
            <w:tcW w:w="2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30"/>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 Warrants</w:t>
            </w: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Black-Scholes-Merton</w:t>
            </w:r>
          </w:p>
        </w:tc>
        <w:tc>
          <w:tcPr>
            <w:tcW w:w="2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Volatility</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72.14%</w:t>
            </w:r>
          </w:p>
        </w:tc>
      </w:t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Risk free interest rate</w:t>
            </w:r>
          </w:p>
        </w:tc>
        <w:tc>
          <w:tcPr>
            <w:tcW w:w="2760" w:type="dxa"/>
            <w:vAlign w:val="bottom"/>
            <w:gridSpan w:val="2"/>
          </w:tcPr>
          <w:p>
            <w:pPr>
              <w:jc w:val="right"/>
              <w:ind w:right="20"/>
              <w:spacing w:after="0"/>
              <w:rPr>
                <w:sz w:val="20"/>
                <w:szCs w:val="20"/>
                <w:color w:val="auto"/>
              </w:rPr>
            </w:pPr>
            <w:r>
              <w:rPr>
                <w:rFonts w:ascii="Arial" w:cs="Arial" w:eastAsia="Arial" w:hAnsi="Arial"/>
                <w:sz w:val="18"/>
                <w:szCs w:val="18"/>
                <w:color w:val="auto"/>
              </w:rPr>
              <w:t>1.81%</w:t>
            </w:r>
          </w:p>
        </w:tc>
      </w:tr>
      <w:tr>
        <w:trPr>
          <w:trHeight w:val="216"/>
        </w:trPr>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Expected term, in years</w:t>
            </w: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0.38</w:t>
            </w:r>
          </w:p>
        </w:tc>
      </w:tr>
      <w:tr>
        <w:trPr>
          <w:trHeight w:val="230"/>
        </w:trPr>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Dividend yield</w:t>
            </w:r>
          </w:p>
        </w:tc>
        <w:tc>
          <w:tcPr>
            <w:tcW w:w="27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418"/>
        </w:trPr>
        <w:tc>
          <w:tcPr>
            <w:tcW w:w="2980" w:type="dxa"/>
            <w:vAlign w:val="bottom"/>
            <w:gridSpan w:val="2"/>
          </w:tcPr>
          <w:p>
            <w:pPr>
              <w:spacing w:after="0"/>
              <w:rPr>
                <w:sz w:val="20"/>
                <w:szCs w:val="20"/>
                <w:color w:val="auto"/>
              </w:rPr>
            </w:pPr>
            <w:r>
              <w:rPr>
                <w:rFonts w:ascii="Arial" w:cs="Arial" w:eastAsia="Arial" w:hAnsi="Arial"/>
                <w:sz w:val="18"/>
                <w:szCs w:val="18"/>
                <w:color w:val="auto"/>
              </w:rPr>
              <w:t>May 17, 2018:</w:t>
            </w: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2720" w:type="dxa"/>
            <w:vAlign w:val="bottom"/>
          </w:tcPr>
          <w:p>
            <w:pPr>
              <w:ind w:left="600"/>
              <w:spacing w:after="0"/>
              <w:rPr>
                <w:sz w:val="20"/>
                <w:szCs w:val="20"/>
                <w:color w:val="auto"/>
              </w:rPr>
            </w:pPr>
            <w:r>
              <w:rPr>
                <w:rFonts w:ascii="Arial" w:cs="Arial" w:eastAsia="Arial" w:hAnsi="Arial"/>
                <w:sz w:val="18"/>
                <w:szCs w:val="18"/>
                <w:b w:val="1"/>
                <w:bCs w:val="1"/>
                <w:color w:val="auto"/>
              </w:rPr>
              <w:t>Valuation technique</w:t>
            </w:r>
          </w:p>
        </w:tc>
        <w:tc>
          <w:tcPr>
            <w:tcW w:w="120" w:type="dxa"/>
            <w:vAlign w:val="bottom"/>
          </w:tcPr>
          <w:p>
            <w:pPr>
              <w:spacing w:after="0"/>
              <w:rPr>
                <w:sz w:val="20"/>
                <w:szCs w:val="20"/>
                <w:color w:val="auto"/>
              </w:rPr>
            </w:pPr>
          </w:p>
        </w:tc>
        <w:tc>
          <w:tcPr>
            <w:tcW w:w="2840" w:type="dxa"/>
            <w:vAlign w:val="bottom"/>
            <w:gridSpan w:val="2"/>
          </w:tcPr>
          <w:p>
            <w:pPr>
              <w:ind w:left="560"/>
              <w:spacing w:after="0"/>
              <w:rPr>
                <w:sz w:val="20"/>
                <w:szCs w:val="20"/>
                <w:color w:val="auto"/>
              </w:rPr>
            </w:pPr>
            <w:r>
              <w:rPr>
                <w:rFonts w:ascii="Arial" w:cs="Arial" w:eastAsia="Arial" w:hAnsi="Arial"/>
                <w:sz w:val="18"/>
                <w:szCs w:val="18"/>
                <w:b w:val="1"/>
                <w:bCs w:val="1"/>
                <w:color w:val="auto"/>
              </w:rPr>
              <w:t>Unobservable inputs</w:t>
            </w:r>
          </w:p>
        </w:tc>
        <w:tc>
          <w:tcPr>
            <w:tcW w:w="2760" w:type="dxa"/>
            <w:vAlign w:val="bottom"/>
            <w:gridSpan w:val="2"/>
          </w:tcPr>
          <w:p>
            <w:pPr>
              <w:jc w:val="right"/>
              <w:ind w:right="1220"/>
              <w:spacing w:after="0"/>
              <w:rPr>
                <w:sz w:val="20"/>
                <w:szCs w:val="20"/>
                <w:color w:val="auto"/>
              </w:rPr>
            </w:pPr>
            <w:r>
              <w:rPr>
                <w:rFonts w:ascii="Arial" w:cs="Arial" w:eastAsia="Arial" w:hAnsi="Arial"/>
                <w:sz w:val="18"/>
                <w:szCs w:val="18"/>
                <w:b w:val="1"/>
                <w:bCs w:val="1"/>
                <w:color w:val="auto"/>
              </w:rPr>
              <w:t>Range</w:t>
            </w:r>
          </w:p>
        </w:tc>
      </w:tr>
      <w:tr>
        <w:trPr>
          <w:trHeight w:val="195"/>
        </w:trPr>
        <w:tc>
          <w:tcPr>
            <w:tcW w:w="28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Derivative warrant liabilities –</w:t>
            </w:r>
          </w:p>
        </w:tc>
        <w:tc>
          <w:tcPr>
            <w:tcW w:w="100" w:type="dxa"/>
            <w:vAlign w:val="bottom"/>
            <w:tcBorders>
              <w:top w:val="single" w:sz="8" w:color="CCEEFF"/>
            </w:tcBorders>
            <w:shd w:val="clear" w:color="auto" w:fill="CCEEFF"/>
          </w:tcPr>
          <w:p>
            <w:pPr>
              <w:spacing w:after="0"/>
              <w:rPr>
                <w:sz w:val="16"/>
                <w:szCs w:val="16"/>
                <w:color w:val="auto"/>
              </w:rPr>
            </w:pPr>
          </w:p>
        </w:tc>
        <w:tc>
          <w:tcPr>
            <w:tcW w:w="2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30"/>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Warrants</w:t>
            </w: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Black-Scholes-Merton</w:t>
            </w:r>
          </w:p>
        </w:tc>
        <w:tc>
          <w:tcPr>
            <w:tcW w:w="2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Volatility</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71.13%</w:t>
            </w:r>
          </w:p>
        </w:tc>
      </w:t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Risk-free interest rate</w:t>
            </w:r>
          </w:p>
        </w:tc>
        <w:tc>
          <w:tcPr>
            <w:tcW w:w="2760" w:type="dxa"/>
            <w:vAlign w:val="bottom"/>
            <w:gridSpan w:val="2"/>
          </w:tcPr>
          <w:p>
            <w:pPr>
              <w:jc w:val="right"/>
              <w:ind w:right="20"/>
              <w:spacing w:after="0"/>
              <w:rPr>
                <w:sz w:val="20"/>
                <w:szCs w:val="20"/>
                <w:color w:val="auto"/>
              </w:rPr>
            </w:pPr>
            <w:r>
              <w:rPr>
                <w:rFonts w:ascii="Arial" w:cs="Arial" w:eastAsia="Arial" w:hAnsi="Arial"/>
                <w:sz w:val="18"/>
                <w:szCs w:val="18"/>
                <w:color w:val="auto"/>
              </w:rPr>
              <w:t>2.98%</w:t>
            </w:r>
          </w:p>
        </w:tc>
      </w:tr>
      <w:tr>
        <w:trPr>
          <w:trHeight w:val="216"/>
        </w:trPr>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Expected term, in years</w:t>
            </w: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r>
      <w:tr>
        <w:trPr>
          <w:trHeight w:val="230"/>
        </w:trPr>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Dividend yield</w:t>
            </w:r>
          </w:p>
        </w:tc>
        <w:tc>
          <w:tcPr>
            <w:tcW w:w="27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2720" w:type="dxa"/>
            <w:vAlign w:val="bottom"/>
          </w:tcPr>
          <w:p>
            <w:pPr>
              <w:ind w:left="600"/>
              <w:spacing w:after="0"/>
              <w:rPr>
                <w:sz w:val="20"/>
                <w:szCs w:val="20"/>
                <w:color w:val="auto"/>
              </w:rPr>
            </w:pPr>
            <w:r>
              <w:rPr>
                <w:rFonts w:ascii="Arial" w:cs="Arial" w:eastAsia="Arial" w:hAnsi="Arial"/>
                <w:sz w:val="18"/>
                <w:szCs w:val="18"/>
                <w:b w:val="1"/>
                <w:bCs w:val="1"/>
                <w:color w:val="auto"/>
              </w:rPr>
              <w:t>Valuation technique</w:t>
            </w:r>
          </w:p>
        </w:tc>
        <w:tc>
          <w:tcPr>
            <w:tcW w:w="120" w:type="dxa"/>
            <w:vAlign w:val="bottom"/>
          </w:tcPr>
          <w:p>
            <w:pPr>
              <w:spacing w:after="0"/>
              <w:rPr>
                <w:sz w:val="20"/>
                <w:szCs w:val="20"/>
                <w:color w:val="auto"/>
              </w:rPr>
            </w:pPr>
          </w:p>
        </w:tc>
        <w:tc>
          <w:tcPr>
            <w:tcW w:w="2840" w:type="dxa"/>
            <w:vAlign w:val="bottom"/>
            <w:gridSpan w:val="2"/>
          </w:tcPr>
          <w:p>
            <w:pPr>
              <w:ind w:left="560"/>
              <w:spacing w:after="0"/>
              <w:rPr>
                <w:sz w:val="20"/>
                <w:szCs w:val="20"/>
                <w:color w:val="auto"/>
              </w:rPr>
            </w:pPr>
            <w:r>
              <w:rPr>
                <w:rFonts w:ascii="Arial" w:cs="Arial" w:eastAsia="Arial" w:hAnsi="Arial"/>
                <w:sz w:val="18"/>
                <w:szCs w:val="18"/>
                <w:b w:val="1"/>
                <w:bCs w:val="1"/>
                <w:color w:val="auto"/>
              </w:rPr>
              <w:t>Unobservable inputs</w:t>
            </w:r>
          </w:p>
        </w:tc>
        <w:tc>
          <w:tcPr>
            <w:tcW w:w="2760" w:type="dxa"/>
            <w:vAlign w:val="bottom"/>
            <w:gridSpan w:val="2"/>
          </w:tcPr>
          <w:p>
            <w:pPr>
              <w:jc w:val="right"/>
              <w:ind w:right="1220"/>
              <w:spacing w:after="0"/>
              <w:rPr>
                <w:sz w:val="20"/>
                <w:szCs w:val="20"/>
                <w:color w:val="auto"/>
              </w:rPr>
            </w:pPr>
            <w:r>
              <w:rPr>
                <w:rFonts w:ascii="Arial" w:cs="Arial" w:eastAsia="Arial" w:hAnsi="Arial"/>
                <w:sz w:val="18"/>
                <w:szCs w:val="18"/>
                <w:b w:val="1"/>
                <w:bCs w:val="1"/>
                <w:color w:val="auto"/>
              </w:rPr>
              <w:t>Range</w:t>
            </w:r>
          </w:p>
        </w:tc>
      </w:tr>
      <w:tr>
        <w:trPr>
          <w:trHeight w:val="195"/>
        </w:trPr>
        <w:tc>
          <w:tcPr>
            <w:tcW w:w="28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Derivative warrant liabilities –</w:t>
            </w:r>
          </w:p>
        </w:tc>
        <w:tc>
          <w:tcPr>
            <w:tcW w:w="100" w:type="dxa"/>
            <w:vAlign w:val="bottom"/>
            <w:tcBorders>
              <w:top w:val="single" w:sz="8" w:color="CCEEFF"/>
            </w:tcBorders>
            <w:shd w:val="clear" w:color="auto" w:fill="CCEEFF"/>
          </w:tcPr>
          <w:p>
            <w:pPr>
              <w:spacing w:after="0"/>
              <w:rPr>
                <w:sz w:val="16"/>
                <w:szCs w:val="16"/>
                <w:color w:val="auto"/>
              </w:rPr>
            </w:pPr>
          </w:p>
        </w:tc>
        <w:tc>
          <w:tcPr>
            <w:tcW w:w="2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30"/>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 Warrants</w:t>
            </w: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Black-Scholes-Merton</w:t>
            </w:r>
          </w:p>
        </w:tc>
        <w:tc>
          <w:tcPr>
            <w:tcW w:w="2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Volatility</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72.88%</w:t>
            </w:r>
          </w:p>
        </w:tc>
      </w:t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Risk-free interest rate</w:t>
            </w:r>
          </w:p>
        </w:tc>
        <w:tc>
          <w:tcPr>
            <w:tcW w:w="276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r>
      <w:tr>
        <w:trPr>
          <w:trHeight w:val="216"/>
        </w:trPr>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Expected term, in years</w:t>
            </w: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0.50</w:t>
            </w:r>
          </w:p>
        </w:tc>
      </w:tr>
      <w:tr>
        <w:trPr>
          <w:trHeight w:val="230"/>
        </w:trPr>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960" w:type="dxa"/>
            <w:vAlign w:val="bottom"/>
            <w:gridSpan w:val="3"/>
          </w:tcPr>
          <w:p>
            <w:pPr>
              <w:ind w:left="120"/>
              <w:spacing w:after="0"/>
              <w:rPr>
                <w:sz w:val="20"/>
                <w:szCs w:val="20"/>
                <w:color w:val="auto"/>
              </w:rPr>
            </w:pPr>
            <w:r>
              <w:rPr>
                <w:rFonts w:ascii="Arial" w:cs="Arial" w:eastAsia="Arial" w:hAnsi="Arial"/>
                <w:sz w:val="18"/>
                <w:szCs w:val="18"/>
                <w:color w:val="auto"/>
              </w:rPr>
              <w:t>Dividend yield</w:t>
            </w:r>
          </w:p>
        </w:tc>
        <w:tc>
          <w:tcPr>
            <w:tcW w:w="27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Sensitivity of Level 3 measurements to changes in significant unobservable inputs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inputs to estimate the fair value of the Company’s derivative warrant liabilities were the current market price of the Company’s common stock, the exercise price of the derivative warrant liabilities, their remaining expected term, the volatility of the Company’s common stock price and the risk-free interest rate over the expected term. Significant changes in any of those inputs in isolation can result in a significant change in the fair value measurement.</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Generally, an increase in the market price of the Company’s shares of common stock, an increase in the volatility of the Company’s shares of common stock, and an increase in the remaining term of the derivative warrant liabilities would each result in a directionally similar change in the estimated fair value of the Company’s derivative warrant liabilities. Such changes would increase the associated liability while decreases in these assumptions would decrease the associated liability. An increase in the risk-free interest rate or a decrease in the differential between the derivative warrant liabilities’ exercise price and the market price of the Company’s shares of common stock would result in a decrease in the estimated fair value measurement and thus a decrease in the associated liability. The Company has not, and does not plan to, declare dividends on its common stock, and as such, there is no change in the estimated fair value of the derivative warrant liabilities due to the dividend assumption.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Marathon Common Stock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11, 2018 (the “Transaction Date”), the Company entered into a Patent Rights Purchase and Assignment Agreement (the “Agreement”) with Crypto Currency Patent Holding Company LLC (the “Buyer”) and its parent company, Marathon, pursuant to which the Buyer agreed to purchase certain of the Company’s patents. As consideration for the patents, the Buyer paid $250 and Marathon issued 250,000 shares of Marathon common stock (the “Marathon Common Stock”) to the Company. The Marathon Common Stock was subject to a Lockup Period (the “Lockup Period”) commencing on the Transaction Date which, subject to a leak-out provision, ended on July 11, 2018.</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15" w:name="page16"/>
    <w:bookmarkEnd w:id="15"/>
    <w:p>
      <w:pPr>
        <w:jc w:val="both"/>
        <w:spacing w:after="0" w:line="264" w:lineRule="auto"/>
        <w:rPr>
          <w:sz w:val="20"/>
          <w:szCs w:val="20"/>
          <w:color w:val="auto"/>
        </w:rPr>
      </w:pPr>
      <w:r>
        <w:rPr>
          <w:rFonts w:ascii="Arial" w:cs="Arial" w:eastAsia="Arial" w:hAnsi="Arial"/>
          <w:sz w:val="18"/>
          <w:szCs w:val="18"/>
          <w:color w:val="auto"/>
        </w:rPr>
        <w:t>The Marathon Common Stock is recognized as a cost method investment and, as such, was required to be measured at cost on the date of acquisition, which, as of the Transaction Date, approximated fair value. The following table presents the placement in the fair value hierarchy of the Marathon Common Stock measured at fair value on a nonrecurring basis as of the Transaction Date: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9"/>
          </w:tcPr>
          <w:p>
            <w:pPr>
              <w:jc w:val="center"/>
              <w:ind w:right="260"/>
              <w:spacing w:after="0"/>
              <w:rPr>
                <w:sz w:val="20"/>
                <w:szCs w:val="20"/>
                <w:color w:val="auto"/>
              </w:rPr>
            </w:pPr>
            <w:r>
              <w:rPr>
                <w:rFonts w:ascii="Arial" w:cs="Arial" w:eastAsia="Arial" w:hAnsi="Arial"/>
                <w:sz w:val="18"/>
                <w:szCs w:val="18"/>
                <w:b w:val="1"/>
                <w:bCs w:val="1"/>
                <w:color w:val="auto"/>
                <w:w w:val="90"/>
              </w:rPr>
              <w:t>Fair value measurement at reporting date using</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Quoted prices in</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active markets</w:t>
            </w: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Significant 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Significant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for identical</w:t>
            </w:r>
          </w:p>
        </w:tc>
        <w:tc>
          <w:tcPr>
            <w:tcW w:w="14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observable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unobservable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Balance</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assets (Level 1)</w:t>
            </w: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inputs (Level 2)</w:t>
            </w:r>
          </w:p>
        </w:tc>
        <w:tc>
          <w:tcPr>
            <w:tcW w:w="100" w:type="dxa"/>
            <w:vAlign w:val="bottom"/>
          </w:tcPr>
          <w:p>
            <w:pPr>
              <w:spacing w:after="0"/>
              <w:rPr>
                <w:sz w:val="20"/>
                <w:szCs w:val="20"/>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inputs (Level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11, 2018</w:t>
            </w:r>
          </w:p>
        </w:tc>
        <w:tc>
          <w:tcPr>
            <w:tcW w:w="960" w:type="dxa"/>
            <w:vAlign w:val="bottom"/>
            <w:tcBorders>
              <w:top w:val="single" w:sz="8" w:color="auto"/>
            </w:tcBorders>
            <w:shd w:val="clear" w:color="auto" w:fill="CCEEFF"/>
          </w:tcPr>
          <w:p>
            <w:pPr>
              <w:jc w:val="right"/>
              <w:ind w:right="800"/>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450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June 30, 2018</w:t>
            </w:r>
          </w:p>
        </w:tc>
        <w:tc>
          <w:tcPr>
            <w:tcW w:w="960" w:type="dxa"/>
            <w:vAlign w:val="bottom"/>
            <w:shd w:val="clear" w:color="auto" w:fill="CCEEFF"/>
          </w:tcPr>
          <w:p>
            <w:pPr>
              <w:jc w:val="right"/>
              <w:ind w:right="800"/>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343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fair value of the Marathon Common Stock was estimated by multiplying the number of shares as they become tradeable by the price per share as of the Transaction Date, information that falls within Level 1 of the fair value hierarchy, quoted prices in active markets for identical assets; however, due to the fact that the Marathon Common Stock is restricted during the Lockup Period, the Company applied a discount on the lack of marketability to estimate the fair value at the measurement date, which is a significant other observable input resulting in placement in Level 2 of the fair value hierarchy. The fair value of the consideration as of the Transaction Date was determined to be $450. Based on the Company’s evaluation of the investment, it was determined that certain unrealized losses represented an other-than-temporary impairment as of June 30, 2018 and the Company recognized an impairment charge of $107 for the three and six months ended June 30, 2018, equal to the excess of cost basis over fair value. The fair value of the Marathon Common Stock as of June 30, 2018 was determined to be $343, which is included in other assets in the condensed consolidated balance sheet as of June 30, 2018.</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changes in the Company’s investment in Marathon Common Stock, measured at fair value using significant other observable inputs (Level 2) during the three and six-month periods ended June 30,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January 11, 2018</w:t>
            </w:r>
          </w:p>
        </w:tc>
        <w:tc>
          <w:tcPr>
            <w:tcW w:w="35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Decrease in fair value of the Marathon Common Stock</w:t>
            </w:r>
          </w:p>
        </w:tc>
        <w:tc>
          <w:tcPr>
            <w:tcW w:w="3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r>
      <w:tr>
        <w:trPr>
          <w:trHeight w:val="223"/>
        </w:trPr>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2018</w:t>
            </w:r>
          </w:p>
        </w:tc>
        <w:tc>
          <w:tcPr>
            <w:tcW w:w="304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11, 2018, the Lockup Period concluded and the Company was permitted to begin trading the Marathon Common Stock, subject to a leak-out provision whereby the shares were released from Lockup in equal increments over a twenty-day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Measurements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also required to measure the fair value of the contingent consideration it assumed following the acquisition of Excalibur Integrated Systems, Inc. (“Excalibur”) on February 2, 2017 on a recurring basis. The Company determined that there was no change in the fair value of the contingent consideration of $316 between December 31, 2017 and June 30, 2018. Although the Company disposed of Excalibur as part of the Group Mobile disposition, the contingent consideration remained due to the remnant of the earn-out provision due to the former stockholders of Excalibur, which is what first led to the recognition of a contingent consideration upon the acquisition of Excalibur. The contingent consideration is included in other liabilities in the condensed consolidated balance sheets.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purchase value of the contingent consideration assumed by the Company following the acquisition of Excalibur was determined using the Monte-Carlo simulation and, as such, was classified in Level 3 of the fair value hierarchy. The fair value measurements are evaluated by management to ensure that changes are consistent with expectations of management based upon the sensitivity and nature of the inputs.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Stock-Based Compensation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2018, 2,658,470 shares of the Company’s common stock were available for future grants under the Company’s 2012 Employee, Director and Consultant Equity Incentive Plan. Total stock-based compensation expense for the three-month periods ended June 30, 2018 and 2017 was $259 and $732, respectively, the latter of which included stock-based compensation expense of $189 included in discontinued operations. Total stock-based compensation expense for the six-month periods ended June 30, 2018 and 2017 was $571 and $1,090, respectively, the latter of which included stock-based compensation expense of $383 included in discontinued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RSUs granted to employees and consultants during the six-month period ended June 30,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6"/>
              </w:rPr>
              <w:t>Fair market</w:t>
            </w:r>
          </w:p>
        </w:tc>
        <w:tc>
          <w:tcPr>
            <w:tcW w:w="2720" w:type="dxa"/>
            <w:vAlign w:val="bottom"/>
          </w:tcPr>
          <w:p>
            <w:pPr>
              <w:spacing w:after="0"/>
              <w:rPr>
                <w:sz w:val="18"/>
                <w:szCs w:val="18"/>
                <w:color w:val="auto"/>
              </w:rPr>
            </w:pPr>
          </w:p>
        </w:tc>
      </w:tr>
      <w:tr>
        <w:trPr>
          <w:trHeight w:val="234"/>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Grant date</w:t>
            </w:r>
          </w:p>
        </w:tc>
        <w:tc>
          <w:tcPr>
            <w:tcW w:w="2860" w:type="dxa"/>
            <w:vAlign w:val="bottom"/>
            <w:gridSpan w:val="2"/>
          </w:tcPr>
          <w:p>
            <w:pPr>
              <w:ind w:left="840"/>
              <w:spacing w:after="0"/>
              <w:rPr>
                <w:sz w:val="20"/>
                <w:szCs w:val="20"/>
                <w:color w:val="auto"/>
              </w:rPr>
            </w:pPr>
            <w:r>
              <w:rPr>
                <w:rFonts w:ascii="Arial" w:cs="Arial" w:eastAsia="Arial" w:hAnsi="Arial"/>
                <w:sz w:val="18"/>
                <w:szCs w:val="18"/>
                <w:b w:val="1"/>
                <w:bCs w:val="1"/>
                <w:color w:val="auto"/>
              </w:rPr>
              <w:t>No. of RSUs</w:t>
            </w:r>
          </w:p>
        </w:tc>
        <w:tc>
          <w:tcPr>
            <w:tcW w:w="340" w:type="dxa"/>
            <w:vAlign w:val="bottom"/>
          </w:tcPr>
          <w:p>
            <w:pPr>
              <w:spacing w:after="0"/>
              <w:rPr>
                <w:sz w:val="20"/>
                <w:szCs w:val="20"/>
                <w:color w:val="auto"/>
              </w:rPr>
            </w:pPr>
          </w:p>
        </w:tc>
        <w:tc>
          <w:tcPr>
            <w:tcW w:w="25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value at grant date</w:t>
            </w:r>
          </w:p>
        </w:tc>
        <w:tc>
          <w:tcPr>
            <w:tcW w:w="2720" w:type="dxa"/>
            <w:vAlign w:val="bottom"/>
          </w:tcPr>
          <w:p>
            <w:pPr>
              <w:ind w:left="860"/>
              <w:spacing w:after="0"/>
              <w:rPr>
                <w:sz w:val="20"/>
                <w:szCs w:val="20"/>
                <w:color w:val="auto"/>
              </w:rPr>
            </w:pPr>
            <w:r>
              <w:rPr>
                <w:rFonts w:ascii="Arial" w:cs="Arial" w:eastAsia="Arial" w:hAnsi="Arial"/>
                <w:sz w:val="18"/>
                <w:szCs w:val="18"/>
                <w:b w:val="1"/>
                <w:bCs w:val="1"/>
                <w:color w:val="auto"/>
              </w:rPr>
              <w:t>Vesting term</w:t>
            </w:r>
          </w:p>
        </w:tc>
      </w:tr>
      <w:tr>
        <w:trPr>
          <w:trHeight w:val="210"/>
        </w:trPr>
        <w:tc>
          <w:tcPr>
            <w:tcW w:w="2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28, 2018</w:t>
            </w:r>
          </w:p>
        </w:tc>
        <w:tc>
          <w:tcPr>
            <w:tcW w:w="12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53,408</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2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Vesting immediately upon grant</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April 19, 2018</w:t>
            </w:r>
          </w:p>
        </w:tc>
        <w:tc>
          <w:tcPr>
            <w:tcW w:w="2620" w:type="dxa"/>
            <w:vAlign w:val="bottom"/>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2500" w:type="dxa"/>
            <w:vAlign w:val="bottom"/>
            <w:gridSpan w:val="2"/>
          </w:tcPr>
          <w:p>
            <w:pPr>
              <w:jc w:val="right"/>
              <w:ind w:right="220"/>
              <w:spacing w:after="0"/>
              <w:rPr>
                <w:sz w:val="20"/>
                <w:szCs w:val="20"/>
                <w:color w:val="auto"/>
              </w:rPr>
            </w:pPr>
            <w:r>
              <w:rPr>
                <w:rFonts w:ascii="Arial" w:cs="Arial" w:eastAsia="Arial" w:hAnsi="Arial"/>
                <w:sz w:val="18"/>
                <w:szCs w:val="18"/>
                <w:color w:val="auto"/>
              </w:rPr>
              <w:t>0.60</w:t>
            </w:r>
          </w:p>
        </w:tc>
        <w:tc>
          <w:tcPr>
            <w:tcW w:w="2720" w:type="dxa"/>
            <w:vAlign w:val="bottom"/>
          </w:tcPr>
          <w:p>
            <w:pPr>
              <w:spacing w:after="0"/>
              <w:rPr>
                <w:sz w:val="20"/>
                <w:szCs w:val="20"/>
                <w:color w:val="auto"/>
              </w:rPr>
            </w:pPr>
            <w:r>
              <w:rPr>
                <w:rFonts w:ascii="Arial" w:cs="Arial" w:eastAsia="Arial" w:hAnsi="Arial"/>
                <w:sz w:val="18"/>
                <w:szCs w:val="18"/>
                <w:color w:val="auto"/>
              </w:rPr>
              <w:t>Vesting immediately upon grant</w:t>
            </w:r>
          </w:p>
        </w:tc>
      </w:tr>
      <w:tr>
        <w:trPr>
          <w:trHeight w:val="202"/>
        </w:trPr>
        <w:tc>
          <w:tcPr>
            <w:tcW w:w="2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Over one year, vesting on one-year</w:t>
            </w: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15, 2018</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465,000</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0.60</w:t>
            </w: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anniversary of grant date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options were granted during the six-month period ended June 30, 2018.</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709"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activity related to RSUs and stock options during the six-month period ended June 30, 2018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p>
        </w:tc>
        <w:tc>
          <w:tcPr>
            <w:tcW w:w="194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b w:val="1"/>
                <w:bCs w:val="1"/>
                <w:color w:val="auto"/>
              </w:rPr>
              <w:t>RSUs</w:t>
            </w:r>
          </w:p>
        </w:tc>
        <w:tc>
          <w:tcPr>
            <w:tcW w:w="13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w w:val="96"/>
              </w:rPr>
              <w:t>Options</w:t>
            </w: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17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88"/>
              </w:rPr>
              <w:t>Weighted</w:t>
            </w: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3"/>
          </w:tcPr>
          <w:p>
            <w:pPr>
              <w:jc w:val="center"/>
              <w:ind w:right="700"/>
              <w:spacing w:after="0" w:line="191" w:lineRule="exact"/>
              <w:rPr>
                <w:sz w:val="20"/>
                <w:szCs w:val="20"/>
                <w:color w:val="auto"/>
              </w:rPr>
            </w:pPr>
            <w:r>
              <w:rPr>
                <w:rFonts w:ascii="Arial" w:cs="Arial" w:eastAsia="Arial" w:hAnsi="Arial"/>
                <w:sz w:val="18"/>
                <w:szCs w:val="18"/>
                <w:b w:val="1"/>
                <w:bCs w:val="1"/>
                <w:color w:val="auto"/>
                <w:w w:val="88"/>
              </w:rPr>
              <w:t>Weighted</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6"/>
                <w:szCs w:val="16"/>
                <w:color w:val="auto"/>
              </w:rPr>
            </w:pPr>
          </w:p>
        </w:tc>
      </w:tr>
      <w:tr>
        <w:trPr>
          <w:trHeight w:val="216"/>
        </w:trPr>
        <w:tc>
          <w:tcPr>
            <w:tcW w:w="17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average</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88"/>
              </w:rPr>
              <w:t>average</w:t>
            </w:r>
          </w:p>
        </w:tc>
        <w:tc>
          <w:tcPr>
            <w:tcW w:w="13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Exercise</w:t>
            </w:r>
          </w:p>
        </w:tc>
        <w:tc>
          <w:tcPr>
            <w:tcW w:w="18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1760" w:type="dxa"/>
            <w:vAlign w:val="bottom"/>
          </w:tcPr>
          <w:p>
            <w:pPr>
              <w:spacing w:after="0"/>
              <w:rPr>
                <w:sz w:val="18"/>
                <w:szCs w:val="18"/>
                <w:color w:val="auto"/>
              </w:rPr>
            </w:pPr>
          </w:p>
        </w:tc>
        <w:tc>
          <w:tcPr>
            <w:tcW w:w="174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No. of</w:t>
            </w:r>
          </w:p>
        </w:tc>
        <w:tc>
          <w:tcPr>
            <w:tcW w:w="200" w:type="dxa"/>
            <w:vAlign w:val="bottom"/>
          </w:tcPr>
          <w:p>
            <w:pPr>
              <w:spacing w:after="0"/>
              <w:rPr>
                <w:sz w:val="18"/>
                <w:szCs w:val="18"/>
                <w:color w:val="auto"/>
              </w:rPr>
            </w:pPr>
          </w:p>
        </w:tc>
        <w:tc>
          <w:tcPr>
            <w:tcW w:w="15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grant date</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No. of</w:t>
            </w:r>
          </w:p>
        </w:tc>
        <w:tc>
          <w:tcPr>
            <w:tcW w:w="200" w:type="dxa"/>
            <w:vAlign w:val="bottom"/>
          </w:tcPr>
          <w:p>
            <w:pPr>
              <w:spacing w:after="0"/>
              <w:rPr>
                <w:sz w:val="18"/>
                <w:szCs w:val="18"/>
                <w:color w:val="auto"/>
              </w:rPr>
            </w:pPr>
          </w:p>
        </w:tc>
        <w:tc>
          <w:tcPr>
            <w:tcW w:w="162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83"/>
              </w:rPr>
              <w:t>exercise</w:t>
            </w:r>
          </w:p>
        </w:tc>
        <w:tc>
          <w:tcPr>
            <w:tcW w:w="13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price</w:t>
            </w:r>
          </w:p>
        </w:tc>
        <w:tc>
          <w:tcPr>
            <w:tcW w:w="18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grant date</w:t>
            </w:r>
          </w:p>
        </w:tc>
      </w:tr>
      <w:tr>
        <w:trPr>
          <w:trHeight w:val="234"/>
        </w:trPr>
        <w:tc>
          <w:tcPr>
            <w:tcW w:w="1760" w:type="dxa"/>
            <w:vAlign w:val="bottom"/>
          </w:tcPr>
          <w:p>
            <w:pPr>
              <w:spacing w:after="0"/>
              <w:rPr>
                <w:sz w:val="20"/>
                <w:szCs w:val="20"/>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RSUs</w:t>
            </w:r>
          </w:p>
        </w:tc>
        <w:tc>
          <w:tcPr>
            <w:tcW w:w="200" w:type="dxa"/>
            <w:vAlign w:val="bottom"/>
          </w:tcPr>
          <w:p>
            <w:pPr>
              <w:spacing w:after="0"/>
              <w:rPr>
                <w:sz w:val="20"/>
                <w:szCs w:val="20"/>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fair value</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options</w:t>
            </w:r>
          </w:p>
        </w:tc>
        <w:tc>
          <w:tcPr>
            <w:tcW w:w="200" w:type="dxa"/>
            <w:vAlign w:val="bottom"/>
          </w:tcPr>
          <w:p>
            <w:pPr>
              <w:spacing w:after="0"/>
              <w:rPr>
                <w:sz w:val="20"/>
                <w:szCs w:val="20"/>
                <w:color w:val="auto"/>
              </w:rPr>
            </w:pPr>
          </w:p>
        </w:tc>
        <w:tc>
          <w:tcPr>
            <w:tcW w:w="162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92"/>
              </w:rPr>
              <w:t>price</w:t>
            </w: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range</w:t>
            </w:r>
          </w:p>
        </w:tc>
        <w:tc>
          <w:tcPr>
            <w:tcW w:w="18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fair value</w:t>
            </w:r>
          </w:p>
        </w:tc>
      </w:tr>
      <w:tr>
        <w:trPr>
          <w:trHeight w:val="182"/>
        </w:trPr>
        <w:tc>
          <w:tcPr>
            <w:tcW w:w="1760" w:type="dxa"/>
            <w:vAlign w:val="bottom"/>
            <w:tcBorders>
              <w:top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Outstanding as of</w:t>
            </w:r>
          </w:p>
        </w:tc>
        <w:tc>
          <w:tcPr>
            <w:tcW w:w="14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1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January 1, 2018</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365,565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4,317,942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w:t>
            </w: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$ 1.10 – 41.00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r>
      <w:tr>
        <w:trPr>
          <w:trHeight w:val="216"/>
        </w:trPr>
        <w:tc>
          <w:tcPr>
            <w:tcW w:w="1760" w:type="dxa"/>
            <w:vAlign w:val="bottom"/>
          </w:tcPr>
          <w:p>
            <w:pPr>
              <w:ind w:left="120"/>
              <w:spacing w:after="0"/>
              <w:rPr>
                <w:sz w:val="20"/>
                <w:szCs w:val="20"/>
                <w:color w:val="auto"/>
              </w:rPr>
            </w:pPr>
            <w:r>
              <w:rPr>
                <w:rFonts w:ascii="Arial" w:cs="Arial" w:eastAsia="Arial" w:hAnsi="Arial"/>
                <w:sz w:val="18"/>
                <w:szCs w:val="18"/>
                <w:color w:val="auto"/>
              </w:rPr>
              <w:t>Granted</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668,408</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0.63</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Vested/Exercised</w:t>
            </w: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(568,973)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76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(1,163,125)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5.43</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$ 1.55 – 37.20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r>
      <w:tr>
        <w:trPr>
          <w:trHeight w:val="230"/>
        </w:trPr>
        <w:tc>
          <w:tcPr>
            <w:tcW w:w="1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Expired</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(52,316)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16.24</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$ 9.60 – 16.50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w:t>
            </w:r>
          </w:p>
        </w:tc>
      </w:tr>
      <w:tr>
        <w:trPr>
          <w:trHeight w:val="182"/>
        </w:trPr>
        <w:tc>
          <w:tcPr>
            <w:tcW w:w="1760" w:type="dxa"/>
            <w:vAlign w:val="bottom"/>
          </w:tcPr>
          <w:p>
            <w:pPr>
              <w:ind w:left="120"/>
              <w:spacing w:after="0" w:line="182" w:lineRule="exact"/>
              <w:rPr>
                <w:sz w:val="20"/>
                <w:szCs w:val="20"/>
                <w:color w:val="auto"/>
              </w:rPr>
            </w:pPr>
            <w:r>
              <w:rPr>
                <w:rFonts w:ascii="Arial" w:cs="Arial" w:eastAsia="Arial" w:hAnsi="Arial"/>
                <w:sz w:val="18"/>
                <w:szCs w:val="18"/>
                <w:color w:val="auto"/>
              </w:rPr>
              <w:t>Outstanding as of</w:t>
            </w:r>
          </w:p>
        </w:tc>
        <w:tc>
          <w:tcPr>
            <w:tcW w:w="14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97"/>
        </w:trPr>
        <w:tc>
          <w:tcPr>
            <w:tcW w:w="1760" w:type="dxa"/>
            <w:vAlign w:val="bottom"/>
          </w:tcPr>
          <w:p>
            <w:pPr>
              <w:ind w:left="120"/>
              <w:spacing w:after="0"/>
              <w:rPr>
                <w:sz w:val="20"/>
                <w:szCs w:val="20"/>
                <w:color w:val="auto"/>
              </w:rPr>
            </w:pPr>
            <w:r>
              <w:rPr>
                <w:rFonts w:ascii="Arial" w:cs="Arial" w:eastAsia="Arial" w:hAnsi="Arial"/>
                <w:sz w:val="18"/>
                <w:szCs w:val="18"/>
                <w:color w:val="auto"/>
              </w:rPr>
              <w:t>June 30, 2018</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465,000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0.60</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3,102,501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5.58</w:t>
            </w:r>
          </w:p>
        </w:tc>
        <w:tc>
          <w:tcPr>
            <w:tcW w:w="24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$ 1.10 – 41.00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3.72</w:t>
            </w:r>
          </w:p>
        </w:tc>
      </w:tr>
      <w:tr>
        <w:trPr>
          <w:trHeight w:val="155"/>
        </w:trPr>
        <w:tc>
          <w:tcPr>
            <w:tcW w:w="1760" w:type="dxa"/>
            <w:vAlign w:val="bottom"/>
            <w:tcBorders>
              <w:top w:val="single" w:sz="8" w:color="CCEEFF"/>
            </w:tcBorders>
            <w:shd w:val="clear" w:color="auto" w:fill="CCEEFF"/>
          </w:tcPr>
          <w:p>
            <w:pPr>
              <w:ind w:left="120"/>
              <w:spacing w:after="0" w:line="156" w:lineRule="exact"/>
              <w:rPr>
                <w:sz w:val="20"/>
                <w:szCs w:val="20"/>
                <w:color w:val="auto"/>
              </w:rPr>
            </w:pPr>
            <w:r>
              <w:rPr>
                <w:rFonts w:ascii="Arial" w:cs="Arial" w:eastAsia="Arial" w:hAnsi="Arial"/>
                <w:sz w:val="18"/>
                <w:szCs w:val="18"/>
                <w:color w:val="auto"/>
              </w:rPr>
              <w:t>Exercisable as of</w:t>
            </w:r>
          </w:p>
        </w:tc>
        <w:tc>
          <w:tcPr>
            <w:tcW w:w="148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257"/>
        </w:trPr>
        <w:tc>
          <w:tcPr>
            <w:tcW w:w="1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June 30, 2018</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2,590,000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$ 1.10 – 41.00</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recognize tax benefits related to its stock-based compensation as there is a full valuation allowance recorded.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 and Convertible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22, 2015, XpresSpa entered into a credit agreement and secured promissory note (the “Debt”) with Rockmore Investment Master Fund Ltd. (“Rockmore”), a related party, which was amended on August 8, 2016. Rockmore is an investment entity controlled by the Company’s board member, Bruce T. Bernstein. The Debt had an outstanding balance of $6,500 as of June 30, 2018 and December 31, 2017, which is included in long-term liabilities in the condensed consolidated balance sheets. During the six-month period ended June 30, 2018, XpresSpa paid $430 of interest and recorded $365 of interest expense related to the debt.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14, 2018, the Company and Rockmore agreed to extend the maturity date of the Debt from May 1, 2019 to December 31, 2019. No other material terms of the Debt were modified. As consideration for the agreement to extend the maturity date of the Debt and the consent to the Securities Purchase Agreement, the Company issued to Rockmore 250,000 Class A Warrants. These Class A Warrants were issued on the same terms and conditions as the Class A Warrants issued under the Securities Purchase Agreement. The warrants issued to Rockmore were classified as equity warrants in the condensed consolidated balance sheet as of June 30,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May 15, 2018, the Company entered into the Securities Purchase Agreement with the Investors, pursuant to which the Company agreed to sell up to (i) an aggregate principal amount of $4,438 in the Convertible Notes, which includes $88 issued to Palladium Capital Advisors as Placement Agent, convertible into Common Stock at a conversion price of $0.62 per share, (ii) Class A Warrants to purchase 7,157,259 shares of Common Stock at an exercise price of $0.62 per share and (iii) Class B Warrants to purchase up to 3,578,630 shares of Common Stock at an exercise price of $0.62 per share. The Convertible Notes bear interest at a rate of 5% per annum. The Convertible Notes are senior secured obligations of the Company and are secured by certain of its personal property. Unless earlier converted or redeemed, the Convertible Notes will mature on November 16, 2019. The Company intends to use the proceeds of this financing primarily for working capital and new store openings. The transaction closed on May 17, 2018.</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principal amount of the outstanding Convertible Notes is to be repaid monthly in the amount of $296, beginning on September 17, 2018, and the Company may make such payments and related interest payments in cash or, subject to certain conditions, in registered shares of its common stock (or a combination thereof), at its election. If the Company chooses to repay the Convertible Notes in shares of its common stock, the shares will be issued at a 10% discount to the volume weighted average price of the Company’s common stock for the five (5) trading days commencing eight (8) days prior to the relevant</w:t>
      </w:r>
    </w:p>
    <w:p>
      <w:pPr>
        <w:spacing w:after="0" w:line="2" w:lineRule="exact"/>
        <w:rPr>
          <w:sz w:val="20"/>
          <w:szCs w:val="20"/>
          <w:color w:val="auto"/>
        </w:rPr>
      </w:pPr>
    </w:p>
    <w:p>
      <w:pPr>
        <w:jc w:val="both"/>
        <w:ind w:right="20"/>
        <w:spacing w:after="0" w:line="217" w:lineRule="auto"/>
        <w:rPr>
          <w:sz w:val="20"/>
          <w:szCs w:val="20"/>
          <w:color w:val="auto"/>
        </w:rPr>
      </w:pPr>
      <w:r>
        <w:rPr>
          <w:rFonts w:ascii="Arial" w:cs="Arial" w:eastAsia="Arial" w:hAnsi="Arial"/>
          <w:sz w:val="18"/>
          <w:szCs w:val="18"/>
          <w:color w:val="auto"/>
        </w:rPr>
        <w:t>repayment date and ending on the fourth (4</w:t>
      </w:r>
      <w:r>
        <w:rPr>
          <w:rFonts w:ascii="Arial" w:cs="Arial" w:eastAsia="Arial" w:hAnsi="Arial"/>
          <w:sz w:val="30"/>
          <w:szCs w:val="30"/>
          <w:color w:val="auto"/>
          <w:vertAlign w:val="superscript"/>
        </w:rPr>
        <w:t>th</w:t>
      </w:r>
      <w:r>
        <w:rPr>
          <w:rFonts w:ascii="Arial" w:cs="Arial" w:eastAsia="Arial" w:hAnsi="Arial"/>
          <w:sz w:val="18"/>
          <w:szCs w:val="18"/>
          <w:color w:val="auto"/>
        </w:rPr>
        <w:t>) trading day prior to such repayment date, subject to a minimum floor price of not less than 20% of the conversion price of the Convertible Notes on the issue date. The Company may also repay the Convertible Notes in advance of the maturity schedule subject to early repayment penalties of 15%.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gridSpan w:val="2"/>
          </w:tcPr>
          <w:p>
            <w:pPr>
              <w:spacing w:after="0"/>
              <w:rPr>
                <w:sz w:val="20"/>
                <w:szCs w:val="20"/>
                <w:color w:val="auto"/>
              </w:rPr>
            </w:pPr>
            <w:r>
              <w:rPr>
                <w:rFonts w:ascii="Arial" w:cs="Arial" w:eastAsia="Arial" w:hAnsi="Arial"/>
                <w:sz w:val="18"/>
                <w:szCs w:val="18"/>
                <w:color w:val="auto"/>
              </w:rPr>
              <w:t>The table below summarizes the initial fair value of the Convertible Notes as of May 17, 2018:</w:t>
            </w:r>
          </w:p>
        </w:tc>
        <w:tc>
          <w:tcPr>
            <w:tcW w:w="1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Class A Warrants</w:t>
            </w:r>
          </w:p>
        </w:tc>
        <w:tc>
          <w:tcPr>
            <w:tcW w:w="20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Class B Warrants</w:t>
            </w:r>
          </w:p>
        </w:tc>
        <w:tc>
          <w:tcPr>
            <w:tcW w:w="1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16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Total Fair Value as of June 30, 2018</w:t>
            </w:r>
          </w:p>
        </w:tc>
        <w:tc>
          <w:tcPr>
            <w:tcW w:w="1600" w:type="dxa"/>
            <w:vAlign w:val="bottom"/>
          </w:tcPr>
          <w:p>
            <w:pPr>
              <w:spacing w:after="0"/>
              <w:rPr>
                <w:sz w:val="19"/>
                <w:szCs w:val="19"/>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The table below summarizes changes in the book value of the Convertible Notes from May 17, 2018 to June 30,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Book value as of May 17,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Debt issuance costs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Book value as of May 17,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Debt repayments in the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debt discount and debt issuance costs, included in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Book value as of June 30,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860" w:hanging="858"/>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2,388</w:t>
      </w:r>
    </w:p>
    <w:p>
      <w:pPr>
        <w:spacing w:after="0" w:line="23" w:lineRule="exact"/>
        <w:rPr>
          <w:rFonts w:ascii="Arial" w:cs="Arial" w:eastAsia="Arial" w:hAnsi="Arial"/>
          <w:sz w:val="18"/>
          <w:szCs w:val="18"/>
          <w:color w:val="auto"/>
        </w:rPr>
      </w:pPr>
    </w:p>
    <w:p>
      <w:pPr>
        <w:ind w:left="940"/>
        <w:spacing w:after="0"/>
        <w:rPr>
          <w:rFonts w:ascii="Arial" w:cs="Arial" w:eastAsia="Arial" w:hAnsi="Arial"/>
          <w:sz w:val="18"/>
          <w:szCs w:val="18"/>
          <w:color w:val="auto"/>
        </w:rPr>
      </w:pPr>
      <w:r>
        <w:rPr>
          <w:rFonts w:ascii="Arial" w:cs="Arial" w:eastAsia="Arial" w:hAnsi="Arial"/>
          <w:sz w:val="17"/>
          <w:szCs w:val="17"/>
          <w:color w:val="auto"/>
        </w:rPr>
        <w:t>(309)</w:t>
      </w:r>
    </w:p>
    <w:p>
      <w:pPr>
        <w:spacing w:after="0" w:line="34"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2,079</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195</w:t>
      </w:r>
    </w:p>
    <w:p>
      <w:pPr>
        <w:spacing w:after="0" w:line="23" w:lineRule="exact"/>
        <w:rPr>
          <w:sz w:val="20"/>
          <w:szCs w:val="20"/>
          <w:color w:val="auto"/>
        </w:rPr>
      </w:pPr>
    </w:p>
    <w:p>
      <w:pPr>
        <w:ind w:left="860" w:hanging="813"/>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8058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-130810</wp:posOffset>
            </wp:positionV>
            <wp:extent cx="8058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20" w:space="720"/>
            <w:col w:w="1380"/>
          </w:cols>
          <w:pgMar w:left="240" w:top="908" w:right="239" w:bottom="0" w:gutter="0" w:footer="0" w:header="0"/>
        </w:sectPr>
      </w:pP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debt discount and debt issuance costs will be amortized on a straight-line basis over the remaining term of the Convertible Notes. During the quarter ended June 30, 2018, the Company recorded $195 of amortization of debt discount and debt issuance costs, which was included in interest expense for the three and six-month periods ended June 30, 2018. Additionally, the Company recorded $27 of interest expense related to the Convertible Notes, which was included in interest expense for the three and six-month periods ended June 30,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 Party Transactions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April 14, 2018, the Company entered into a consulting agreement with an employee of Mistral Equity Partners, which is a significant shareholder of the Company and whose Chief Executive Officer is a member of the Board of Directors of the Company, to consult on certain business-related matters. The total consideration is approximately $10 per month through December 31, 2018. The agreement may be terminated by either party at any time upon delivery of written notice. Pursuant to the agreement, the Company recorded consulting expense of $25 for the three and six-month periods ended June 30, 2018.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Discontinued Operations and Assets and Liabilities Held for Disposal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FLI Charge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20, 2017, the Company sold FLI Charge to a group of private investors and FLI Charge management, to own and operate FLI Charge. Post-closing, the Company does not provide any continued management or financing support to FLI Charge.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Group Mobile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March 7, 2018 (the “Signing Date”), the Company entered into a membership purchase agreement (the “Group Mobile Purchase Agreement”) with Route1 Security Corporation, a Delaware corporation (the “Buyer”), and Route1 pursuant to which the Buyer agreed to acquire Group Mobile (the “Disposition”). The transaction closed on March 22, 2018 (the “Closing Date”), after which the Company no longer had any involvement with Group Mobile.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for the Disposition, the Buyer issued to the Company:</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25,000,000 shares of Route1 Common Stock (the “Route1 Common Stock”);</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warrants to purchase 30,000,000 shares of Route1 Common Stock, which will feature an exercise price of CAD 5 cents per share of common stock and will be exercisable for a three-year period;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other payments over the three-year period pursuant to an earn-out provision in the Group Mobile Purchase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retained certain inventory with a value of $555 to be disposed of separately from the transaction with Route1 in the first half of 2018. Of this amount, $110 was sold as of June 30, 2018. The remaining inventory excluded from the transaction was subsequently determined to be obsolete and unsalable and was fully written off as of June 30, 2018. Assets held for disposal includes $109 of accounts receivable, net of allowance, associated with the sale of the inventory excluded from the transaction with Route1.</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Post-closing, the Company owned approximately 6.7% of Route1 Common Stock. The Route1 Common Stock is not tradable until a date no earlier than 12 months after the Closing Date; 50%, or 12,500,000 shares, of Route1 Common Stock are tradeable after 12 months plus an additional 2,083,333 shares of Route1 Common Stock are tradeable each month until 18 months after the Closing Date, subject to a change of control provision. The Company has the ability to sell the Route1 Common Stock and warrants to qualified institutional investors. The Group Mobile Purchase Agreement also contains representations, warranties, and covenants customary for transactions of this type.</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total consideration of the Disposition is recognized as a cost method investment and, as such, must be measured at cost on the date of acquisition, which, as of the Closing Date, approximates fair value. The fair value of the total consideration as of the Closing Date was determined to be $1,625, which is less than the carrying value of the asset, and is included in other assets in the condensed consolidated balance sheet as of June 30, 2018. This resulted in a loss on disposal of $301, which is included in consolidated net loss from discontinued operations in the condensed consolidated statement of operations and comprehensive loss for the three- and six-month periods ended June 30,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value of the total consideration for the Group Mobile disposition was determined using a combination of valuation methods including:</w:t>
      </w:r>
    </w:p>
    <w:p>
      <w:pPr>
        <w:spacing w:after="0" w:line="225"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value of the Route 1 Common Stock was determined to be $308, which was estimated by multiplying the number of shares as they become tradeable by the price per share as of the Closing Date.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value of the warrants was determined to be $176, which was obtained using the Black-Scholes-Merton model.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value of the earn-out provision was determined to be $1,141, which was estimated using a Monte-Carlo simulation analysis.</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0" w:gutter="0" w:footer="0" w:header="0"/>
          <w:type w:val="continuous"/>
        </w:sectPr>
      </w:pPr>
    </w:p>
    <w:bookmarkStart w:id="18" w:name="page19"/>
    <w:bookmarkEnd w:id="18"/>
    <w:p>
      <w:pPr>
        <w:jc w:val="both"/>
        <w:spacing w:after="0" w:line="276" w:lineRule="auto"/>
        <w:rPr>
          <w:sz w:val="20"/>
          <w:szCs w:val="20"/>
          <w:color w:val="auto"/>
        </w:rPr>
      </w:pPr>
      <w:r>
        <w:rPr>
          <w:rFonts w:ascii="Arial" w:cs="Arial" w:eastAsia="Arial" w:hAnsi="Arial"/>
          <w:sz w:val="17"/>
          <w:szCs w:val="17"/>
          <w:color w:val="auto"/>
        </w:rPr>
        <w:t>The value of the Route1 Common Stock was classified within Level 2 of the fair value hierarchy because, although quoted prices in active markets for identical assets were used, which is a Level 1 attribute, the Company applied a discount on the lack of marketability to estimate the fair value due to the fact that the Route1 Common Stock will be restricted for different periods, which is a significant other observable input. The value of the warrants and earn-out provision were classified within Level 3 of the fair value hierarchy because they were valued using the Black-Scholes-Merton model and a Mote-Carlo simulation analysis, respectively, each of which utilizes significant inputs that are unobservable in the market.</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fair value measurements are evaluated by management to ensure that they are consistent with expectations of management based upon the sensitivity and nature of the inputs.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 and Assets and Liabilities Held for Sale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the components of the consolidated net loss from discontinued operations, as presented in the condensed consolidated statements of operations and comprehensive loss, for the three- and six-month periods ended June 30, 2018 for Group Mobile and June 30, 2017 for Group Mobile and FLI Charge: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920" w:type="dxa"/>
            <w:vAlign w:val="bottom"/>
            <w:gridSpan w:val="7"/>
          </w:tcPr>
          <w:p>
            <w:pPr>
              <w:jc w:val="right"/>
              <w:ind w:right="320"/>
              <w:spacing w:after="0"/>
              <w:rPr>
                <w:sz w:val="20"/>
                <w:szCs w:val="20"/>
                <w:color w:val="auto"/>
              </w:rPr>
            </w:pPr>
            <w:r>
              <w:rPr>
                <w:rFonts w:ascii="Arial" w:cs="Arial" w:eastAsia="Arial" w:hAnsi="Arial"/>
                <w:sz w:val="18"/>
                <w:szCs w:val="18"/>
                <w:b w:val="1"/>
                <w:bCs w:val="1"/>
                <w:color w:val="auto"/>
                <w:w w:val="98"/>
              </w:rPr>
              <w:t>Three months ended June 30,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7"/>
          </w:tcPr>
          <w:p>
            <w:pPr>
              <w:jc w:val="right"/>
              <w:ind w:right="44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23"/>
        </w:trPr>
        <w:tc>
          <w:tcPr>
            <w:tcW w:w="562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40" w:type="dxa"/>
            <w:vAlign w:val="bottom"/>
            <w:shd w:val="clear" w:color="auto" w:fill="CCEEFF"/>
          </w:tcPr>
          <w:p>
            <w:pPr>
              <w:jc w:val="right"/>
              <w:ind w:right="67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Cost of sales</w:t>
            </w:r>
          </w:p>
        </w:tc>
        <w:tc>
          <w:tcPr>
            <w:tcW w:w="84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(2,305)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(5,685)</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(372)</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Impairment</w:t>
            </w:r>
          </w:p>
        </w:tc>
        <w:tc>
          <w:tcPr>
            <w:tcW w:w="84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(1,092)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(1,092)</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(510)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(3,616)</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Loss on disposal</w:t>
            </w:r>
          </w:p>
        </w:tc>
        <w:tc>
          <w:tcPr>
            <w:tcW w:w="84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 net</w:t>
            </w:r>
          </w:p>
        </w:tc>
        <w:tc>
          <w:tcPr>
            <w:tcW w:w="8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Loss from discontinued operations before income taxes</w:t>
            </w:r>
          </w:p>
        </w:tc>
        <w:tc>
          <w:tcPr>
            <w:tcW w:w="8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(3,775)</w:t>
            </w:r>
          </w:p>
        </w:tc>
        <w:tc>
          <w:tcPr>
            <w:tcW w:w="100" w:type="dxa"/>
            <w:vAlign w:val="bottom"/>
            <w:gridSpan w:val="2"/>
          </w:tcPr>
          <w:p>
            <w:pPr>
              <w:spacing w:after="0"/>
              <w:rPr>
                <w:sz w:val="18"/>
                <w:szCs w:val="18"/>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8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Consolidated net loss from discontinued operations</w:t>
            </w:r>
          </w:p>
        </w:tc>
        <w:tc>
          <w:tcPr>
            <w:tcW w:w="840" w:type="dxa"/>
            <w:vAlign w:val="bottom"/>
            <w:tcBorders>
              <w:top w:val="single" w:sz="8" w:color="auto"/>
            </w:tcBorders>
          </w:tcPr>
          <w:p>
            <w:pPr>
              <w:jc w:val="right"/>
              <w:ind w:right="67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(3,775</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5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following table presents the carrying amounts of Group Mobile’s major classes of assets and liabilities held for disposal as of June 30, 2018 and December 31, 2017, as presented in the condensed consolidated balance sheets: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June 30, 2018</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Other current assets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 held for disposal</w:t>
            </w:r>
          </w:p>
        </w:tc>
        <w:tc>
          <w:tcPr>
            <w:tcW w:w="18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current liabilities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Deferred revenue</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 held for disposal</w:t>
            </w:r>
          </w:p>
        </w:tc>
        <w:tc>
          <w:tcPr>
            <w:tcW w:w="18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provision for income taxes consists of federal, state, local, and foreign taxes in amounts necessary to align the Company’s year-to-date provision for income taxes with the effective tax rate that the Company expects to achieve for the full year. Each quarter, the Company updates its estimate of the annual effective tax rate and records cumulative adjustments as deemed necessary. The income tax provisions for the six-month period ended June 30, 2018 reflect an estimated global annual effective tax rate of approximately 0.48%.</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June 30, 2018, deferred tax assets generated from the Company’s activities in the United States were offset by a valuation allowance because realization depends on generating future taxable income, which, in the Company’s estimation, is not more likely than not to be generated before such net operating loss carryforwards expire. The Company expects its effective tax rate for its current fiscal year to be significantly lower than the statutory rate as a result of a full valuation allowance; therefore, any loss before income taxes does not generate a corresponding income tax benefit.</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Income tax benefit for the six-month period ended June 30, 2018 of $132 was attributable primarily to the reduction to the valuation allowance as a result of the Tax Cuts and Jobs Act’s impact on the lives of net operating losses. The final annual tax rate cannot be determined until the end of the fiscal year; therefore, the actual tax rate could differ from current estimates. Although the Company has an immaterial amount of uncertain tax positions, the Company does not expect to record any additional material provisions for unrecognized tax benefits in the next year.</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legal proceedings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the Company’s outstanding legal matters include speculative claims for substantial or indeterminate amounts of damages. The Company regularly evaluates developments in its legal matters that could affect the amount of any potential liability and makes adjustments as appropriate. Significant judgment is required to determine both the likelihood of there being a liability and the estimated amount of a loss related to such matters.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matters described below and assessed the probability and likelihood of the occurrence of liability. Based on management’s estimates, the Company has accrued $290 for such potential losses, which is included in accounts payable, accrued expenses, and other current liabilities in the condensed consolidated balance sheet as of June 30,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expenses legal fees in the period in which they are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Cordial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October 2014, XpresSpa terminated its former Airport Concession Disadvantaged Business Enterprise (“ACDBE”) partner, Cordial Endeavor Concessions of Atlanta, LLC (“Cordial”), in several store locations at Hartsfield-Jackson Atlanta International Airport.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Cordial filed a series of complaints with the City of Atlanta, both before and after the termination, in which Cordial alleged, among other things, that the termination was not valid and that XpresSpa unlawfully retaliated against Cordial when Cordial raised concerns about the joint venture. In response to the numerous complaints it received from Cordial, the City of Atlanta required the parties to engage in two mediations.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After the termination of the relationship with Cordial, XpresSpa sought to substitute two new ACDBE partners in place of Cordial.</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2015, Cordial filed a complaint with the United States Federal Aviation Administration (“FAA”), which oversees the City of Atlanta with regard to airport ACDBE programs, and, in December 2015, the FAA instructed that the City of Atlanta review XpresSpa’s request to substitute new partners in lieu of Cordial and Cordial’s claims of retaliation. In response to the FAA instruction, pursuant to a corrective action plan approved by the FAA, the City of Atlanta held a hearing in February 2016 and ruled in favor of XpresSpa such substitution and claims of retaliation. Cordial submitted a further complaint to the FAA claiming that the City of Atlanta was biased against Cordial and that the City of Atlanta’s decision was wrong. In August 2016, the parties met with the FAA. On October 4, 2016, the FAA sent a letter to the City of Atlanta directing that the City of Atlanta retract previous findings on Cordial’s allegations and engage an independent third party to investigate issues previously decided by Atlanta. The FAA also directed that Atlanta determine monies potentially due to Cordial.</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3, 2017, XpresSpa filed a lawsuit in the Supreme Court of the State of New York, County of New York against Cordial and several related parties. The lawsuit alleges breach of contract, unjust enrichment, breach of fiduciary duty, fraudulent inducement, fraudulent concealment, tortious interference, and breach of good faith and fair dealing. XpresSpa is seeking damages, declaratory judgment, rescission/termination of certain agreements, disgorgement of revenue, fees and costs and various other relief. On February 21, 2017, the defendants filed a motion to dismiss. On March 3, 2017, XpresSpa filed a first amended complaint against the defendants. On April 5, 2017, Cordial filed a motion to dismiss. On September 12, 2017, the Court held a hearing on the motion to dismiss. On November 2, 2017, the Court granted the motion to dismiss which was entered on November 13, 2017. On December 22, 2017, XpresSpa filed a notice of appeal.</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30, 2018, Cordial filed a lawsuit against XpresSpa, a subsidiary of XpresSpa, and several additional parties in the Superior Court of Fulton County, Georgia, alleging the violation of Cordial’s civil rights, tortious interference, breach of fiduciary duty, civil conspiracy, conversion, retaliation, and unjust enrichment. Cordial has threated to seek punitive damages, attorneys’ fees and litigation expenses, accounting, indemnification, and declaratory judgment as to the status of the membership interests of XpresSpa and Cordial in the joint venture and Cordial’s right to profit distributions and management fees from the joint venture. On May 3, 2018, the Court issued an order extending the time for the defendants to respond to Cordial’s lawsuit until June 25, 2018. On May 4, 2018, the defendants moved the lawsuit to the United States District Court for the Northern District of Georgia. On June 5, 2018, the Court granted an extension of time for the defendants’ response until August 17, 2018. On August 9, 2018, the Court granted an additional extension of time for the defendants’ response until September 7, 2018.</w:t>
      </w:r>
    </w:p>
    <w:p>
      <w:pPr>
        <w:spacing w:after="0" w:line="200" w:lineRule="exact"/>
        <w:rPr>
          <w:sz w:val="20"/>
          <w:szCs w:val="20"/>
          <w:color w:val="auto"/>
        </w:rPr>
      </w:pPr>
    </w:p>
    <w:p>
      <w:pPr>
        <w:spacing w:after="0" w:line="20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In re Chen et al.</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In March 2015, four former XpresSpa employees who worked at XpresSpa locations in John F. Kennedy International Airport and LaGuardia Airport filed a putative class and collective action wage-hour litigation in the United States District Court, Eastern District of New York. </w:t>
      </w:r>
      <w:r>
        <w:rPr>
          <w:rFonts w:ascii="Arial" w:cs="Arial" w:eastAsia="Arial" w:hAnsi="Arial"/>
          <w:sz w:val="16"/>
          <w:szCs w:val="16"/>
          <w:i w:val="1"/>
          <w:iCs w:val="1"/>
          <w:color w:val="auto"/>
        </w:rPr>
        <w:t>In re Chen et al.</w:t>
      </w:r>
      <w:r>
        <w:rPr>
          <w:rFonts w:ascii="Arial" w:cs="Arial" w:eastAsia="Arial" w:hAnsi="Arial"/>
          <w:sz w:val="16"/>
          <w:szCs w:val="16"/>
          <w:color w:val="auto"/>
        </w:rPr>
        <w:t>, CV 15-1347 (E.D.N.Y.). Plaintiffs claim that they and other spa technicians around the country were misclassified as exempt commissioned salespersons under Section 7(i) of the federal Fair Labor Standards Act (“FLSA”). Plaintiffs also assert class claims for unpaid overtime on behalf of New York spa technicians under the New York Labor Law, and discriminatory employment practices under New York State and City laws. On July 1, 2015, the plaintiffs moved to have the court authorize notice of the FLSA misclassification claim sent to all employees in the spa technician job classification at XpresSpa locations around the country in the last three years. Defendants opposed the motion. On February 16, 2016, the Magistrate Judge assigned to the case issued a Report &amp; Recommendation, recommending that the District Court Judge grant the plaintiffs’ motion. On March 1, 2016, the defendants filed Opposition to the Magistrate Judge’s Report</w:t>
      </w:r>
    </w:p>
    <w:p>
      <w:pPr>
        <w:spacing w:after="0" w:line="1" w:lineRule="exact"/>
        <w:rPr>
          <w:sz w:val="20"/>
          <w:szCs w:val="20"/>
          <w:color w:val="auto"/>
        </w:rPr>
      </w:pPr>
    </w:p>
    <w:p>
      <w:pPr>
        <w:jc w:val="both"/>
        <w:ind w:firstLine="8"/>
        <w:spacing w:after="0" w:line="268" w:lineRule="auto"/>
        <w:tabs>
          <w:tab w:leader="none" w:pos="194" w:val="left"/>
        </w:tabs>
        <w:numPr>
          <w:ilvl w:val="0"/>
          <w:numId w:val="9"/>
        </w:numPr>
        <w:rPr>
          <w:rFonts w:ascii="Arial" w:cs="Arial" w:eastAsia="Arial" w:hAnsi="Arial"/>
          <w:sz w:val="17"/>
          <w:szCs w:val="17"/>
          <w:color w:val="auto"/>
        </w:rPr>
      </w:pPr>
      <w:r>
        <w:rPr>
          <w:rFonts w:ascii="Arial" w:cs="Arial" w:eastAsia="Arial" w:hAnsi="Arial"/>
          <w:sz w:val="17"/>
          <w:szCs w:val="17"/>
          <w:color w:val="auto"/>
        </w:rPr>
        <w:t>Recommendation, arguing that the District Court Judge should reject the Magistrate Judge’s findings. On September 23, 2016, the court ruled in favor of the plaintiffs and conditionally certified the class. The parties held a mediation on February 28, 2017 and reached an agreement on a settlement in principle. On September 6, 2017, the parties entered into a settlement agreement. On September 15, 2017, the parties filed a motion for settlement approval with the Court. XpresSpa subsequently paid the agreed-upon settlement amount to the settlement claims administrator to be held in escrow pending a fairness hearing and final approval by the Court. On March 30, 2018 the Court entered a Memorandum and Order denying the motion without prejudice to renewal due to questions and concerns the Court had about certain settlement terms. On April 24, 2018 the parties jointly submitted a supplemental letter to the Court advocating for the fairness and adequacy of the settlement, and appeared in Court on April 25, 2018 for a hearing to discuss the settlement terms in greater detail with the assigned Magistrate Judge. At the conclusion of the hearing, the Court still had questions about the adequacy and fairness of the settlement terms, and the Judge asked that the parties jointly submit additional information to the Court addressing the open issues. The parties submitted such information to the Court on May 18, 2018 and are awaiting the Court’s ruling on the open issues.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Binn v. FORM Holdings Corp. et al.</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November 6, 2017, Moreton Binn and Marisol F, LLC, former stockholders of XpresSpa, filed a lawsuit against the Company and its directors in the United States District Court for the Southern District of New York. The lawsuit alleges violations of various sections of the Exchange Act, material omissions and misrepresentations (negligent and fraudulent), fraudulent omission, expropriation, breach of fiduciary duties, aiding and abetting, and unjust enrichment in the defendants’ conduct related to the Company’s acquisition of XpresSpa, and seeks rescission of the transaction, damages, equitable and injunctive relief, fees and costs, and various other relief. On January 17, 2018, the defendants filed a motion to dismiss the complaint. On February 7, 2018, the plaintiffs amended their complaint. On February 28, 2018, the defendants filed a motion to dismiss the amended complaint. On March 21, 2018, the plaintiffs filed an opposition to the motion to dismiss the amended complaint. On March 30, 2018, the defendants filed a reply in further support of the defendants’ motion to dismiss the amended complaint. On August 7, 2018, the Court ruled on the defendants’ motion to dismiss the amended complaint, dismissing eight of the plaintiffs’ ten claims and denying the defendants’ motion to dismiss with respect to the two remaining claims, related to the Exchange 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Route1</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23, 2018, Route1 and Group Mobile filed a Statement of Claim against the Company in the Ontario (Canada) Superior Court of Justice seeking monetary damages based on indemnity claims made by Route1 and Group Mobile pursuant to the Group Mobile Purchase Agreement, including an offset against funds payable to the Company by Route1 and Group Mobile pursuant to the Group Mobile Purchase Agreement. On August 13, 2018, the Company filed its Defence and Counterclaim, seeking the payment of such funds payable to the Company by Route1 and Group Mobile pursuant to the Group Mobile Purchase Agreement.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In the event that an action is brought against the Company or one of its subsidiaries, the Company will investigate the allegation and vigorously defend itself.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engaged in litigation related to certain of the intellectual property that it owns, for which no liability is recorded, as the Company does not expect a material negative outcome.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10, 2018, the Company named Janine Canale, who currently serves as the Company’s Controller and Principal Accounting Officer, to the additional post of Principal Financial Officer.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14, 2018, the Company and each of the Investors entered into an Amendment Agreement to the Securities Purchase Agreement and the Secured Convertible Notes due November 16, 2019 (the “Notes”) whereby (i) the Company will, by August 15, 2018, make an initial payment of principal and interest on the Notes to the Investors in shares of the Company’s common stock priced at $0.17 per share of Common Stock (resulting in the issuance of an aggregate of 2,067,353 shares of the Company’s common stock) , and (ii) the Investors waived the Company’s obligation to make any payments of principal and interest for the months of September 2018 through December 2018; provided, however, that any of the Investors, individually and for itself only, can cause the Company to make up to three payments of principal and interest to such Investor in the form of shares of the Company’s common stock priced at $0.17 per share.</w:t>
      </w:r>
    </w:p>
    <w:p>
      <w:pPr>
        <w:spacing w:after="0" w:line="39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425" w:gutter="0" w:footer="0" w:header="0"/>
        </w:sectPr>
      </w:pPr>
    </w:p>
    <w:bookmarkStart w:id="21" w:name="page22"/>
    <w:bookmarkEnd w:id="21"/>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Forward-looking statements are often identified by the use of words such as, but not limited to, “anticipates,” “believes,” “can,” “continues,” “could,” “estimates,” “expects,” “intends,” “may,” “will be,” “plans,” “projects,” “seeks,” “should,” “targets,”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for the year ended December 31, 2017 filed on March 29, 2018, as subsequently amended on April 30, 2018 (the “2017 Annual Report”) and this Quarterly Report on Form 10-Q and any future reports we file with the Securities and Exchange Commission (“SEC”). The forward-looking statements set forth herein speak only as of the date of this report. Except as required by law, we undertake no obligation to update any forward-looking statements to reflect events or circumstances after the date of such statements, except as required by law.</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All references in this Quarterly Report on Form 10-Q to “we,” “us” and “our” refer to XpresSpa Group, Inc., a Delaware corporation, and its condensed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5, 2018, we changed our name to XpresSpa Group, Inc. (“XpresSpa Group” or the “Company”) from FORM Holdings Corp. Our common stock, par value $0.01 per share, which had previously been listed under the trading symbol “FH” on the Nasdaq Capital Market, has been listed under the trading symbol “XSPA” since January 8, 2018. Rebranding to XpresSpa Group aligned our corporate strategy to build a pure-play health and wellness services company, which we commenced following our acquisition of XpresSpa Holdings, LLC (“XpresSpa”) on December 23, 2016.</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XpresSpa is a well-recognized airport spa brand with 57 locations, consisting of 52 domestic and 5 international locations as of June 30, 2018. It offers travelers premium spa services, including massage, nail and skin care, as well as spa and travel products. For the six-month period ended June 30, 2018, approximately 84% of XpresSpa’s total revenue was generated by services, primarily massage and nailcare, and 16% was generated by retail products, primarily travel accessories.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2017, we completed the sale of FLI Charge, Inc. (“FLI Charge”) and in March 2018, we completed the sale of Group Mobile Int’l LLC (“Group Mobile”). The results of operations for FLI Charge and Group Mobile are presented in the condensed consolidated statements of operations and comprehensive loss as consolidated net loss from discontinued operations. The carrying amounts of assets and liabilities belonging to Group Mobile are presented in the condensed consolidated balance sheets as assets held for disposal and liabilities held for disposal, respectively, as of June 30, 2018 and December 31,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own certain patent portfolios, which we look to monetize through sales and licensing agreements.</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Q2 2018 Adjusted EBITDA</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1"/>
              </w:rPr>
              <w:t>Three months ended June 30,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3"/>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Products and services revenue</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13,038,000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12,927,000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24,838,000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23,911,000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Labor</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(6,490,000)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(5,783,000)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(12,700,000)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(11,092,000)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Occupancy</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(2,160,000)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(1,983,000)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(4,220,000)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Products and other operating costs</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(1,709,000)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(2,635,000)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(3,216,000)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(4,390,000)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cost of sales</w:t>
            </w: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(10,359,000</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(10,401,000</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(20,136,000</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(19,236,000</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2,679,000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2,526,000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4,702,000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4,675,000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8"/>
                <w:szCs w:val="18"/>
                <w:b w:val="1"/>
                <w:bCs w:val="1"/>
                <w:color w:val="auto"/>
              </w:rPr>
              <w:t>Gross profit as a % of total revenue</w:t>
            </w: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Depreciation, amortization and impairment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(1,232,000)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(2,334,000)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(2,279,000)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(611,000)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(597,000)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(1,217,000)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(1,189,000)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 impairment</w:t>
            </w: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(19,630,000)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Total depreciation, amortization and impairment</w:t>
            </w:r>
          </w:p>
        </w:tc>
        <w:tc>
          <w:tcPr>
            <w:tcW w:w="6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(1,843,000)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(2,931,000)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(23,126,000)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(4,657,000)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Total general and administrative expense</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(3,904,000)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(3,864,000)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(8,500,000)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(8,857,000)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Other operating revenue and expense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revenue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Other operating expense</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(118,000)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(64,000)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(217,000)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other operating revenue, net</w:t>
            </w: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(118,000</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(117,000</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 from continuing operations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(3,068,000)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(4,387,000)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(26,188,000)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(8,956,000)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1,843,000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2,931,000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3,496,000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4,657,000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 impairment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19,630,000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Merger and acquisition, integration, and one-time costs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605,000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310,000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605,000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836,000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259,000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543,000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571,000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1,090,000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loss</w:t>
            </w:r>
          </w:p>
        </w:tc>
        <w:tc>
          <w:tcPr>
            <w:tcW w:w="8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(361,000)</w:t>
            </w:r>
          </w:p>
        </w:tc>
        <w:tc>
          <w:tcPr>
            <w:tcW w:w="2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(603,000)</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(1,886,000)</w:t>
            </w:r>
          </w:p>
        </w:tc>
        <w:tc>
          <w:tcPr>
            <w:tcW w:w="2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 GAAP and non-GAAP measurements to assess the trends in our business, including Adjusted EBITDA, a non-GAAP measure, which we define as earnings before interest, tax, depreciation and amortization expense, excluding merger and acquisition, integration and one-time costs and stock-based compensation.</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Adjusted EBITDA is a supplemental measure of financial performance that is not required by, or presented in accordance with, GAAP. Reconciliations of operating loss for the three and six-month periods ended June 30, 2018 and June 30, 2017 to Adjusted EBITDA loss are presented in the tables above.</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consider Adjusted EBITDA to be an important indicator for the performance of our business, but not a measure of performance or liquidity calculated in accordance with U.S. GAAP. We have included this non-GAAP financial measure because management utilizes this information for assessing our performance and liquidity, and as an indicator of our ability to make capital expenditures and finance working capital requirements. We believe that Adjusted EBITDA is a measurement that is commonly used by analysts and some investors in evaluating the performance and liquidity of companies such as us. In particular, we believe that it is useful for analysts and investors to understand this indicator because it excludes transactions not related to our core cash operating activities. We believe that excluding these transactions allows investors to meaningfully analyze the performance of our core cash operations. Adjusted EBITDA should not be considered in isolation or as an alternative to cash flow from operating activities or as an alternative to operating income or as an indicator of operating performance or any other measure of performance derived in accordance with GAAP. In evaluating our performance as measured by Adjusted EBITDA, we recognize and consider the limitations of this measurement. Adjusted EBITDA does not reflect our obligations for the payment of income taxes, interest expense, or other obligations such as capital expenditures. Accordingly, Adjusted EBITDA is only one of the measurements that management utilizes.</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 period ended June 30, 2018 compared to the three-month period ended June 30,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ind w:left="700"/>
              <w:spacing w:after="0"/>
              <w:rPr>
                <w:sz w:val="20"/>
                <w:szCs w:val="20"/>
                <w:color w:val="auto"/>
              </w:rPr>
            </w:pPr>
            <w:r>
              <w:rPr>
                <w:rFonts w:ascii="Arial" w:cs="Arial" w:eastAsia="Arial" w:hAnsi="Arial"/>
                <w:sz w:val="18"/>
                <w:szCs w:val="18"/>
                <w:b w:val="1"/>
                <w:bCs w:val="1"/>
                <w:color w:val="auto"/>
                <w:w w:val="88"/>
              </w:rPr>
              <w:t>Three months ended June 30,</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6"/>
              </w:rPr>
              <w:t>13,038,000</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8"/>
              </w:rPr>
              <w:t>12,927,000</w:t>
            </w: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three-month period ended June 30, 2018, we recorded total revenue of $13,038,000, which represents an increase of $111,000 (or 0.9%) compared to the three-month period ended June 30, 2017. The increase in revenue was primarily attributable to the number of XpresSpa locations open during each of the three-month periods. There were 57 XpresSpa locations open as of June 30, 2018 compared to 52 locations open as of June 30, 2017. This increase was offset by a decrease in comparable store sales, which we define as current period sales from stores opened more than 12 months compared to those same stores’ sales in the prior year period. This decrease was largely due to airline reconfigurations and enplanement changes in three of our key terminals, which had a direct impact on traffic and ultimately revenues.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ind w:left="700"/>
              <w:spacing w:after="0"/>
              <w:rPr>
                <w:sz w:val="20"/>
                <w:szCs w:val="20"/>
                <w:color w:val="auto"/>
              </w:rPr>
            </w:pPr>
            <w:r>
              <w:rPr>
                <w:rFonts w:ascii="Arial" w:cs="Arial" w:eastAsia="Arial" w:hAnsi="Arial"/>
                <w:sz w:val="18"/>
                <w:szCs w:val="18"/>
                <w:b w:val="1"/>
                <w:bCs w:val="1"/>
                <w:color w:val="auto"/>
                <w:w w:val="88"/>
              </w:rPr>
              <w:t>Three months ended June 30,</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6"/>
              </w:rPr>
              <w:t>10,359,000</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8"/>
              </w:rPr>
              <w:t>10,519,000</w:t>
            </w: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three-month period ended June 30, 2018, we recorded total cost of sales of $10,359,000, which represents a decrease of $160,000 (or 1.5%) compared to the three-month period ended June 30, 2017. This is consistent with the initiatives taken to streamline processes and reduce store-level costs which included reduced warehousing and shipping charges as we completed the transition of inventory sourcing to our strategic partner.</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Included in cost of sales for the three-month period ended June 30, 2017 were intellectual property costs of $118,000, which included legal and consulting costs. There were no costs associated with intellectual property for the three-month period ended June 30,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Arial" w:cs="Arial" w:eastAsia="Arial" w:hAnsi="Arial"/>
                <w:sz w:val="18"/>
                <w:szCs w:val="18"/>
                <w:b w:val="1"/>
                <w:bCs w:val="1"/>
                <w:color w:val="auto"/>
              </w:rPr>
              <w:t>Depreciation and amortization</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1,843,000</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2,931,000</w:t>
            </w: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three-month period ended June 30, 2018, depreciation and amortization expense totaled $1,843,000, which represents a decrease of $1,088,000 (or 37.1%), compared to the depreciation and amortization expense recorded during the three-month period ended June 30, 2017. The decrease was primarily due to the disposal of certain property and equipment during the second quarter of 2017 related to the decision by management to perform a complete renovation of our flagship JFK location. Upon management’s decision to complete the renovation, useful lives were revised to fully depreciate all remaining assets by the store close date. This resulted in an additional $1,100,000 of depreciation expense in the second quarter of 2017.</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3,904,000</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3,864,000</w:t>
            </w: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jc w:val="both"/>
        <w:spacing w:after="0" w:line="255" w:lineRule="auto"/>
        <w:rPr>
          <w:sz w:val="20"/>
          <w:szCs w:val="20"/>
          <w:color w:val="auto"/>
        </w:rPr>
      </w:pPr>
      <w:r>
        <w:rPr>
          <w:rFonts w:ascii="Arial" w:cs="Arial" w:eastAsia="Arial" w:hAnsi="Arial"/>
          <w:sz w:val="18"/>
          <w:szCs w:val="18"/>
          <w:color w:val="auto"/>
        </w:rPr>
        <w:t>During the three-month period ended June 30, 2018, general and administrative expenses increased by $40,000 (or 1.0%) compared to the three-month period ended June 30, 2017. This increase was a result of the general and administrative costs associated with new store openings during the period, severance costs of $350,000, and one-time project costs of $255,000 related to the buildout and implementation of a business analytics tool. These increased general and administrative expenses were partially offset by streamlined processes at the corporate level to reduce administrative costs, as well as a reduction in stock-based compensation expense of $235,000 from $543,000 for the three-month period ended June 30, 2017 to $259,000 for the three-month period ended June 30, 2018.</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Arial" w:cs="Arial" w:eastAsia="Arial" w:hAnsi="Arial"/>
                <w:sz w:val="18"/>
                <w:szCs w:val="18"/>
                <w:b w:val="1"/>
                <w:bCs w:val="1"/>
                <w:color w:val="auto"/>
              </w:rPr>
              <w:t>Non-operating expense, net</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Non-operating expense, net</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184,000</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(226,000</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non-operating expenses include interest expense, gain or loss on the revaluation of derivative warrant liabilities and other non-operating income and expenses.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three-month period ended June 30, 2018, we recorded net non-operating income of $184,000 compared to net non-operating expense of $226,000 recorded during the three-month period ended June 30, 2017.</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three-month period ended June 30, 2018, we recorded interest expense of $183,000 related to XpresSpa’s credit agreement and secured promissory note (the “Debt”) with Rockmore Investment Master Fund Ltd. (“Rockmore”), amortization of debt issuance costs and interest on the Convertible Notes of $223,000, and other non-operating expenses of $308,000, which includes $107,000 of loss on impairment related to the cost method investment in Marathon. These non-operating expenses were wholly offset by a gain of $898,000 on the revaluation of the derivative warrant liabilities that is reported as non-operating income.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For the three-month period ended June 30, 2017, we recorded interest expense of $177,000 related to the Debt and other non-operating expenses of $182,000.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non-operating expense was partially offset by a gain of $133,000 on the revaluation of the derivative warrant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Six-month period ended June 30, 2018 compared to the six-month period ended June 30,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ind w:left="800"/>
              <w:spacing w:after="0"/>
              <w:rPr>
                <w:sz w:val="20"/>
                <w:szCs w:val="20"/>
                <w:color w:val="auto"/>
              </w:rPr>
            </w:pPr>
            <w:r>
              <w:rPr>
                <w:rFonts w:ascii="Arial" w:cs="Arial" w:eastAsia="Arial" w:hAnsi="Arial"/>
                <w:sz w:val="18"/>
                <w:szCs w:val="18"/>
                <w:b w:val="1"/>
                <w:bCs w:val="1"/>
                <w:color w:val="auto"/>
                <w:w w:val="91"/>
              </w:rPr>
              <w:t>Six months ended June 30,</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6"/>
              </w:rPr>
              <w:t>25,638,000</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6"/>
              </w:rPr>
              <w:t>24,011,000</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six-month period ended June 30, 2018, we recorded total revenue of $25,638,000, which represents an increase of $1,627,000 (or 6.8%) compared to the six-month period ended June 30, 2017. The increase in revenue was mainly due to the opening of new XpresSpa locations during the second half of fiscal 2017 and the first half of fiscal 2018, which resulted in a net increase of 5 new XpresSpa locations.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Additionally, during the six-month period ended June 30, 2018, we sold certain of our patents for $250,000 and shares of common stock in Marathon Patent Group, Inc. that were fair valued at $450,000. Also, in each six-month period ended June 30, 2018 and June 30, 2017, we entered into an executed confidential patent license agreement with a third-party for which we received a one-time lump sum payment of $100,000.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ind w:left="800"/>
              <w:spacing w:after="0"/>
              <w:rPr>
                <w:sz w:val="20"/>
                <w:szCs w:val="20"/>
                <w:color w:val="auto"/>
              </w:rPr>
            </w:pPr>
            <w:r>
              <w:rPr>
                <w:rFonts w:ascii="Arial" w:cs="Arial" w:eastAsia="Arial" w:hAnsi="Arial"/>
                <w:sz w:val="18"/>
                <w:szCs w:val="18"/>
                <w:b w:val="1"/>
                <w:bCs w:val="1"/>
                <w:color w:val="auto"/>
                <w:w w:val="91"/>
              </w:rPr>
              <w:t>Six months ended June 30,</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6"/>
              </w:rPr>
              <w:t>20,136,000</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8"/>
              </w:rPr>
              <w:t>19,453,000</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color w:val="auto"/>
        </w:rPr>
        <w:t>During the six-month period ended June 30, 2018, we recorded total cost of sales of $20,136,000, which represents an increase of $683,000 (or 3.5%) compared to the six-month period ended June 30, 2017. This is consistent with the increase in revenues, as we have experienced an increase in cost of sales associated with labor and occupancy due to the opening of new stores during the second half of 2017 and the first two quarters of fiscal 2018. As of June 30, 3018 we had 57 locations compared to 52 locations as of June 30, 2017.</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 of sales is expected to grow over time as our revenues increase. We expect that total cost of sales as a percentage of revenues will decline gradually over time as a result of the store-level performance improvements which we continue to prioritize.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Arial" w:cs="Arial" w:eastAsia="Arial" w:hAnsi="Arial"/>
                <w:sz w:val="18"/>
                <w:szCs w:val="18"/>
                <w:b w:val="1"/>
                <w:bCs w:val="1"/>
                <w:color w:val="auto"/>
              </w:rPr>
              <w:t>Depreciation and amortization</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Six months ended June 30,</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3,496,000</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4,657,000</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six-month period ended June 30, 2018, depreciation and amortization expense totaled $3,496,000, which represents a decrease of $1,161,000 (or 24.9%), compared to the depreciation and amortization expense recorded during the six-month period ended June 30, 2017. The decrease was primarily due to the disposal of certain property and equipment during the second quarter of 2017 related to the decision by management to perform a complete renovation of our flagship JFK location. Upon management’s decision to complete the renovation, useful lives were revised to fully depreciate all remaining assets by the store close date. This resulted in an additional $1,100,000 of depreciation expense in the second quarter of 2017.</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Arial" w:cs="Arial" w:eastAsia="Arial" w:hAnsi="Arial"/>
                <w:sz w:val="18"/>
                <w:szCs w:val="18"/>
                <w:b w:val="1"/>
                <w:bCs w:val="1"/>
                <w:color w:val="auto"/>
              </w:rPr>
              <w:t>Goodwill impairment</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ind w:left="800"/>
              <w:spacing w:after="0"/>
              <w:rPr>
                <w:sz w:val="20"/>
                <w:szCs w:val="20"/>
                <w:color w:val="auto"/>
              </w:rPr>
            </w:pPr>
            <w:r>
              <w:rPr>
                <w:rFonts w:ascii="Arial" w:cs="Arial" w:eastAsia="Arial" w:hAnsi="Arial"/>
                <w:sz w:val="18"/>
                <w:szCs w:val="18"/>
                <w:b w:val="1"/>
                <w:bCs w:val="1"/>
                <w:color w:val="auto"/>
                <w:w w:val="91"/>
              </w:rPr>
              <w:t>Six months ended June 30,</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6"/>
              </w:rPr>
              <w:t>19,630,000</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19,630,000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six-month period ended June 30, 2018, we recorded $19,630,000 of goodwill impairment expense. There was no goodwill impairment recorded during the six-month period ended June 30, 2017.</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5, 2018, we changed our name to XpresSpa Group as part of a rebranding effort to align our corporate strategy to build a pure-play health and wellness services company, which we commenced following our acquisition of XpresSpa on December 23, 2016. Following the subsequent sale of Group Mobile on March 22, 2018, which was the only remaining component of our technology operating segment, our management made the decision that our intellectual property operating segment would no longer be an area of focus and would no longer operate as a separate operating segment as it is not expected to generate any material revenues. This completed our transition into a pure-play health and wellness company with only one operating segment, consisting of our XpresSpa business.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first quarter of fiscal year 2018, our stock price declined from an opening price of $1.36 on January 2, 2018 to $0.72 on March 29, 2018. Subsequently, on April 19, 2018, we entered into a separation agreement with our Chief Executive Officer regarding his resignation as Chief Executive Officer and as our Director.</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events were identified by our management as triggering events requiring that goodwill be tested for impairment as of March 31, 2018. In addition to our rebranding efforts to a pure-play health and wellness services company, our stock price continued to decline even after the announcement of the new Chief Executive Officer. As the stock price had not rebounded, we determined that the impairment related to the three-month period ended March 31, 2018.</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performed testing on the estimated fair value of goodwill and, as a result, we recorded an impairment charge of $19,630,000 to reduce the carrying value of goodwill to its fair value, which was determined to be zero.</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impairment to goodwill was a result of the structural changes to the Company, including completion of the transition from a holding company to a pure play health and wellness company and the change in Chief Executive Officer.</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Six months ended June 30,</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8,500,000</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8,857,000</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six-month period ended June 30, 2018, general and administrative expenses decreased by $357,000 (or 4.0%) compared to the six-month period ended June 30, 2017. This decrease is a result of streamlined processes at the corporate level to reduce administrative costs, as well as a reduction in stock-based compensation expense of $519,000 from $1,090,000 for the six-month period ended June 30, 2017 to $571,000 for the six-month period ended June 30, 2018. The overall decrease in general and administrative expenses was partially offset by severance costs of $350,000 and one-time project costs of $255,000 related to the buildout and implementation of a business analytics tool, which we do not expect to recur in future periods.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Arial" w:cs="Arial" w:eastAsia="Arial" w:hAnsi="Arial"/>
                <w:sz w:val="18"/>
                <w:szCs w:val="18"/>
                <w:b w:val="1"/>
                <w:bCs w:val="1"/>
                <w:color w:val="auto"/>
              </w:rPr>
              <w:t>Non-operating expense, net</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Six months ended June 30,</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Non-operating expense, net</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(89,000</w:t>
            </w:r>
          </w:p>
        </w:tc>
        <w:tc>
          <w:tcPr>
            <w:tcW w:w="2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(301,000</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non-operating expenses include interest expense, gain or loss on the revaluation of derivative warrant liabilities and other non-operating income and expenses.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six-month period ended June 30, 2018, we recorded net non-operating expense of $89,000 compared to net non-operating expense of $301,000 recorded during the six-month period ended June 30, 2017.</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six-month period ended June 30, 2018, we recorded interest expense of $365,000 related to XpresSpa’s credit agreement and secured promissory note (the “Debt”) with Rockmore Investment Master Fund Ltd. (“Rockmore”), amortization of debt issuance costs of $223,000, and other non-operating expenses of $399,000, which includes $107,000 of loss on impairment related to the cost method investment in Marathon. These non-operating expenses were offset by a gain of $898,000 on the revaluation of the derivative warrant liabilities that is reported as non-operating income.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For the six-month period ended June 30, 2017, we recorded interest expense of $366,000 related to the Debt and other non-operating expenses of $94,000.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non-operating expense was partially offset by a gain of $159,000 on the revaluation of the derivative warrant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liquidity and capital requirements are for new XpresSpa locations. As of June 30, 2018, we had cash and cash equivalents of $4,458,000. We hold significant portions of our cash balance in overseas accounts, totaling $1,232,000, which is not insured by the Federal Deposit Insurance Corporation (“FDIC”). If we were to distribute the amounts held overseas, we would need to follow an approval process as it is defined in our operating and partnership agreements, which may delay the availability of our cash to us.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six-month period ended June 30, 2018, we incurred $2,135,000 of capital expenditures, paid $309,000 in debt issuance costs associated with the Convertible Notes, paid $588,000 of interest on the Debt and amortization of debt issuance costs related to the Convertible Notes, distributed $1,140,000 to noncontrolling interests and spent $3,290,000 on our operations. This was offset by the receipt of $250,000 from the sale of patents in January 2018 and the receipt of $800,000 from a note receivable that was paid in full in February 2018, as well as the receipt of $4,350,000 in gross proceeds from the issuance of Convertible Notes in May 2018. We expect to utilize our cash and cash equivalents, along with cash flows from operations, to provide capital to support the growth of our business, primarily through opening new XpresSpa locations, maintaining our existing XpresSpa locations and supporting corporate functions. As of June 30, 2018, we had approximately $4,458,000 of cash and cash equivalents, $1,668,000 of inventory and prepaid expenses and $109,000 of assets held for disposal, which amount to total current assets of $6,235,000. Our total current liabilities balance, which includes accounts payable, accrued expenses, and the current portion of Convertible Notes, was $9,873,000 as of June 30, 2018. Included in total current liabilities is $1,754,000 of convertible notes classified as short-term for which principal repayments may be made in our common stock at our election. In addition, included in total current liabilities is approximately $1,762,000 which relates to obligations that will not settle in cash, and an additional $465,000 of liabilities that are not expected to settle in the next twelve months.</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both"/>
        <w:spacing w:after="0" w:line="270" w:lineRule="auto"/>
        <w:rPr>
          <w:sz w:val="20"/>
          <w:szCs w:val="20"/>
          <w:color w:val="auto"/>
        </w:rPr>
      </w:pPr>
      <w:r>
        <w:rPr>
          <w:rFonts w:ascii="Arial" w:cs="Arial" w:eastAsia="Arial" w:hAnsi="Arial"/>
          <w:sz w:val="17"/>
          <w:szCs w:val="17"/>
          <w:color w:val="auto"/>
        </w:rPr>
        <w:t>On May 15, 2018, we entered into a securities purchase agreement (the “Securities Purchase Agreement”) with certain institutional investors (the “Investors”), pursuant to which we agreed to sell up to (i) an aggregate principal amount of $4,438,000 in 5% Secured Convertible Notes due on November 16, 2019, which includes $88,000 to be issued to Palladium Capital Advisors as Placement Agent (the “Convertible Notes”), convertible into shares of our common stock, par value $0.01 per share (the “Common Stock”) at a conversion price of $0.62 per share, (ii) Class A Warrants (the “Class A Warrants”) to purchase 7,157,259 shares of Common Stock at an exercise price of $0.62 per share and (iii) Class B Warrants (the “Class B Warrants,” and together with the Class A Warrants, the “Warrants”) to purchase 3,578,630 shares of Common Stock at an exercise price of $0.62 per share. The Convertible Notes bear interest at a rate of 5% per annum. The Convertible Notes are senior secured obligations of ours and are secured by certain of our personal property. Unless earlier converted or redeemed, the Convertible Notes will mature on November 16, 2019. The transaction closed on May 17, 2018, at which time we received $4,350,000 in gross proceeds from the Investors.</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principal amount of the outstanding Convertible Notes is to be repaid monthly in the amount of approximately $296,000, beginning on September 17, 2018, and we may make such payments and related interest payments in cash or, subject to certain conditions, in registered shares of our common stock (or a combination thereof), at our election. If we choose to repay the Convertible Notes in shares of our common stock, the shares will be issued at a 10% discount to the volume weighted average price of our common stock for the five (5) trading days commencing eight (8) days prior to the relevant repayment date and</w:t>
      </w:r>
    </w:p>
    <w:p>
      <w:pPr>
        <w:spacing w:after="0" w:line="2" w:lineRule="exact"/>
        <w:rPr>
          <w:sz w:val="20"/>
          <w:szCs w:val="20"/>
          <w:color w:val="auto"/>
        </w:rPr>
      </w:pPr>
    </w:p>
    <w:p>
      <w:pPr>
        <w:jc w:val="both"/>
        <w:ind w:right="20"/>
        <w:spacing w:after="0" w:line="217" w:lineRule="auto"/>
        <w:rPr>
          <w:sz w:val="20"/>
          <w:szCs w:val="20"/>
          <w:color w:val="auto"/>
        </w:rPr>
      </w:pPr>
      <w:r>
        <w:rPr>
          <w:rFonts w:ascii="Arial" w:cs="Arial" w:eastAsia="Arial" w:hAnsi="Arial"/>
          <w:sz w:val="18"/>
          <w:szCs w:val="18"/>
          <w:color w:val="auto"/>
        </w:rPr>
        <w:t>ending on the fourth (4</w:t>
      </w:r>
      <w:r>
        <w:rPr>
          <w:rFonts w:ascii="Arial" w:cs="Arial" w:eastAsia="Arial" w:hAnsi="Arial"/>
          <w:sz w:val="30"/>
          <w:szCs w:val="30"/>
          <w:color w:val="auto"/>
          <w:vertAlign w:val="superscript"/>
        </w:rPr>
        <w:t>th</w:t>
      </w:r>
      <w:r>
        <w:rPr>
          <w:rFonts w:ascii="Arial" w:cs="Arial" w:eastAsia="Arial" w:hAnsi="Arial"/>
          <w:sz w:val="18"/>
          <w:szCs w:val="18"/>
          <w:color w:val="auto"/>
        </w:rPr>
        <w:t>) trading day prior to such repayment date, subject to a minimum floor price of not less than 20% of the conversion price of the Convertible Notes on the issue date. We may also repay the Convertible Notes in advance of the maturity schedule subject to early repayment penalties of 15%.</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believes that our current cash balance, cash to be provided by future operating activities, and cash proceeds from the anticipated liquidation of certain investments, will be sufficient to fund our planned operations and pay our liabilities as they become due, including scheduled Convertible Note principal repayments for at least the next twelve months. At our election, principal repayments of the Convertible Notes may be made in cash or, subject to certain conditions, in registered shares of our common stock. In addition, we have access to additional sources of financing and may attempt to renegotiate terms of various contracts.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condensed consolidated financial statements should be read in conjunction with the audited consolidated financial statements included in our Annual Report on Form 10-K filed with the SEC on March 29, 2018, as subsequently amended on April 30, 2018, which includes a description of our critical accounting policies that involve subjective and complex judgments that could potentially affect reported results. While there have been no material changes to our critical accounting policies as to the methodologies or assumptions we apply under them, we continue to monitor such methodologies and assumptions.</w:t>
      </w:r>
    </w:p>
    <w:p>
      <w:pPr>
        <w:spacing w:after="0" w:line="1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as we are a smaller reporting company.</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disclosure controls and procedures (as defined in Rule 13a-15(e) promulgated under the Exchange Act that are designed to ensure that information required to be disclosed in Exchange Act reports is recorded, processed, summarized and reported within the time periods specified in the SEC’s rules and forms, and that such information is accumulated and communicated to our management, including our Chief Executive Officer and Principal Financial Officer, as appropriate, to allow timely decisions regarding required disclosure.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2018, we carried out an evaluation, under the supervision and with the participation of our management, including our Chief Executive Officer and Principal Financial Officer, of the effectiveness of the design and operation of our disclosure controls and procedures. Based on the foregoing, our Chief Executive Officer and Principal Financial Officer concluded that our disclosure controls and procedures were effective as of the end of the period covered by this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has been no change in our internal control over financial reporting (as defined in Rule 13a-15(f) and 15d-15(f) under the Exchange Act) that occurred during the quarter ended June 30, 2018 that has materially affected, or is reasonably likely to materially affect, our internal control over financial reporting.</w:t>
      </w:r>
    </w:p>
    <w:p>
      <w:pPr>
        <w:spacing w:after="0" w:line="33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regarding legal proceedings, see Note 12 “Commitments and Contingencies” in our notes to the condensed consolidated financial statements included in “Item 1. Financial Statements.”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than as set forth below, there have been no material changes to the risk factors discussed in Item 1A. Risk Factors in our Annual Report on Form 10-K for the year ended December 31, 2017.</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and financial condition could be constrained by XpresSpa’s outstanding debt, and/or failure to make payments on XpresSpa’s outstanding debt.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XpresSpa is obligated under the Senior Secured Note payable to Rockmore Investment Master Fund Ltd. (“Rockmore”), a related party, which has an outstanding balance of $6,500,000, with a maturity date of December 31, 2019. The Senior Secured Note accrues interest of 11.24% per annum. XpresSpa is obligated to make periodic payments on such debt obligations to each debtholder. While we do not anticipate failing to make any such debt payments, the failure to do so may result in the default of loan obligations, leading to financial and operational hardship. In addition, XpresSpa has granted Rockmore a security interest in all of its tangible and intangible personal property to secure its obligations under the Senior Secured Note. The Senior Secured Note is an outstanding obligation of XpresSpa but is guaranteed by us.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business and financial condition could be constrained by our outstanding debt, failure to make payments on such outstanding debt, and/or failure to obtain shareholder approval for the issuance of shares of our common stock related to such debt.</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obligated under the Convertible Notes issued to the Investors pursuant to the Securities Purchase Agreement, which collectively have an outstanding balance of approximately $4,350,000, with maturity dates of November 16, 2019 and which accrue interest at an annual rate of 5%. We are obligated to make periodic payments on such debt obligations to each debtholder; and we can elect to make such payments either in cash or in stock. If our shareholders fail to approve our proposal to issue new shares of our common stock, the issuance of which has been proposed to be voted upon by our shareholders at our upcoming annual meeting, we would be forced to make such payments in cash. While we do not anticipate failing to make any such debt payments, the failure to do so may result in the default of loan obligations, leading to financial and operational hardship. In addition, we have granted a security interest to the Investors in all of our tangible and intangible personal property to secure our obligations under the Convertible Notes issued to the Investors pursuant to the Securities Purchase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transition to a new management team may cause temporary inefficiency.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recently experienced transition in our management team, and expect to continue to experience such transition as we recruit new talent and continue to onboard existing managers into new roles. Such transition may lead to temporary operational inefficiencies as certain individuals assume an increased and/or different scope of responsibility.</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14, 2018, the Company and each of the Investors entered into an Amendment Agreement to the Securities Purchase Agreement and the Secured Convertible Notes due November 16, 2019 (the “Notes”) whereby (i) the Company will, by August 15, 2018, make an initial payment of principal and interest on the Notes to the Investors in shares of the Company’s common stock priced at $0.17 per share of Common Stock (resulting in the issuance of an aggregate of 2,067,353 shares of the Company’s common stock) , and (ii) the Investors waived the Company’s obligation to make any payments of principal and interest for the months of September 2018 through December 2018; provided, however, that any of the Investors, individually and for itself only, can cause the Company to make up to three payments of principal and interest to such Investor in the form of shares of the Company’s common stock priced at $0.17 per share.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116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00" w:type="dxa"/>
            <w:vAlign w:val="bottom"/>
          </w:tcPr>
          <w:p>
            <w:pPr>
              <w:spacing w:after="0"/>
              <w:rPr>
                <w:sz w:val="20"/>
                <w:szCs w:val="20"/>
                <w:color w:val="auto"/>
              </w:rPr>
            </w:pPr>
          </w:p>
        </w:tc>
        <w:tc>
          <w:tcPr>
            <w:tcW w:w="10160" w:type="dxa"/>
            <w:vAlign w:val="bottom"/>
            <w:gridSpan w:val="6"/>
          </w:tcPr>
          <w:p>
            <w:pPr>
              <w:ind w:left="40"/>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116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gridSpan w:val="4"/>
          </w:tcPr>
          <w:p>
            <w:pPr>
              <w:ind w:left="118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320" w:type="dxa"/>
            <w:vAlign w:val="bottom"/>
            <w:tcBorders>
              <w:bottom w:val="single" w:sz="8" w:color="0000EE"/>
            </w:tcBorders>
          </w:tcPr>
          <w:p>
            <w:pPr>
              <w:spacing w:after="0"/>
              <w:rPr>
                <w:rFonts w:ascii="Arial" w:cs="Arial" w:eastAsia="Arial" w:hAnsi="Arial"/>
                <w:sz w:val="18"/>
                <w:szCs w:val="18"/>
                <w:color w:val="0000EE"/>
                <w:w w:val="93"/>
              </w:rPr>
            </w:pPr>
            <w:hyperlink w:anchor="page32">
              <w:r>
                <w:rPr>
                  <w:rFonts w:ascii="Arial" w:cs="Arial" w:eastAsia="Arial" w:hAnsi="Arial"/>
                  <w:sz w:val="18"/>
                  <w:szCs w:val="18"/>
                  <w:color w:val="0000EE"/>
                  <w:w w:val="93"/>
                </w:rPr>
                <w:t>4.</w:t>
              </w:r>
              <w:r>
                <w:rPr>
                  <w:rFonts w:ascii="Arial" w:cs="Arial" w:eastAsia="Arial" w:hAnsi="Arial"/>
                  <w:sz w:val="18"/>
                  <w:szCs w:val="18"/>
                  <w:u w:val="single" w:color="auto"/>
                  <w:color w:val="0000EE"/>
                  <w:w w:val="93"/>
                </w:rPr>
                <w:t>1*</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Form of Amendment Agreement to Secured Convertible Note Due November 16, 2019</w:t>
              </w:r>
            </w:hyperlink>
          </w:p>
        </w:tc>
        <w:tc>
          <w:tcPr>
            <w:tcW w:w="3860" w:type="dxa"/>
            <w:vAlign w:val="bottom"/>
            <w:gridSpan w:val="3"/>
          </w:tcPr>
          <w:p>
            <w:pPr>
              <w:spacing w:after="0"/>
              <w:rPr>
                <w:sz w:val="24"/>
                <w:szCs w:val="24"/>
                <w:color w:val="auto"/>
              </w:rPr>
            </w:pPr>
          </w:p>
        </w:tc>
      </w:tr>
      <w:tr>
        <w:trPr>
          <w:trHeight w:val="412"/>
        </w:trPr>
        <w:tc>
          <w:tcPr>
            <w:tcW w:w="42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36">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1*</w:t>
              </w:r>
            </w:hyperlink>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3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Separation agreement dated as of June 19, 2018, by and between XpresSpa Group, Inc. and Anastasia Nyrkovskaya.</w:t>
              </w:r>
            </w:hyperlink>
          </w:p>
        </w:tc>
        <w:tc>
          <w:tcPr>
            <w:tcW w:w="1780" w:type="dxa"/>
            <w:vAlign w:val="bottom"/>
            <w:gridSpan w:val="2"/>
          </w:tcPr>
          <w:p>
            <w:pPr>
              <w:spacing w:after="0"/>
              <w:rPr>
                <w:sz w:val="24"/>
                <w:szCs w:val="24"/>
                <w:color w:val="auto"/>
              </w:rPr>
            </w:pPr>
          </w:p>
        </w:tc>
      </w:tr>
      <w:tr>
        <w:trPr>
          <w:trHeight w:val="412"/>
        </w:trPr>
        <w:tc>
          <w:tcPr>
            <w:tcW w:w="42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43">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1*</w:t>
              </w:r>
            </w:hyperlink>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Certification of Principal Executive Officer pursuant to Exchange Act, Rules 13a - 14(a) and 15d - 14(a), as adopted pursuant to Section 302</w:t>
              </w:r>
            </w:hyperlink>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6"/>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of the Sarbanes-Oxley Act of 2002.</w:t>
              </w:r>
            </w:hyperlink>
          </w:p>
        </w:tc>
      </w:tr>
      <w:tr>
        <w:trPr>
          <w:trHeight w:val="20"/>
        </w:trPr>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44">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2*</w:t>
              </w:r>
            </w:hyperlink>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Certification of Principal Financial Officer pursuant to Exchange Act Rules 13a - 14(a) and 15d - 14(a), as adopted pursuant to Section 302</w:t>
              </w:r>
            </w:hyperlink>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gridSpan w:val="6"/>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of the Sarbanes-Oxley Act of 2002.</w:t>
              </w:r>
            </w:hyperlink>
          </w:p>
        </w:tc>
      </w:tr>
      <w:tr>
        <w:trPr>
          <w:trHeight w:val="20"/>
        </w:trPr>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60" w:type="dxa"/>
            <w:vAlign w:val="bottom"/>
            <w:gridSpan w:val="2"/>
          </w:tcPr>
          <w:p>
            <w:pPr>
              <w:spacing w:after="0"/>
              <w:rPr>
                <w:rFonts w:ascii="Arial" w:cs="Arial" w:eastAsia="Arial" w:hAnsi="Arial"/>
                <w:sz w:val="18"/>
                <w:szCs w:val="18"/>
                <w:color w:val="0000EE"/>
                <w:w w:val="99"/>
              </w:rPr>
            </w:pPr>
            <w:hyperlink w:anchor="page45">
              <w:r>
                <w:rPr>
                  <w:rFonts w:ascii="Arial" w:cs="Arial" w:eastAsia="Arial" w:hAnsi="Arial"/>
                  <w:sz w:val="18"/>
                  <w:szCs w:val="18"/>
                  <w:color w:val="0000EE"/>
                  <w:w w:val="99"/>
                </w:rPr>
                <w:t>32**</w:t>
              </w:r>
            </w:hyperlink>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6"/>
          </w:tcPr>
          <w:p>
            <w:pPr>
              <w:spacing w:after="0"/>
              <w:rPr>
                <w:rFonts w:ascii="Arial" w:cs="Arial" w:eastAsia="Arial" w:hAnsi="Arial"/>
                <w:sz w:val="18"/>
                <w:szCs w:val="18"/>
                <w:color w:val="0000EE"/>
                <w:w w:val="94"/>
              </w:rPr>
            </w:pPr>
            <w:hyperlink w:anchor="page45">
              <w:r>
                <w:rPr>
                  <w:rFonts w:ascii="Arial" w:cs="Arial" w:eastAsia="Arial" w:hAnsi="Arial"/>
                  <w:sz w:val="18"/>
                  <w:szCs w:val="18"/>
                  <w:color w:val="0000EE"/>
                  <w:w w:val="94"/>
                </w:rPr>
                <w:t>Certifications of Principal Executive Officer and Principal Financial Officer Pursuant to 18 U.S.C. Section 1350, as adopted pursuant to</w:t>
              </w:r>
            </w:hyperlink>
          </w:p>
        </w:tc>
      </w:tr>
      <w:tr>
        <w:trPr>
          <w:trHeight w:val="196"/>
        </w:trPr>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Section 906 of the Sarbanes-Oxley Act of 2002.</w:t>
              </w:r>
            </w:hyperlink>
          </w:p>
        </w:tc>
        <w:tc>
          <w:tcPr>
            <w:tcW w:w="20" w:type="dxa"/>
            <w:vAlign w:val="bottom"/>
          </w:tcPr>
          <w:p>
            <w:pPr>
              <w:spacing w:after="0"/>
              <w:rPr>
                <w:sz w:val="17"/>
                <w:szCs w:val="17"/>
                <w:color w:val="auto"/>
              </w:rPr>
            </w:pPr>
          </w:p>
        </w:tc>
      </w:tr>
      <w:tr>
        <w:trPr>
          <w:trHeight w:val="453"/>
        </w:trPr>
        <w:tc>
          <w:tcPr>
            <w:tcW w:w="1160" w:type="dxa"/>
            <w:vAlign w:val="bottom"/>
            <w:gridSpan w:val="4"/>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34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XBRL Instance Document</w:t>
            </w:r>
          </w:p>
        </w:tc>
        <w:tc>
          <w:tcPr>
            <w:tcW w:w="6700" w:type="dxa"/>
            <w:vAlign w:val="bottom"/>
            <w:gridSpan w:val="4"/>
          </w:tcPr>
          <w:p>
            <w:pPr>
              <w:spacing w:after="0"/>
              <w:rPr>
                <w:sz w:val="24"/>
                <w:szCs w:val="24"/>
                <w:color w:val="auto"/>
              </w:rPr>
            </w:pPr>
          </w:p>
        </w:tc>
      </w:tr>
      <w:tr>
        <w:trPr>
          <w:trHeight w:val="432"/>
        </w:trPr>
        <w:tc>
          <w:tcPr>
            <w:tcW w:w="1160" w:type="dxa"/>
            <w:vAlign w:val="bottom"/>
            <w:gridSpan w:val="4"/>
          </w:tcPr>
          <w:p>
            <w:pPr>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160" w:type="dxa"/>
            <w:vAlign w:val="bottom"/>
            <w:gridSpan w:val="4"/>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160" w:type="dxa"/>
            <w:vAlign w:val="bottom"/>
            <w:gridSpan w:val="4"/>
          </w:tcPr>
          <w:p>
            <w:pPr>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160" w:type="dxa"/>
            <w:vAlign w:val="bottom"/>
            <w:gridSpan w:val="4"/>
          </w:tcPr>
          <w:p>
            <w:pPr>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160" w:type="dxa"/>
            <w:vAlign w:val="bottom"/>
            <w:gridSpan w:val="4"/>
          </w:tcPr>
          <w:p>
            <w:pPr>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ind w:left="1260" w:hanging="1252"/>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260" w:hanging="1252"/>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herein.</w:t>
      </w: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14th day of August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XpresSpa Group, Inc.</w:t>
            </w:r>
          </w:p>
        </w:tc>
        <w:tc>
          <w:tcPr>
            <w:tcW w:w="8300" w:type="dxa"/>
            <w:vAlign w:val="bottom"/>
          </w:tcPr>
          <w:p>
            <w:pPr>
              <w:spacing w:after="0"/>
              <w:rPr>
                <w:sz w:val="20"/>
                <w:szCs w:val="20"/>
                <w:color w:val="auto"/>
              </w:rPr>
            </w:pPr>
          </w:p>
        </w:tc>
      </w:tr>
      <w:tr>
        <w:trPr>
          <w:trHeight w:val="432"/>
        </w:trPr>
        <w:tc>
          <w:tcPr>
            <w:tcW w:w="3120" w:type="dxa"/>
            <w:vAlign w:val="bottom"/>
            <w:gridSpan w:val="2"/>
          </w:tcPr>
          <w:p>
            <w:pPr>
              <w:spacing w:after="0"/>
              <w:rPr>
                <w:sz w:val="20"/>
                <w:szCs w:val="20"/>
                <w:color w:val="auto"/>
              </w:rPr>
            </w:pPr>
            <w:r>
              <w:rPr>
                <w:rFonts w:ascii="Arial" w:cs="Arial" w:eastAsia="Arial" w:hAnsi="Arial"/>
                <w:sz w:val="18"/>
                <w:szCs w:val="18"/>
                <w:color w:val="auto"/>
              </w:rPr>
              <w:t>By:</w:t>
            </w:r>
          </w:p>
        </w:tc>
        <w:tc>
          <w:tcPr>
            <w:tcW w:w="8300" w:type="dxa"/>
            <w:vAlign w:val="bottom"/>
          </w:tcPr>
          <w:p>
            <w:pPr>
              <w:jc w:val="center"/>
              <w:ind w:right="1888"/>
              <w:spacing w:after="0"/>
              <w:rPr>
                <w:sz w:val="20"/>
                <w:szCs w:val="20"/>
                <w:color w:val="auto"/>
              </w:rPr>
            </w:pPr>
            <w:r>
              <w:rPr>
                <w:rFonts w:ascii="Arial" w:cs="Arial" w:eastAsia="Arial" w:hAnsi="Arial"/>
                <w:sz w:val="18"/>
                <w:szCs w:val="18"/>
                <w:color w:val="auto"/>
                <w:w w:val="96"/>
              </w:rPr>
              <w:t>/s/ EDWARD JANKOWSKI</w:t>
            </w:r>
          </w:p>
        </w:tc>
      </w:tr>
      <w:tr>
        <w:trPr>
          <w:trHeight w:val="191"/>
        </w:trPr>
        <w:tc>
          <w:tcPr>
            <w:tcW w:w="1160" w:type="dxa"/>
            <w:vAlign w:val="bottom"/>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8300" w:type="dxa"/>
            <w:vAlign w:val="bottom"/>
            <w:tcBorders>
              <w:top w:val="single" w:sz="8" w:color="auto"/>
            </w:tcBorders>
          </w:tcPr>
          <w:p>
            <w:pPr>
              <w:jc w:val="center"/>
              <w:ind w:right="1868"/>
              <w:spacing w:after="0" w:line="191" w:lineRule="exact"/>
              <w:rPr>
                <w:sz w:val="20"/>
                <w:szCs w:val="20"/>
                <w:color w:val="auto"/>
              </w:rPr>
            </w:pPr>
            <w:r>
              <w:rPr>
                <w:rFonts w:ascii="Arial" w:cs="Arial" w:eastAsia="Arial" w:hAnsi="Arial"/>
                <w:sz w:val="18"/>
                <w:szCs w:val="18"/>
                <w:b w:val="1"/>
                <w:bCs w:val="1"/>
                <w:color w:val="auto"/>
                <w:w w:val="93"/>
              </w:rPr>
              <w:t>Edward Jankowski</w:t>
            </w:r>
          </w:p>
        </w:tc>
      </w:tr>
      <w:tr>
        <w:trPr>
          <w:trHeight w:val="216"/>
        </w:trPr>
        <w:tc>
          <w:tcPr>
            <w:tcW w:w="1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300" w:type="dxa"/>
            <w:vAlign w:val="bottom"/>
          </w:tcPr>
          <w:p>
            <w:pPr>
              <w:jc w:val="center"/>
              <w:ind w:right="1868"/>
              <w:spacing w:after="0"/>
              <w:rPr>
                <w:sz w:val="20"/>
                <w:szCs w:val="20"/>
                <w:color w:val="auto"/>
              </w:rPr>
            </w:pPr>
            <w:r>
              <w:rPr>
                <w:rFonts w:ascii="Arial" w:cs="Arial" w:eastAsia="Arial" w:hAnsi="Arial"/>
                <w:sz w:val="18"/>
                <w:szCs w:val="18"/>
                <w:b w:val="1"/>
                <w:bCs w:val="1"/>
                <w:color w:val="auto"/>
                <w:w w:val="92"/>
              </w:rPr>
              <w:t>Chief Executive Officer</w:t>
            </w:r>
          </w:p>
        </w:tc>
      </w:tr>
      <w:tr>
        <w:trPr>
          <w:trHeight w:val="234"/>
        </w:trPr>
        <w:tc>
          <w:tcPr>
            <w:tcW w:w="11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300" w:type="dxa"/>
            <w:vAlign w:val="bottom"/>
          </w:tcPr>
          <w:p>
            <w:pPr>
              <w:jc w:val="center"/>
              <w:ind w:right="1868"/>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459"/>
        </w:trPr>
        <w:tc>
          <w:tcPr>
            <w:tcW w:w="3120" w:type="dxa"/>
            <w:vAlign w:val="bottom"/>
            <w:gridSpan w:val="2"/>
          </w:tcPr>
          <w:p>
            <w:pPr>
              <w:spacing w:after="0"/>
              <w:rPr>
                <w:sz w:val="20"/>
                <w:szCs w:val="20"/>
                <w:color w:val="auto"/>
              </w:rPr>
            </w:pPr>
            <w:r>
              <w:rPr>
                <w:rFonts w:ascii="Arial" w:cs="Arial" w:eastAsia="Arial" w:hAnsi="Arial"/>
                <w:sz w:val="18"/>
                <w:szCs w:val="18"/>
                <w:color w:val="auto"/>
              </w:rPr>
              <w:t>By:</w:t>
            </w:r>
          </w:p>
        </w:tc>
        <w:tc>
          <w:tcPr>
            <w:tcW w:w="8300" w:type="dxa"/>
            <w:vAlign w:val="bottom"/>
          </w:tcPr>
          <w:p>
            <w:pPr>
              <w:jc w:val="center"/>
              <w:ind w:right="1868"/>
              <w:spacing w:after="0"/>
              <w:rPr>
                <w:sz w:val="20"/>
                <w:szCs w:val="20"/>
                <w:color w:val="auto"/>
              </w:rPr>
            </w:pPr>
            <w:r>
              <w:rPr>
                <w:rFonts w:ascii="Arial" w:cs="Arial" w:eastAsia="Arial" w:hAnsi="Arial"/>
                <w:sz w:val="18"/>
                <w:szCs w:val="18"/>
                <w:color w:val="auto"/>
                <w:w w:val="98"/>
              </w:rPr>
              <w:t>/s/ JANINE CANALE</w:t>
            </w:r>
          </w:p>
        </w:tc>
      </w:tr>
      <w:tr>
        <w:trPr>
          <w:trHeight w:val="191"/>
        </w:trPr>
        <w:tc>
          <w:tcPr>
            <w:tcW w:w="1160" w:type="dxa"/>
            <w:vAlign w:val="bottom"/>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8300" w:type="dxa"/>
            <w:vAlign w:val="bottom"/>
            <w:tcBorders>
              <w:top w:val="single" w:sz="8" w:color="auto"/>
            </w:tcBorders>
          </w:tcPr>
          <w:p>
            <w:pPr>
              <w:jc w:val="center"/>
              <w:ind w:right="1868"/>
              <w:spacing w:after="0" w:line="191" w:lineRule="exact"/>
              <w:rPr>
                <w:sz w:val="20"/>
                <w:szCs w:val="20"/>
                <w:color w:val="auto"/>
              </w:rPr>
            </w:pPr>
            <w:r>
              <w:rPr>
                <w:rFonts w:ascii="Arial" w:cs="Arial" w:eastAsia="Arial" w:hAnsi="Arial"/>
                <w:sz w:val="18"/>
                <w:szCs w:val="18"/>
                <w:b w:val="1"/>
                <w:bCs w:val="1"/>
                <w:color w:val="auto"/>
                <w:w w:val="90"/>
              </w:rPr>
              <w:t>Janine Canale</w:t>
            </w:r>
          </w:p>
        </w:tc>
      </w:tr>
      <w:tr>
        <w:trPr>
          <w:trHeight w:val="216"/>
        </w:trPr>
        <w:tc>
          <w:tcPr>
            <w:tcW w:w="1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300" w:type="dxa"/>
            <w:vAlign w:val="bottom"/>
          </w:tcPr>
          <w:p>
            <w:pPr>
              <w:jc w:val="center"/>
              <w:ind w:right="1868"/>
              <w:spacing w:after="0"/>
              <w:rPr>
                <w:sz w:val="20"/>
                <w:szCs w:val="20"/>
                <w:color w:val="auto"/>
              </w:rPr>
            </w:pPr>
            <w:r>
              <w:rPr>
                <w:rFonts w:ascii="Arial" w:cs="Arial" w:eastAsia="Arial" w:hAnsi="Arial"/>
                <w:sz w:val="18"/>
                <w:szCs w:val="18"/>
                <w:b w:val="1"/>
                <w:bCs w:val="1"/>
                <w:color w:val="auto"/>
                <w:w w:val="95"/>
              </w:rPr>
              <w:t>Controller</w:t>
            </w:r>
          </w:p>
        </w:tc>
      </w:tr>
      <w:tr>
        <w:trPr>
          <w:trHeight w:val="234"/>
        </w:trPr>
        <w:tc>
          <w:tcPr>
            <w:tcW w:w="11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300" w:type="dxa"/>
            <w:vAlign w:val="bottom"/>
          </w:tcPr>
          <w:p>
            <w:pPr>
              <w:jc w:val="center"/>
              <w:ind w:right="1868"/>
              <w:spacing w:after="0"/>
              <w:rPr>
                <w:sz w:val="20"/>
                <w:szCs w:val="20"/>
                <w:color w:val="auto"/>
              </w:rPr>
            </w:pPr>
            <w:r>
              <w:rPr>
                <w:rFonts w:ascii="Arial" w:cs="Arial" w:eastAsia="Arial" w:hAnsi="Arial"/>
                <w:sz w:val="18"/>
                <w:szCs w:val="18"/>
                <w:b w:val="1"/>
                <w:bCs w:val="1"/>
                <w:color w:val="auto"/>
                <w:w w:val="92"/>
              </w:rPr>
              <w:t>(Principal Financial and Accounting Officer)</w:t>
            </w:r>
          </w:p>
        </w:tc>
      </w:tr>
      <w:tr>
        <w:trPr>
          <w:trHeight w:val="675"/>
        </w:trPr>
        <w:tc>
          <w:tcPr>
            <w:tcW w:w="11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jc w:val="right"/>
              <w:ind w:right="5528"/>
              <w:spacing w:after="0"/>
              <w:rPr>
                <w:sz w:val="20"/>
                <w:szCs w:val="20"/>
                <w:color w:val="auto"/>
              </w:rPr>
            </w:pPr>
            <w:r>
              <w:rPr>
                <w:rFonts w:ascii="Arial" w:cs="Arial" w:eastAsia="Arial" w:hAnsi="Arial"/>
                <w:sz w:val="22"/>
                <w:szCs w:val="22"/>
                <w:color w:val="auto"/>
              </w:rPr>
              <w:t>30</w:t>
            </w:r>
          </w:p>
        </w:tc>
      </w:tr>
    </w:tbl>
    <w:p>
      <w:pPr>
        <w:sectPr>
          <w:pgSz w:w="11900" w:h="16838" w:orient="portrait"/>
          <w:cols w:equalWidth="0" w:num="1">
            <w:col w:w="11420"/>
          </w:cols>
          <w:pgMar w:left="240" w:top="904" w:right="239" w:bottom="1440" w:gutter="0" w:footer="0" w:header="0"/>
        </w:sectPr>
      </w:pPr>
    </w:p>
    <w:bookmarkStart w:id="31" w:name="page32"/>
    <w:bookmarkEnd w:id="31"/>
    <w:p>
      <w:pPr>
        <w:ind w:left="10420"/>
        <w:spacing w:after="0"/>
        <w:rPr>
          <w:sz w:val="20"/>
          <w:szCs w:val="20"/>
          <w:color w:val="auto"/>
        </w:rPr>
      </w:pPr>
      <w:r>
        <w:rPr>
          <w:rFonts w:ascii="Arial" w:cs="Arial" w:eastAsia="Arial" w:hAnsi="Arial"/>
          <w:sz w:val="19"/>
          <w:szCs w:val="19"/>
          <w:b w:val="1"/>
          <w:bCs w:val="1"/>
          <w:color w:val="auto"/>
        </w:rPr>
        <w:t>Exhibit 4.1</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AGREEMENT TO SECURED CONVERTIBLE NOTE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DUE NOVEMBER 16, 2019</w:t>
      </w:r>
    </w:p>
    <w:p>
      <w:pPr>
        <w:spacing w:after="0" w:line="21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This Amendment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to the Secured Convertible Note due November 16, 2019 (the “</w:t>
      </w:r>
      <w:r>
        <w:rPr>
          <w:rFonts w:ascii="Arial" w:cs="Arial" w:eastAsia="Arial" w:hAnsi="Arial"/>
          <w:sz w:val="18"/>
          <w:szCs w:val="18"/>
          <w:u w:val="single" w:color="auto"/>
          <w:color w:val="auto"/>
        </w:rPr>
        <w:t>Note</w:t>
      </w:r>
      <w:r>
        <w:rPr>
          <w:rFonts w:ascii="Arial" w:cs="Arial" w:eastAsia="Arial" w:hAnsi="Arial"/>
          <w:sz w:val="18"/>
          <w:szCs w:val="18"/>
          <w:color w:val="auto"/>
        </w:rPr>
        <w:t>”), is made and entered into as of August 14, 2018, among XpresSpa Group,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Holder (as identified on the signature page hereto). Capitalized terms used herein but not defined shall have the meaning ascribed to such terms in the Note.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the Holder and certain other parties thereto entered into a Securities Purchase Agreement dated as of May 15, 2018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SPA</w:t>
      </w:r>
      <w:r>
        <w:rPr>
          <w:rFonts w:ascii="Arial" w:cs="Arial" w:eastAsia="Arial" w:hAnsi="Arial"/>
          <w:sz w:val="18"/>
          <w:szCs w:val="18"/>
          <w:color w:val="auto"/>
        </w:rPr>
        <w:t>”) pursuant to which the Holder was issued a Note as set forth on the signature page hereto.</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2(a) of the Note, the Company is obligated, commencing on September 16, 2018, to make monthly payments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(the “</w:t>
      </w:r>
      <w:r>
        <w:rPr>
          <w:rFonts w:ascii="Arial" w:cs="Arial" w:eastAsia="Arial" w:hAnsi="Arial"/>
          <w:sz w:val="18"/>
          <w:szCs w:val="18"/>
          <w:u w:val="single" w:color="auto"/>
          <w:color w:val="auto"/>
        </w:rPr>
        <w:t>Monthly Interest Payments</w:t>
      </w:r>
      <w:r>
        <w:rPr>
          <w:rFonts w:ascii="Arial" w:cs="Arial" w:eastAsia="Arial" w:hAnsi="Arial"/>
          <w:sz w:val="18"/>
          <w:szCs w:val="18"/>
          <w:color w:val="auto"/>
        </w:rPr>
        <w:t>”) in cash, or at the election of the Company, such interest may be paid in duly authorized, validly issued, fully paid and non-assessable shares of the Company’s common stock, par value $0.01 (the “</w:t>
      </w:r>
      <w:r>
        <w:rPr>
          <w:rFonts w:ascii="Arial" w:cs="Arial" w:eastAsia="Arial" w:hAnsi="Arial"/>
          <w:sz w:val="18"/>
          <w:szCs w:val="18"/>
          <w:u w:val="single" w:color="auto"/>
          <w:color w:val="auto"/>
        </w:rPr>
        <w:t>Common Stock</w:t>
      </w:r>
      <w:r>
        <w:rPr>
          <w:rFonts w:ascii="Arial" w:cs="Arial" w:eastAsia="Arial" w:hAnsi="Arial"/>
          <w:sz w:val="18"/>
          <w:szCs w:val="18"/>
          <w:color w:val="auto"/>
        </w:rPr>
        <w:t>”), or a combination thereof (the amount to be paid in shares of Common Stock, the “</w:t>
      </w:r>
      <w:r>
        <w:rPr>
          <w:rFonts w:ascii="Arial" w:cs="Arial" w:eastAsia="Arial" w:hAnsi="Arial"/>
          <w:sz w:val="18"/>
          <w:szCs w:val="18"/>
          <w:u w:val="single" w:color="auto"/>
          <w:color w:val="auto"/>
        </w:rPr>
        <w:t>Interest Share Amount</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2(a) of the Note, the Interest Share Amount is to be determined by dividing the amount of interest on the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Payment Date by the then applicable Conversion Price.</w:t>
      </w:r>
    </w:p>
    <w:p>
      <w:pPr>
        <w:spacing w:after="0" w:line="162"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pursuant to Section 2(b) of the Note, the Company is obligated, commencing on September 16, 2018, to make monthly payments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principal on the Note (the “</w:t>
      </w:r>
      <w:r>
        <w:rPr>
          <w:rFonts w:ascii="Arial" w:cs="Arial" w:eastAsia="Arial" w:hAnsi="Arial"/>
          <w:sz w:val="17"/>
          <w:szCs w:val="17"/>
          <w:u w:val="single" w:color="auto"/>
          <w:color w:val="auto"/>
        </w:rPr>
        <w:t>Amortization Payments</w:t>
      </w:r>
      <w:r>
        <w:rPr>
          <w:rFonts w:ascii="Arial" w:cs="Arial" w:eastAsia="Arial" w:hAnsi="Arial"/>
          <w:sz w:val="17"/>
          <w:szCs w:val="17"/>
          <w:color w:val="auto"/>
        </w:rPr>
        <w:t>” and collectively with the Monthly Interest Payments, the “</w:t>
      </w:r>
      <w:r>
        <w:rPr>
          <w:rFonts w:ascii="Arial" w:cs="Arial" w:eastAsia="Arial" w:hAnsi="Arial"/>
          <w:sz w:val="17"/>
          <w:szCs w:val="17"/>
          <w:u w:val="single" w:color="auto"/>
          <w:color w:val="auto"/>
        </w:rPr>
        <w:t>Monthly Payments</w:t>
      </w:r>
      <w:r>
        <w:rPr>
          <w:rFonts w:ascii="Arial" w:cs="Arial" w:eastAsia="Arial" w:hAnsi="Arial"/>
          <w:sz w:val="17"/>
          <w:szCs w:val="17"/>
          <w:color w:val="auto"/>
        </w:rPr>
        <w:t>”).</w:t>
      </w:r>
    </w:p>
    <w:p>
      <w:pPr>
        <w:spacing w:after="0" w:line="13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2(b) of the Note, the Company may elect to pay the Amortization Payments with shares of Common Stock or a</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of cash and shares of Common Stock (the amount to be paid in shares of Common Stock, “</w:t>
      </w:r>
      <w:r>
        <w:rPr>
          <w:rFonts w:ascii="Arial" w:cs="Arial" w:eastAsia="Arial" w:hAnsi="Arial"/>
          <w:sz w:val="18"/>
          <w:szCs w:val="18"/>
          <w:u w:val="single" w:color="auto"/>
          <w:color w:val="auto"/>
        </w:rPr>
        <w:t>Principal Share Amount</w:t>
      </w:r>
      <w:r>
        <w:rPr>
          <w:rFonts w:ascii="Arial" w:cs="Arial" w:eastAsia="Arial" w:hAnsi="Arial"/>
          <w:sz w:val="18"/>
          <w:szCs w:val="18"/>
          <w:color w:val="auto"/>
        </w:rPr>
        <w:t>”) subject to certain conditions. The Principal Share Amount is to be determined by dividing (i) the monthly principal amount by (ii) ninety percent (90%) of the VWAP of the Common Stock for the five (5) Trading Days commencing eight (8) days prior to the relevant Repayment Date and ending on the fourth (4th) Trading Day preceding such Repayment Date; provided, however, that notwithstanding the foregoing, the result of such calculation shall not be less than twenty percent (20%) of the Conversion Price on the Original Issue Date (subject to appropriate adjustments for stock splits, stock dividends, recapitalizations, reclassifications, combinations or other similar transactions after the Issuance Date) (the “Conversion Price Floor”); provided, further, however, that the result of this calculation can be reduced below the Conversion Price Floor if the Company is not then subject to Nasdaq Listing Rule 5635(d) or if approved by Nasdaq.</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Holder desire to amend certain terms of the Note and the SPA;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covenants contained herein, the parties agree as follows:</w:t>
      </w:r>
    </w:p>
    <w:p>
      <w:pPr>
        <w:spacing w:after="0" w:line="229" w:lineRule="exact"/>
        <w:rPr>
          <w:sz w:val="20"/>
          <w:szCs w:val="20"/>
          <w:color w:val="auto"/>
        </w:rPr>
      </w:pPr>
    </w:p>
    <w:p>
      <w:pPr>
        <w:ind w:firstLine="656"/>
        <w:spacing w:after="0" w:line="308" w:lineRule="auto"/>
        <w:tabs>
          <w:tab w:leader="none" w:pos="847"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Company hereby agrees to make an initial Monthly Payment on or before August 15, 2018 (the “Initial Monthly Payment”), in shares of Common Stock at a value of $0.17 per share of Common Stock resulting in the issuance of an aggregate of [ ] shares of Common Stock to the Holder.</w:t>
      </w:r>
    </w:p>
    <w:p>
      <w:pPr>
        <w:spacing w:after="0" w:line="146" w:lineRule="exact"/>
        <w:rPr>
          <w:rFonts w:ascii="Arial" w:cs="Arial" w:eastAsia="Arial" w:hAnsi="Arial"/>
          <w:sz w:val="17"/>
          <w:szCs w:val="17"/>
          <w:color w:val="auto"/>
        </w:rPr>
      </w:pPr>
    </w:p>
    <w:p>
      <w:pPr>
        <w:jc w:val="both"/>
        <w:ind w:firstLine="656"/>
        <w:spacing w:after="0" w:line="259" w:lineRule="auto"/>
        <w:tabs>
          <w:tab w:leader="none" w:pos="11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Holder hereby waives the Company’s obligation to make any Monthly Payments for the months of September, October, November and December 2018 (the “</w:t>
      </w:r>
      <w:r>
        <w:rPr>
          <w:rFonts w:ascii="Arial" w:cs="Arial" w:eastAsia="Arial" w:hAnsi="Arial"/>
          <w:sz w:val="18"/>
          <w:szCs w:val="18"/>
          <w:u w:val="single" w:color="auto"/>
          <w:color w:val="auto"/>
        </w:rPr>
        <w:t>Waiver Period</w:t>
      </w:r>
      <w:r>
        <w:rPr>
          <w:rFonts w:ascii="Arial" w:cs="Arial" w:eastAsia="Arial" w:hAnsi="Arial"/>
          <w:sz w:val="18"/>
          <w:szCs w:val="18"/>
          <w:color w:val="auto"/>
        </w:rPr>
        <w:t>”); provided however, that, during the Waiver Period, the Holder, for itself only, may require the Company, by written notice to the Company upon two (2) Business Days’ advance notice, to make up to three (3) Monthly Payments in shares of Common Stock at a value of $0.17 per share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2" w:name="page33"/>
    <w:bookmarkEnd w:id="32"/>
    <w:p>
      <w:pPr>
        <w:ind w:firstLine="656"/>
        <w:spacing w:after="0" w:line="277" w:lineRule="auto"/>
        <w:tabs>
          <w:tab w:leader="none" w:pos="117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and the Holder hereby acknowledge and agree that the Conversion Price Floor and Conversion Cap (as defined in the Note) shall apply to all Amortization Payments made hereunder.</w:t>
      </w:r>
    </w:p>
    <w:p>
      <w:pPr>
        <w:spacing w:after="0" w:line="170" w:lineRule="exact"/>
        <w:rPr>
          <w:rFonts w:ascii="Arial" w:cs="Arial" w:eastAsia="Arial" w:hAnsi="Arial"/>
          <w:sz w:val="18"/>
          <w:szCs w:val="18"/>
          <w:color w:val="auto"/>
        </w:rPr>
      </w:pPr>
    </w:p>
    <w:p>
      <w:pPr>
        <w:ind w:firstLine="656"/>
        <w:spacing w:after="0" w:line="277" w:lineRule="auto"/>
        <w:tabs>
          <w:tab w:leader="none" w:pos="115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and the Holder hereby acknowledge and agree that the shares of Common Stock issuable hereunder shall be deemed to be an “Exempt Issuance” pursuant to the definition of “Exempt Issuance” as defined in the SPA.</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Except as explicitly modified herein, the Transaction Documents (as defined in the SPA) shall remain in full force and effect.</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Amendment shall be governed in accordance with terms of the Note.</w:t>
      </w:r>
    </w:p>
    <w:p>
      <w:pPr>
        <w:spacing w:after="0" w:line="225" w:lineRule="exact"/>
        <w:rPr>
          <w:rFonts w:ascii="Arial" w:cs="Arial" w:eastAsia="Arial" w:hAnsi="Arial"/>
          <w:sz w:val="18"/>
          <w:szCs w:val="18"/>
          <w:color w:val="auto"/>
        </w:rPr>
      </w:pPr>
    </w:p>
    <w:p>
      <w:pPr>
        <w:jc w:val="both"/>
        <w:ind w:firstLine="656"/>
        <w:spacing w:after="0" w:line="272" w:lineRule="auto"/>
        <w:tabs>
          <w:tab w:leader="none" w:pos="1256"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Except with respect to the material terms and conditions of this Amendment, which shall be disclosed at the earlier of the filing of the Company’s next Quarterly Report on Form 10-Q or two (2) business days, the Company covenants and agrees that neither it, nor any other Person acting on its behalf will provide the Holder or its agents or counsel with any information that constitutes, or the Company reasonably believes constitutes, material non-public information, unless prior thereto such Holder shall have consented to the receipt of such information and agreed with the Company to keep such information confidential. From and after the disclosure of the material terms and conditions of this Agreement, the Company represents to the Holder that it shall have publicly disclosed all material, non-public information delivered to the Holder by the Company or any of its Subsidiaries, or any of their respective officers, directors, employees or agents in connection with this Amendment.</w:t>
      </w:r>
    </w:p>
    <w:p>
      <w:pPr>
        <w:spacing w:after="0" w:line="177" w:lineRule="exact"/>
        <w:rPr>
          <w:rFonts w:ascii="Arial" w:cs="Arial" w:eastAsia="Arial" w:hAnsi="Arial"/>
          <w:sz w:val="17"/>
          <w:szCs w:val="17"/>
          <w:color w:val="auto"/>
        </w:rPr>
      </w:pPr>
    </w:p>
    <w:p>
      <w:pPr>
        <w:jc w:val="both"/>
        <w:ind w:firstLine="656"/>
        <w:spacing w:after="0" w:line="257" w:lineRule="auto"/>
        <w:tabs>
          <w:tab w:leader="none" w:pos="123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Amendment may be executed in two or more counterparts, all of which when taken together shall be considered one and the same agreement and shall become effective when counterparts have been signed by the Company and the Holder,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 OF THIS PAGE LEFT INTENTIONALLY BLANK]</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center"/>
        <w:ind w:right="-659"/>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Company and the Holder have executed this Amendment Agreement as of the date first above written.</w:t>
      </w:r>
    </w:p>
    <w:p>
      <w:pPr>
        <w:spacing w:after="0" w:line="248" w:lineRule="exact"/>
        <w:rPr>
          <w:sz w:val="20"/>
          <w:szCs w:val="20"/>
          <w:color w:val="auto"/>
        </w:rPr>
      </w:pPr>
    </w:p>
    <w:p>
      <w:pPr>
        <w:ind w:left="5260"/>
        <w:spacing w:after="0"/>
        <w:rPr>
          <w:sz w:val="20"/>
          <w:szCs w:val="20"/>
          <w:color w:val="auto"/>
        </w:rPr>
      </w:pPr>
      <w:r>
        <w:rPr>
          <w:rFonts w:ascii="Arial" w:cs="Arial" w:eastAsia="Arial" w:hAnsi="Arial"/>
          <w:sz w:val="18"/>
          <w:szCs w:val="18"/>
          <w:b w:val="1"/>
          <w:bCs w:val="1"/>
          <w:u w:val="single" w:color="auto"/>
          <w:color w:val="auto"/>
        </w:rPr>
        <w:t>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XpresSpa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[Holder signature page follows]</w:t>
      </w:r>
    </w:p>
    <w:p>
      <w:pPr>
        <w:spacing w:after="0" w:line="200" w:lineRule="exact"/>
        <w:rPr>
          <w:sz w:val="20"/>
          <w:szCs w:val="20"/>
          <w:color w:val="auto"/>
        </w:rPr>
      </w:pPr>
    </w:p>
    <w:p>
      <w:pPr>
        <w:spacing w:after="0" w:line="24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40"/>
          </w:cols>
          <w:pgMar w:left="240" w:top="904" w:right="1219" w:bottom="1440" w:gutter="0" w:footer="0" w:header="0"/>
        </w:sectPr>
      </w:pPr>
    </w:p>
    <w:bookmarkStart w:id="34" w:name="page35"/>
    <w:bookmarkEnd w:id="34"/>
    <w:p>
      <w:pPr>
        <w:ind w:left="5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Company and the Holder have executed this Amendment Agreement as of the date first above written.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[Print Name of Holder]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Original Note Principal______________________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340"/>
          </w:cols>
          <w:pgMar w:left="340" w:top="904" w:right="1219" w:bottom="1440" w:gutter="0" w:footer="0" w:header="0"/>
        </w:sectPr>
      </w:pPr>
    </w:p>
    <w:bookmarkStart w:id="35" w:name="page36"/>
    <w:bookmarkEnd w:id="35"/>
    <w:p>
      <w:pPr>
        <w:jc w:val="right"/>
        <w:spacing w:after="0"/>
        <w:rPr>
          <w:sz w:val="20"/>
          <w:szCs w:val="20"/>
          <w:color w:val="auto"/>
        </w:rPr>
      </w:pPr>
      <w:r>
        <w:rPr>
          <w:rFonts w:ascii="Arial" w:cs="Arial" w:eastAsia="Arial" w:hAnsi="Arial"/>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SEPARATION AGREEMENT AND GENERAL RELEASE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Confidential Agreement and General Release (the “Agreement”), by and between Anastasia Nyrkovskaya (“you” or “your”) and XpresSpa Group, Inc. (together with its subsidiaries, the “Company”) (each party, a “Party” and, collectively, the “Parties”), is made as of the 19th day of June 2018 (the “Effective date”).</w:t>
      </w:r>
    </w:p>
    <w:p>
      <w:pPr>
        <w:spacing w:after="0" w:line="181" w:lineRule="exact"/>
        <w:rPr>
          <w:sz w:val="20"/>
          <w:szCs w:val="20"/>
          <w:color w:val="auto"/>
        </w:rPr>
      </w:pPr>
    </w:p>
    <w:p>
      <w:pPr>
        <w:jc w:val="both"/>
        <w:ind w:firstLine="656"/>
        <w:spacing w:after="0" w:line="271" w:lineRule="auto"/>
        <w:tabs>
          <w:tab w:leader="none" w:pos="1769"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Separation from Employment</w:t>
      </w:r>
      <w:r>
        <w:rPr>
          <w:rFonts w:ascii="Arial" w:cs="Arial" w:eastAsia="Arial" w:hAnsi="Arial"/>
          <w:sz w:val="17"/>
          <w:szCs w:val="17"/>
          <w:color w:val="auto"/>
        </w:rPr>
        <w:t xml:space="preserve">. Your employment with the Company will end as of October 15, 2018 (“Separation Date”). From the Effective date through October 15, 2018 (the Separation date), you shall use your best efforts to complete the outstanding projects and duties as listed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Company agrees your employment may not be exclusive between the Effective Date and Separation Date, and you may engage in other employment. You acknowledge that from and after the Separation Date, you shall have no authority to, and shall not, represent yourself as an employee of the Company. You further acknowledge that, as of the Separation Date, you may not access any of the Company’s systems or property, including but not limited to the Company’s premises, Company credit cards, Company Documents (as defined below), all Company computer systems and networks, and Company Box accounts. Notwithstanding the foregoing, this Section 1 shall not be construed to create an employment contract between you and the Company, and you shall remain an employee at will until the Separation Date.</w:t>
      </w:r>
    </w:p>
    <w:p>
      <w:pPr>
        <w:spacing w:after="0" w:line="178" w:lineRule="exact"/>
        <w:rPr>
          <w:rFonts w:ascii="Arial" w:cs="Arial" w:eastAsia="Arial" w:hAnsi="Arial"/>
          <w:sz w:val="17"/>
          <w:szCs w:val="17"/>
          <w:color w:val="auto"/>
        </w:rPr>
      </w:pPr>
    </w:p>
    <w:p>
      <w:pPr>
        <w:jc w:val="both"/>
        <w:ind w:firstLine="656"/>
        <w:spacing w:after="0" w:line="286" w:lineRule="auto"/>
        <w:tabs>
          <w:tab w:leader="none" w:pos="1665"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Separation Benefits</w:t>
      </w:r>
      <w:r>
        <w:rPr>
          <w:rFonts w:ascii="Arial" w:cs="Arial" w:eastAsia="Arial" w:hAnsi="Arial"/>
          <w:sz w:val="17"/>
          <w:szCs w:val="17"/>
          <w:color w:val="auto"/>
        </w:rPr>
        <w:t xml:space="preserve">. In exchange and as consideration for the representations, warranties, covenants and releases contained in this Agreement, and provided that subsequent to the Separation Date, you agree to a release of claims against the Company substantially in the form attached to this Agreement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(the “Supplemental Release”), the Company shall pay or provide to you the following “Separation Benefits”:</w:t>
      </w:r>
    </w:p>
    <w:p>
      <w:pPr>
        <w:spacing w:after="0" w:line="165" w:lineRule="exact"/>
        <w:rPr>
          <w:rFonts w:ascii="Arial" w:cs="Arial" w:eastAsia="Arial" w:hAnsi="Arial"/>
          <w:sz w:val="17"/>
          <w:szCs w:val="17"/>
          <w:color w:val="auto"/>
        </w:rPr>
      </w:pPr>
    </w:p>
    <w:p>
      <w:pPr>
        <w:jc w:val="both"/>
        <w:ind w:firstLine="1305"/>
        <w:spacing w:after="0" w:line="264" w:lineRule="auto"/>
        <w:tabs>
          <w:tab w:leader="none" w:pos="2222"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From the Effective date through October 15, 2018, the Company shall pay you four (4) months of your annual pro-rated base salary (as it was in effect immediately prior to the Effective Date) in substantially equal installments commencing from the Company’s next regular payroll date following the Separation Date.</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2300"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COBRA Continuation</w:t>
      </w:r>
      <w:r>
        <w:rPr>
          <w:rFonts w:ascii="Arial" w:cs="Arial" w:eastAsia="Arial" w:hAnsi="Arial"/>
          <w:sz w:val="18"/>
          <w:szCs w:val="18"/>
          <w:color w:val="auto"/>
        </w:rPr>
        <w:t>. By law, and regardless of whether you sign this Agreement, you will have the right to continue your medical insurance pursuant to the provisions of the Consolidated Omnibus Budget Reconciliation Act of 1985 (“COBRA”). You will receive your COBRA notice under separate cover. Payment of COBRA is it your expense however the company will reimburse you for the period between the effective date and the separation date should you elect coverage.</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These Separation Benefits and Accrued Obligations (as that term is defined below) constitute the entirety of all payments and/or benefits to be provided to you under this Agreement. You acknowledge that by signing this Agreement and executing the Supplemental Release, and except for the Separation Benefits and Accrued Obligations (as that term is defined below), you are not now and shall not in the future be entitled to any other compensation from the Company including, without limitation, other wages, commissions, bonuses, incentives, vacation pay, holiday pay, paid time off or any other form of compensation or benefit. The Company shall pay the Accrued Obligations to you on or before the first regularly-scheduled payroll following the Separation Date. “Accrued Obligations” shall mean (i) any unpaid Base Salary up to and through the Separation Date, (ii) Ten (10) accrued and unused days of paid time off (“PTO”), and (iii) any benefits provided under the Company’s employee benefit plans pursuant to, and in accordance with, the terms of such plans through the Separation Date. Your accrued and unused PTO shall be paid in accordance with the Company’s standard payroll practices. All Separation Benefits and Accrued Obligations outlined herein are payable subject to applicable payroll withholdings, including, but not limited to, federal, state, local, social security, and Medicare taxes.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6" w:name="page37"/>
    <w:bookmarkEnd w:id="36"/>
    <w:p>
      <w:pPr>
        <w:ind w:left="1100" w:hanging="444"/>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Additional Representations.</w:t>
      </w:r>
    </w:p>
    <w:p>
      <w:pPr>
        <w:spacing w:after="0" w:line="225" w:lineRule="exact"/>
        <w:rPr>
          <w:rFonts w:ascii="Arial" w:cs="Arial" w:eastAsia="Arial" w:hAnsi="Arial"/>
          <w:sz w:val="18"/>
          <w:szCs w:val="18"/>
          <w:color w:val="auto"/>
        </w:rPr>
      </w:pPr>
    </w:p>
    <w:p>
      <w:pPr>
        <w:ind w:right="20" w:firstLine="1297"/>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Your Representations</w:t>
      </w:r>
      <w:r>
        <w:rPr>
          <w:rFonts w:ascii="Arial" w:cs="Arial" w:eastAsia="Arial" w:hAnsi="Arial"/>
          <w:sz w:val="18"/>
          <w:szCs w:val="18"/>
          <w:color w:val="auto"/>
        </w:rPr>
        <w:t>. As a condition of entering into this Agreement, you hereby expressly acknowledge and agree and make the following representations:</w:t>
      </w:r>
    </w:p>
    <w:p>
      <w:pPr>
        <w:spacing w:after="0" w:line="170" w:lineRule="exact"/>
        <w:rPr>
          <w:rFonts w:ascii="Arial" w:cs="Arial" w:eastAsia="Arial" w:hAnsi="Arial"/>
          <w:sz w:val="18"/>
          <w:szCs w:val="18"/>
          <w:color w:val="auto"/>
        </w:rPr>
      </w:pPr>
    </w:p>
    <w:p>
      <w:pPr>
        <w:jc w:val="both"/>
        <w:ind w:firstLine="2115"/>
        <w:spacing w:after="0" w:line="255" w:lineRule="auto"/>
        <w:tabs>
          <w:tab w:leader="none" w:pos="3147" w:val="left"/>
        </w:tabs>
        <w:numPr>
          <w:ilvl w:val="2"/>
          <w:numId w:val="15"/>
        </w:numPr>
        <w:rPr>
          <w:rFonts w:ascii="Arial" w:cs="Arial" w:eastAsia="Arial" w:hAnsi="Arial"/>
          <w:sz w:val="18"/>
          <w:szCs w:val="18"/>
          <w:color w:val="auto"/>
        </w:rPr>
      </w:pPr>
      <w:r>
        <w:rPr>
          <w:rFonts w:ascii="Arial" w:cs="Arial" w:eastAsia="Arial" w:hAnsi="Arial"/>
          <w:sz w:val="18"/>
          <w:szCs w:val="18"/>
          <w:color w:val="auto"/>
        </w:rPr>
        <w:t>that, as of the Separation Date, you will have returned to the Company, all company property (including building passes, keys, computer equipment, communication devices and other tangible personal property) except for the MacBook Pro Computer, which you may keep, and all all originals and copies of materials, records, files, memorandums, e-mails, and documents (each, whether electronic or otherwise), whether confidential or not, generated by you or coming into your possession or under your control during your employment with the Company relating to the Company (collectively, the “Company Documents”), which are the sole property of the Company, provided however that Company Documents does not extend to documents relating to your compensation and benefits or Company Documents for which you have received prior written consent of the CEO to retain after the Separation Date;</w:t>
      </w:r>
    </w:p>
    <w:p>
      <w:pPr>
        <w:spacing w:after="0" w:line="189" w:lineRule="exact"/>
        <w:rPr>
          <w:rFonts w:ascii="Arial" w:cs="Arial" w:eastAsia="Arial" w:hAnsi="Arial"/>
          <w:sz w:val="18"/>
          <w:szCs w:val="18"/>
          <w:color w:val="auto"/>
        </w:rPr>
      </w:pPr>
    </w:p>
    <w:p>
      <w:pPr>
        <w:ind w:left="3360" w:hanging="1245"/>
        <w:spacing w:after="0"/>
        <w:tabs>
          <w:tab w:leader="none" w:pos="3360" w:val="left"/>
        </w:tabs>
        <w:numPr>
          <w:ilvl w:val="2"/>
          <w:numId w:val="15"/>
        </w:numPr>
        <w:rPr>
          <w:rFonts w:ascii="Arial" w:cs="Arial" w:eastAsia="Arial" w:hAnsi="Arial"/>
          <w:sz w:val="16"/>
          <w:szCs w:val="16"/>
          <w:color w:val="auto"/>
        </w:rPr>
      </w:pPr>
      <w:r>
        <w:rPr>
          <w:rFonts w:ascii="Arial" w:cs="Arial" w:eastAsia="Arial" w:hAnsi="Arial"/>
          <w:sz w:val="16"/>
          <w:szCs w:val="16"/>
          <w:color w:val="auto"/>
        </w:rPr>
        <w:t>that, by the Separation Date, you will have submitted your final expense report to the Company. Should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amounts due to the Company remain outstanding, you shall, before September 15, 2018, repay the Company in full.</w:t>
      </w:r>
    </w:p>
    <w:p>
      <w:pPr>
        <w:spacing w:after="0" w:line="210" w:lineRule="exact"/>
        <w:rPr>
          <w:rFonts w:ascii="Arial" w:cs="Arial" w:eastAsia="Arial" w:hAnsi="Arial"/>
          <w:sz w:val="16"/>
          <w:szCs w:val="16"/>
          <w:color w:val="auto"/>
        </w:rPr>
      </w:pPr>
    </w:p>
    <w:p>
      <w:pPr>
        <w:jc w:val="both"/>
        <w:ind w:firstLine="2115"/>
        <w:spacing w:after="0" w:line="255" w:lineRule="auto"/>
        <w:tabs>
          <w:tab w:leader="none" w:pos="3166" w:val="left"/>
        </w:tabs>
        <w:numPr>
          <w:ilvl w:val="2"/>
          <w:numId w:val="15"/>
        </w:numPr>
        <w:rPr>
          <w:rFonts w:ascii="Arial" w:cs="Arial" w:eastAsia="Arial" w:hAnsi="Arial"/>
          <w:sz w:val="18"/>
          <w:szCs w:val="18"/>
          <w:color w:val="auto"/>
        </w:rPr>
      </w:pPr>
      <w:r>
        <w:rPr>
          <w:rFonts w:ascii="Arial" w:cs="Arial" w:eastAsia="Arial" w:hAnsi="Arial"/>
          <w:sz w:val="18"/>
          <w:szCs w:val="18"/>
          <w:color w:val="auto"/>
        </w:rPr>
        <w:t>that you shall abide by the provisions of the Non-Disclosure Agreement dated May 2013 the terms of which shall survive the signing of this Agreement. The term “Termination Date” as that term is used in the Non-Disclosure Agreement shall be the Separation Date of this Agreement. Further, you agree that you will abide by any and all common law and/or statutory obligations relating to protection and non-disclosure of the Company’s trade secrets and/or confidential and proprietary documents and information. You shall not be deemed to be in breach of this confidentiality provision (a) in the event such information is already in the public domain, (b) in the event that you are required to disclose confidential information in connection with a judicial or special proceeding or pursuant to court order, or (c) if you obtain the Company’s prior written permission to disclose such information;</w:t>
      </w:r>
    </w:p>
    <w:p>
      <w:pPr>
        <w:spacing w:after="0" w:line="189" w:lineRule="exact"/>
        <w:rPr>
          <w:sz w:val="20"/>
          <w:szCs w:val="20"/>
          <w:color w:val="auto"/>
        </w:rPr>
      </w:pPr>
    </w:p>
    <w:p>
      <w:pPr>
        <w:jc w:val="both"/>
        <w:ind w:firstLine="2107"/>
        <w:spacing w:after="0" w:line="276" w:lineRule="auto"/>
        <w:rPr>
          <w:sz w:val="20"/>
          <w:szCs w:val="20"/>
          <w:color w:val="auto"/>
        </w:rPr>
      </w:pPr>
      <w:r>
        <w:rPr>
          <w:rFonts w:ascii="Arial" w:cs="Arial" w:eastAsia="Arial" w:hAnsi="Arial"/>
          <w:sz w:val="17"/>
          <w:szCs w:val="17"/>
          <w:color w:val="auto"/>
        </w:rPr>
        <w:t>iv. that all information relating in any way to this Agreement, including the terms and amount of financial consideration provided for in this Agreement, shall be held confidential by you and shall not be publicized or disclosed to any person (other than an immediate family member, legal counsel or financial advisor, provided that any such individual to whom disclosure is made agrees to be bound by these confidentiality obligations), business entity or government agency (except as mandated by state or federal law), except that nothing in this paragraph shall prohibit you from participating in an investigation with a state or federal agency if requested by the agency to do so;</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jc w:val="both"/>
        <w:ind w:left="-20" w:firstLine="2115"/>
        <w:spacing w:after="0" w:line="279" w:lineRule="auto"/>
        <w:tabs>
          <w:tab w:leader="none" w:pos="3196" w:val="left"/>
        </w:tabs>
        <w:numPr>
          <w:ilvl w:val="2"/>
          <w:numId w:val="16"/>
        </w:numPr>
        <w:rPr>
          <w:rFonts w:ascii="Arial" w:cs="Arial" w:eastAsia="Arial" w:hAnsi="Arial"/>
          <w:sz w:val="17"/>
          <w:szCs w:val="17"/>
          <w:color w:val="auto"/>
        </w:rPr>
      </w:pPr>
      <w:r>
        <w:rPr>
          <w:rFonts w:ascii="Arial" w:cs="Arial" w:eastAsia="Arial" w:hAnsi="Arial"/>
          <w:sz w:val="17"/>
          <w:szCs w:val="17"/>
          <w:color w:val="auto"/>
        </w:rPr>
        <w:t>that you will not make any statements that are professionally or personally disparaging about, or adverse to, the interests of the Company Release Parties (as that term is defined in Section 4 below) including, but not limited to, any statements that disparage any person, service, finances, financial condition, capability or any other aspect of the business of the Company, and that you will not engage in any conduct which could reasonably be expected to harm professionally or personally the reputation of the Company Release Parties;</w:t>
      </w:r>
    </w:p>
    <w:p>
      <w:pPr>
        <w:spacing w:after="0" w:line="171" w:lineRule="exact"/>
        <w:rPr>
          <w:rFonts w:ascii="Arial" w:cs="Arial" w:eastAsia="Arial" w:hAnsi="Arial"/>
          <w:sz w:val="17"/>
          <w:szCs w:val="17"/>
          <w:color w:val="auto"/>
        </w:rPr>
      </w:pPr>
    </w:p>
    <w:p>
      <w:pPr>
        <w:jc w:val="both"/>
        <w:ind w:left="-20" w:firstLine="2115"/>
        <w:spacing w:after="0" w:line="264" w:lineRule="auto"/>
        <w:tabs>
          <w:tab w:leader="none" w:pos="3284" w:val="left"/>
        </w:tabs>
        <w:numPr>
          <w:ilvl w:val="2"/>
          <w:numId w:val="16"/>
        </w:numPr>
        <w:rPr>
          <w:rFonts w:ascii="Arial" w:cs="Arial" w:eastAsia="Arial" w:hAnsi="Arial"/>
          <w:sz w:val="18"/>
          <w:szCs w:val="18"/>
          <w:color w:val="auto"/>
        </w:rPr>
      </w:pPr>
      <w:r>
        <w:rPr>
          <w:rFonts w:ascii="Arial" w:cs="Arial" w:eastAsia="Arial" w:hAnsi="Arial"/>
          <w:sz w:val="18"/>
          <w:szCs w:val="18"/>
          <w:color w:val="auto"/>
        </w:rPr>
        <w:t>after the Separation Date, you will make yourself reasonably available and cooperate with reasonable requests from the Company to help with requests for information concerning any business or legal matters (including, without limitation, testimony in any litigation matters) involving facts or events relating to the Company that may be within your knowledge; and</w:t>
      </w:r>
    </w:p>
    <w:p>
      <w:pPr>
        <w:spacing w:after="0" w:line="181" w:lineRule="exact"/>
        <w:rPr>
          <w:rFonts w:ascii="Arial" w:cs="Arial" w:eastAsia="Arial" w:hAnsi="Arial"/>
          <w:sz w:val="18"/>
          <w:szCs w:val="18"/>
          <w:color w:val="auto"/>
        </w:rPr>
      </w:pPr>
    </w:p>
    <w:p>
      <w:pPr>
        <w:jc w:val="both"/>
        <w:ind w:left="-20" w:firstLine="2115"/>
        <w:spacing w:after="0" w:line="264" w:lineRule="auto"/>
        <w:tabs>
          <w:tab w:leader="none" w:pos="3186" w:val="left"/>
        </w:tabs>
        <w:numPr>
          <w:ilvl w:val="2"/>
          <w:numId w:val="16"/>
        </w:numPr>
        <w:rPr>
          <w:rFonts w:ascii="Arial" w:cs="Arial" w:eastAsia="Arial" w:hAnsi="Arial"/>
          <w:sz w:val="18"/>
          <w:szCs w:val="18"/>
          <w:color w:val="auto"/>
        </w:rPr>
      </w:pPr>
      <w:r>
        <w:rPr>
          <w:rFonts w:ascii="Arial" w:cs="Arial" w:eastAsia="Arial" w:hAnsi="Arial"/>
          <w:sz w:val="18"/>
          <w:szCs w:val="18"/>
          <w:color w:val="auto"/>
        </w:rPr>
        <w:t>that a breach of Section 3(a) shall constitute a material breach of this Agreement an in addition to any other legal or equitable remedy available to the Company, shall entitle the Company to recover any Separation Benefits paid or provided to you under Section 2 of this Agreement.</w:t>
      </w:r>
    </w:p>
    <w:p>
      <w:pPr>
        <w:spacing w:after="0" w:line="181" w:lineRule="exact"/>
        <w:rPr>
          <w:rFonts w:ascii="Arial" w:cs="Arial" w:eastAsia="Arial" w:hAnsi="Arial"/>
          <w:sz w:val="18"/>
          <w:szCs w:val="18"/>
          <w:color w:val="auto"/>
        </w:rPr>
      </w:pPr>
    </w:p>
    <w:p>
      <w:pPr>
        <w:ind w:left="-20" w:firstLine="1305"/>
        <w:spacing w:after="0" w:line="277" w:lineRule="auto"/>
        <w:tabs>
          <w:tab w:leader="none" w:pos="2239"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Company Representations</w:t>
      </w:r>
      <w:r>
        <w:rPr>
          <w:rFonts w:ascii="Arial" w:cs="Arial" w:eastAsia="Arial" w:hAnsi="Arial"/>
          <w:sz w:val="18"/>
          <w:szCs w:val="18"/>
          <w:color w:val="auto"/>
        </w:rPr>
        <w:t>. As a condition of entering into this Agreement, the Company hereby expressly acknowledges and agrees and makes the following representations:</w:t>
      </w:r>
    </w:p>
    <w:p>
      <w:pPr>
        <w:spacing w:after="0" w:line="170" w:lineRule="exact"/>
        <w:rPr>
          <w:rFonts w:ascii="Arial" w:cs="Arial" w:eastAsia="Arial" w:hAnsi="Arial"/>
          <w:sz w:val="18"/>
          <w:szCs w:val="18"/>
          <w:color w:val="auto"/>
        </w:rPr>
      </w:pPr>
    </w:p>
    <w:p>
      <w:pPr>
        <w:jc w:val="both"/>
        <w:ind w:left="-20" w:firstLine="2115"/>
        <w:spacing w:after="0" w:line="272" w:lineRule="auto"/>
        <w:tabs>
          <w:tab w:leader="none" w:pos="3329" w:val="left"/>
        </w:tabs>
        <w:numPr>
          <w:ilvl w:val="2"/>
          <w:numId w:val="17"/>
        </w:numPr>
        <w:rPr>
          <w:rFonts w:ascii="Arial" w:cs="Arial" w:eastAsia="Arial" w:hAnsi="Arial"/>
          <w:sz w:val="17"/>
          <w:szCs w:val="17"/>
          <w:color w:val="auto"/>
        </w:rPr>
      </w:pPr>
      <w:r>
        <w:rPr>
          <w:rFonts w:ascii="Arial" w:cs="Arial" w:eastAsia="Arial" w:hAnsi="Arial"/>
          <w:sz w:val="17"/>
          <w:szCs w:val="17"/>
          <w:color w:val="auto"/>
        </w:rPr>
        <w:t>that the Company will provide you with either a positive reference or a neutral reference to any prospective employer that requests a reference. A neutral reference means that the Company will only provide your job title and dates of employment (and salary upon written request). The option of providing a positive reference or a neutral reference is at the sole discretion of the Company. Further, the Company, by its senior management (including, but not limited to, any officer, director, or executive of the Company), will not make any statements that are professionally or personally disparaging about you or engage in any conduct which could reasonably be expected to harm professionally or personally your reputation. Nothing in this Section 3.b.i however, shall prohibit the Company from making any necessary disclosures regarding your separation in connection with any judicial, administrative or other proceeding or investigation or as otherwise required by law; and</w:t>
      </w:r>
    </w:p>
    <w:p>
      <w:pPr>
        <w:spacing w:after="0" w:line="177" w:lineRule="exact"/>
        <w:rPr>
          <w:rFonts w:ascii="Arial" w:cs="Arial" w:eastAsia="Arial" w:hAnsi="Arial"/>
          <w:sz w:val="17"/>
          <w:szCs w:val="17"/>
          <w:color w:val="auto"/>
        </w:rPr>
      </w:pPr>
    </w:p>
    <w:p>
      <w:pPr>
        <w:ind w:left="3040" w:hanging="945"/>
        <w:spacing w:after="0"/>
        <w:tabs>
          <w:tab w:leader="none" w:pos="3040" w:val="left"/>
        </w:tabs>
        <w:numPr>
          <w:ilvl w:val="2"/>
          <w:numId w:val="17"/>
        </w:numPr>
        <w:rPr>
          <w:rFonts w:ascii="Arial" w:cs="Arial" w:eastAsia="Arial" w:hAnsi="Arial"/>
          <w:sz w:val="18"/>
          <w:szCs w:val="18"/>
          <w:color w:val="auto"/>
        </w:rPr>
      </w:pPr>
      <w:r>
        <w:rPr>
          <w:rFonts w:ascii="Arial" w:cs="Arial" w:eastAsia="Arial" w:hAnsi="Arial"/>
          <w:sz w:val="18"/>
          <w:szCs w:val="18"/>
          <w:color w:val="auto"/>
        </w:rPr>
        <w:t>the Company will not contest any application you may make for unemployment benefits.</w:t>
      </w:r>
    </w:p>
    <w:p>
      <w:pPr>
        <w:spacing w:after="0" w:line="225" w:lineRule="exact"/>
        <w:rPr>
          <w:rFonts w:ascii="Arial" w:cs="Arial" w:eastAsia="Arial" w:hAnsi="Arial"/>
          <w:sz w:val="18"/>
          <w:szCs w:val="18"/>
          <w:color w:val="auto"/>
        </w:rPr>
      </w:pPr>
    </w:p>
    <w:p>
      <w:pPr>
        <w:ind w:left="1080" w:hanging="44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Releases of Claims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305"/>
        <w:spacing w:after="0" w:line="285" w:lineRule="auto"/>
        <w:tabs>
          <w:tab w:leader="none" w:pos="2162"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Your Release of Claims</w:t>
      </w:r>
      <w:r>
        <w:rPr>
          <w:rFonts w:ascii="Arial" w:cs="Arial" w:eastAsia="Arial" w:hAnsi="Arial"/>
          <w:sz w:val="16"/>
          <w:szCs w:val="16"/>
          <w:color w:val="auto"/>
        </w:rPr>
        <w:t>. In consideration of the Separation Benefits, and other good and valuable consideration set forth in this Agreement to which you agree you would not be entitled without executing this Agreement, except as related to the terms of or a breach of this Agreement, you and your heirs, administrators, executors, attorneys, successors and assigns (the "Employee Release Parties") hereby forever release and discharge the Company and TriNet Group, Inc. (and each of their parents, subsidiaries, related entities, and affiliates), and each of their respective present and former members, partners, directors, officers, shareholders, investors, employees, fiduciaries, administrators, agents, attorneys, insurers, successors and assigns (the "Company Released Parties"), from any and all from any and all agreements, accounts, bonds, causes of action, contracts, controversies, covenants, claims, debts, demands, dues, judgments, obligations, promises and suits, whatsoever, in law or equity (each a “Claim” and collectively, the “Claims”), which the Employee Release Parties ever had, now have or may hereafter claim to have against the Company Released Parties, including in their personal or corporate capacity, arising out of or by reason of any cause, matter or thing whatsoever, whether known or unknown, from the beginning of time up through the Effective Date including, but not limited to, relating to your employment by the Company, and your separation therefrom, your employee benefits, and all matters arising under any federal, state or local statute, rule or regulation or principle of contract law or common law; provided, however, that notwithstanding the foregoing, nothing contained in this Section shall in any way diminish or impair or waive any claims or rights the Employee Release Parties may have to (i) your vested employee benefits under the Company’s health, welfare or 401(k) plans, (ii) benefits and/or the right to seek benefits under applicable workers’ compensation and/or unemployment compensation statutes, (iii) pursue claims which cannot be waived by this Agreement such as unemployment benefits, workers’ compensation and disability benefits, (iv) enforce this Agreement, (v) challenge the validity of this Agreement and/or (vi) indemnification as an officer, director, or employee of the Company as provided under the Company’s organizational documents, the Indemnification Agreement (as defined below), and any insurance policies providing for such indemnification.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8" w:name="page39"/>
    <w:bookmarkEnd w:id="38"/>
    <w:p>
      <w:pPr>
        <w:jc w:val="both"/>
        <w:ind w:firstLine="648"/>
        <w:spacing w:after="0" w:line="273" w:lineRule="auto"/>
        <w:rPr>
          <w:sz w:val="20"/>
          <w:szCs w:val="20"/>
          <w:color w:val="auto"/>
        </w:rPr>
      </w:pPr>
      <w:r>
        <w:rPr>
          <w:rFonts w:ascii="Arial" w:cs="Arial" w:eastAsia="Arial" w:hAnsi="Arial"/>
          <w:sz w:val="17"/>
          <w:szCs w:val="17"/>
          <w:color w:val="auto"/>
        </w:rPr>
        <w:t>Without limiting the foregoing general release, such release includes, but is not limited to, Claims arising under Title VII of the Civil Rights Act of 1964, 42 U.S.C. § 2000 et seq., the Age Discrimination in Employment Act of 1967, 29 U.S.C. § 621 et seq., the Americans with Disabilities Act of 1990, 42 U.S.C. § 12101 et seq., the Employee Retirement Income Security Act of 1974, 29 U.S.C. § 1001 et seq., the Family and Medical Leave Act of 1993, 29 U.S.C. § 2601 et seq., and any applicable state and local laws and regulations, all as amended; provided, however, that this paragraph 4 shall not constitute a release of any Claims that arise from a breach of this Agreement and nothing contained herein shall prevent the Employee Released Parties from enforcing their rights to vested benefits pursuant to the Consolidated Omnibus Budget Reconciliation Act (“COBRA”) or similar laws.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You acknowledge and agree that, but for providing this waiver and release (and the Supplemental Release), you would not be receiving the economic benefits being provided to you under the terms of this Agreement.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It is the Company’s desire and intent to make certain that you fully understand the provisions and effects of this Agreement and the release it contains. To that end, you have been encouraged and given the opportunity to consult with legal counsel for the purpose of reviewing the terms of this Agreement.</w:t>
      </w:r>
    </w:p>
    <w:p>
      <w:pPr>
        <w:spacing w:after="0" w:line="181"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Nothing in this Agreement prohibits or prevents you from filing a charge with or participating, testifying, or assisting in any investigation, hearing, whistleblowing proceeding or other proceeding before any federal, state, or local government agency (e.g. EEOC, NLRB, SEC, etc.) nor does anything in this Agreement preclude, prohibit or otherwise limit, in any way, your rights and abilities to contact, communicate with, report matters to, or otherwise participate in any whistleblower program administered by such agencies. However, to the maximum extent permitted by law, you agree that if such an administrative claim is made (other than any whistleblower award), you shall not be entitled to recover any individual monetary relief or other individual remedies.</w:t>
      </w:r>
    </w:p>
    <w:p>
      <w:pPr>
        <w:spacing w:after="0" w:line="158" w:lineRule="exact"/>
        <w:rPr>
          <w:sz w:val="20"/>
          <w:szCs w:val="20"/>
          <w:color w:val="auto"/>
        </w:rPr>
      </w:pPr>
    </w:p>
    <w:p>
      <w:pPr>
        <w:jc w:val="both"/>
        <w:ind w:firstLine="1305"/>
        <w:spacing w:after="0" w:line="255" w:lineRule="auto"/>
        <w:tabs>
          <w:tab w:leader="none" w:pos="2232"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Company’s Release of Claims</w:t>
      </w:r>
      <w:r>
        <w:rPr>
          <w:rFonts w:ascii="Arial" w:cs="Arial" w:eastAsia="Arial" w:hAnsi="Arial"/>
          <w:sz w:val="18"/>
          <w:szCs w:val="18"/>
          <w:color w:val="auto"/>
        </w:rPr>
        <w:t>. The Company hereby forever releases and discharges the Employee Released Parties from any and all Claims which the Company has, or may hereafter have against the Employee Released Parties, including in their personal or corporate capacity, arising out of or by reason of any cause, matter, or thing whatsoever, whether known or unknown, up through the Separation Date relating to your employment by the Company, and your separation therefrom, and all matters arising under any federal, state, or local statute, rule, or regulation, or principle of contract law or common law, provided, however, that this Section 4(b) shall not constitute a release of any Claims that arise from a breach of this Agreement.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ind w:firstLine="656"/>
        <w:spacing w:after="0" w:line="277" w:lineRule="auto"/>
        <w:tabs>
          <w:tab w:leader="none" w:pos="111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 Admission of Liability</w:t>
      </w:r>
      <w:r>
        <w:rPr>
          <w:rFonts w:ascii="Arial" w:cs="Arial" w:eastAsia="Arial" w:hAnsi="Arial"/>
          <w:sz w:val="18"/>
          <w:szCs w:val="18"/>
          <w:color w:val="auto"/>
        </w:rPr>
        <w:t>. It is expressly understood that this Agreement in no way constitutes an admission by Company of any violation of any federal, state or local law, whether statutory or common, and Company denies that a violation of any such law has occurred.</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Indemnification; Insurance.</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 xml:space="preserve">The Company acknowledges and agrees that you shall continue to be covered by the Company’s directors and officer’s insurance policy in accordance with its terms and the Indemnification Agreement between FORM Holdings Corp. (now XpresSpa Group, Inc.) and you dated January 18, 2017 (“Indemnification Agreement”), an executed copy of which is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shall continue to apply in accordance with its terms.</w:t>
      </w:r>
    </w:p>
    <w:p>
      <w:pPr>
        <w:spacing w:after="0" w:line="166" w:lineRule="exact"/>
        <w:rPr>
          <w:sz w:val="20"/>
          <w:szCs w:val="20"/>
          <w:color w:val="auto"/>
        </w:rPr>
      </w:pPr>
    </w:p>
    <w:p>
      <w:pPr>
        <w:ind w:left="1100" w:hanging="444"/>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2182"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Non-Disclosure Agreement, which continues in full force and effect, represents the entire agreement between you and the Company and supersedes any and all existing agreements, oral or written, between you and the Company relating to the terms and conditions of your association with the Company. To the extent there is a conflict between the provisions of this Agreement and the Non-Disclosure Agreement, the provisions of this Agreement control.</w:t>
      </w:r>
    </w:p>
    <w:p>
      <w:pPr>
        <w:spacing w:after="0" w:line="186" w:lineRule="exact"/>
        <w:rPr>
          <w:rFonts w:ascii="Arial" w:cs="Arial" w:eastAsia="Arial" w:hAnsi="Arial"/>
          <w:sz w:val="18"/>
          <w:szCs w:val="18"/>
          <w:color w:val="auto"/>
        </w:rPr>
      </w:pPr>
    </w:p>
    <w:p>
      <w:pPr>
        <w:jc w:val="both"/>
        <w:ind w:firstLine="1305"/>
        <w:spacing w:after="0" w:line="312" w:lineRule="auto"/>
        <w:tabs>
          <w:tab w:leader="none" w:pos="2165"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Amendments and Waivers</w:t>
      </w:r>
      <w:r>
        <w:rPr>
          <w:rFonts w:ascii="Arial" w:cs="Arial" w:eastAsia="Arial" w:hAnsi="Arial"/>
          <w:sz w:val="16"/>
          <w:szCs w:val="16"/>
          <w:color w:val="auto"/>
        </w:rPr>
        <w:t>. No provisions of this Agreement may be amended, modified, waived or discharged except as agreed to in writing by you and the Company. The failure of a party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146" w:lineRule="exact"/>
        <w:rPr>
          <w:rFonts w:ascii="Arial" w:cs="Arial" w:eastAsia="Arial" w:hAnsi="Arial"/>
          <w:sz w:val="16"/>
          <w:szCs w:val="16"/>
          <w:color w:val="auto"/>
        </w:rPr>
      </w:pPr>
    </w:p>
    <w:p>
      <w:pPr>
        <w:ind w:firstLine="1305"/>
        <w:spacing w:after="0" w:line="308" w:lineRule="auto"/>
        <w:tabs>
          <w:tab w:leader="none" w:pos="2303" w:val="left"/>
        </w:tabs>
        <w:numPr>
          <w:ilvl w:val="1"/>
          <w:numId w:val="21"/>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xml:space="preserve">. This Agreement (and its </w:t>
      </w:r>
      <w:r>
        <w:rPr>
          <w:rFonts w:ascii="Arial" w:cs="Arial" w:eastAsia="Arial" w:hAnsi="Arial"/>
          <w:sz w:val="17"/>
          <w:szCs w:val="17"/>
          <w:u w:val="single" w:color="auto"/>
          <w:color w:val="auto"/>
        </w:rPr>
        <w:t>Exhibit A</w:t>
      </w:r>
      <w:r>
        <w:rPr>
          <w:rFonts w:ascii="Arial" w:cs="Arial" w:eastAsia="Arial" w:hAnsi="Arial"/>
          <w:sz w:val="17"/>
          <w:szCs w:val="17"/>
          <w:color w:val="auto"/>
        </w:rPr>
        <w:t>) shall be governed by and construed in accordance with the laws of the State of New York applicable to agreements made and/or to be performed in that State, without regard to any choice of law provisions thereof.</w:t>
      </w:r>
    </w:p>
    <w:p>
      <w:pPr>
        <w:spacing w:after="0" w:line="146" w:lineRule="exact"/>
        <w:rPr>
          <w:rFonts w:ascii="Arial" w:cs="Arial" w:eastAsia="Arial" w:hAnsi="Arial"/>
          <w:sz w:val="17"/>
          <w:szCs w:val="17"/>
          <w:color w:val="auto"/>
        </w:rPr>
      </w:pPr>
    </w:p>
    <w:p>
      <w:pPr>
        <w:ind w:left="2160" w:hanging="855"/>
        <w:spacing w:after="0"/>
        <w:tabs>
          <w:tab w:leader="none" w:pos="216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p>
    <w:p>
      <w:pPr>
        <w:spacing w:after="0" w:line="225" w:lineRule="exact"/>
        <w:rPr>
          <w:rFonts w:ascii="Arial" w:cs="Arial" w:eastAsia="Arial" w:hAnsi="Arial"/>
          <w:sz w:val="18"/>
          <w:szCs w:val="18"/>
          <w:color w:val="auto"/>
        </w:rPr>
      </w:pPr>
    </w:p>
    <w:p>
      <w:pPr>
        <w:jc w:val="both"/>
        <w:ind w:firstLine="2107"/>
        <w:spacing w:after="0" w:line="276" w:lineRule="auto"/>
        <w:rPr>
          <w:rFonts w:ascii="Arial" w:cs="Arial" w:eastAsia="Arial" w:hAnsi="Arial"/>
          <w:sz w:val="18"/>
          <w:szCs w:val="18"/>
          <w:color w:val="auto"/>
        </w:rPr>
      </w:pPr>
      <w:r>
        <w:rPr>
          <w:rFonts w:ascii="Arial" w:cs="Arial" w:eastAsia="Arial" w:hAnsi="Arial"/>
          <w:sz w:val="17"/>
          <w:szCs w:val="17"/>
          <w:color w:val="auto"/>
        </w:rPr>
        <w:t>i. In the event of a breach or anticipated breach of the Agreement by either party, the non-breaching party shall inform the breaching party by letter of the suspected or anticipated breach. The breaching party shall have ten (10) days to cure said breach. In the event the breach has not been cured within ten (10) days, then the non-breaching party may pursue arbitration as described below. Notwithstanding the foregoing, if there is a breach or threatened breach of the Non-Disclosure Agreement or a restrictive covenant set forth in this Agreement, then the Company may immediately seek an injunction in a New York state or federal court to prevent the breach or threatened breach in aid of arbitration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jc w:val="both"/>
        <w:ind w:firstLine="2115"/>
        <w:spacing w:after="0" w:line="289" w:lineRule="auto"/>
        <w:tabs>
          <w:tab w:leader="none" w:pos="3291" w:val="left"/>
        </w:tabs>
        <w:numPr>
          <w:ilvl w:val="2"/>
          <w:numId w:val="22"/>
        </w:numPr>
        <w:rPr>
          <w:rFonts w:ascii="Arial" w:cs="Arial" w:eastAsia="Arial" w:hAnsi="Arial"/>
          <w:sz w:val="16"/>
          <w:szCs w:val="16"/>
          <w:color w:val="auto"/>
        </w:rPr>
      </w:pPr>
      <w:r>
        <w:rPr>
          <w:rFonts w:ascii="Arial" w:cs="Arial" w:eastAsia="Arial" w:hAnsi="Arial"/>
          <w:sz w:val="16"/>
          <w:szCs w:val="16"/>
          <w:color w:val="auto"/>
        </w:rPr>
        <w:t>Except as otherwise provided in the Non-Disclosure Agreement or in this Agreement regarding any restrictive covenant, any dispute arising between you on the one hand and the Company Released Parties on the other hand, under this Agreement, shall be submitted exclusively to binding arbitration before the American Arbitration Association ("AAA") for resolution. Such arbitration shall be conducted in New York, New York, and the arbitrator will apply New York law, including federal law as applied in New York courts. The arbitration shall be conducted in accordance with AAA Commercial Arbitration Rules as modified herein. The arbitration shall be conducted by a single arbitrator and the award of the arbitrator shall be final and binding on the parties, and judgment on the award may be confirmed and entered in any state or federal court in the State and City of New York. The arbitration shall be conducted on a strictly confidential basis, and you shall not disclose the existence of a claim, the nature of a claim, any documents, exhibits, or information exchanged or presented in connection with such a claim, or the result of any action (collectively, "Arbitration Materials"), to any third party, with the sole exception of your legal counsel, who also shall be bound by these confidentiality terms.</w:t>
      </w:r>
    </w:p>
    <w:p>
      <w:pPr>
        <w:spacing w:after="0" w:line="166" w:lineRule="exact"/>
        <w:rPr>
          <w:rFonts w:ascii="Arial" w:cs="Arial" w:eastAsia="Arial" w:hAnsi="Arial"/>
          <w:sz w:val="16"/>
          <w:szCs w:val="16"/>
          <w:color w:val="auto"/>
        </w:rPr>
      </w:pPr>
    </w:p>
    <w:p>
      <w:pPr>
        <w:jc w:val="both"/>
        <w:ind w:firstLine="2115"/>
        <w:spacing w:after="0" w:line="273" w:lineRule="auto"/>
        <w:tabs>
          <w:tab w:leader="none" w:pos="3139" w:val="left"/>
        </w:tabs>
        <w:numPr>
          <w:ilvl w:val="2"/>
          <w:numId w:val="23"/>
        </w:numPr>
        <w:rPr>
          <w:rFonts w:ascii="Arial" w:cs="Arial" w:eastAsia="Arial" w:hAnsi="Arial"/>
          <w:sz w:val="17"/>
          <w:szCs w:val="17"/>
          <w:color w:val="auto"/>
        </w:rPr>
      </w:pPr>
      <w:r>
        <w:rPr>
          <w:rFonts w:ascii="Arial" w:cs="Arial" w:eastAsia="Arial" w:hAnsi="Arial"/>
          <w:sz w:val="17"/>
          <w:szCs w:val="17"/>
          <w:color w:val="auto"/>
        </w:rPr>
        <w:t>In the event of any court proceeding to challenge or enforce an arbitrator's award, the parties hereby consent to the exclusive jurisdiction of the state and federal courts in New York, New York and agree to venue in that jurisdiction. Each party hereby irrevocably waives personal service of process and consents to process being served in any such suit, action or proceeding by delivering a copy thereof to such party in accordance with the notice provisions of Section 6.f below. The parties agree to take all steps necessary to protect the confidentiality of the Arbitration Materials in connection with any such proceeding, agree to file all Proprietary Information (and documents containing Proprietary Information) under seal, and agree to the entry of an appropriate protective order encompassing the confidentiality terms of this Agreement.</w:t>
      </w:r>
    </w:p>
    <w:p>
      <w:pPr>
        <w:spacing w:after="0" w:line="178" w:lineRule="exact"/>
        <w:rPr>
          <w:rFonts w:ascii="Arial" w:cs="Arial" w:eastAsia="Arial" w:hAnsi="Arial"/>
          <w:sz w:val="17"/>
          <w:szCs w:val="17"/>
          <w:color w:val="auto"/>
        </w:rPr>
      </w:pPr>
    </w:p>
    <w:p>
      <w:pPr>
        <w:jc w:val="both"/>
        <w:ind w:firstLine="1305"/>
        <w:spacing w:after="0" w:line="276" w:lineRule="auto"/>
        <w:tabs>
          <w:tab w:leader="none" w:pos="2182" w:val="left"/>
        </w:tabs>
        <w:numPr>
          <w:ilvl w:val="1"/>
          <w:numId w:val="24"/>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or provision of this Agreement is invalid or unenforceable, the balance of this Agreement shall remain in effect, provided, however, that if any or all of the release in Section 4 is held unenforceable, this Agreement, except for Section 3(a), shall be deemed null and void. In addition, in any such event, you and the Company agree that it is each of your intention and agreement that any such term or provision, which is held or determined to be unenforceable, as written, shall nonetheless be in force and binding to the fullest extent permitted by law as though such term or provision had been written in such a manner and to such an extent as to be enforceable under the circumstance.</w:t>
      </w:r>
    </w:p>
    <w:p>
      <w:pPr>
        <w:spacing w:after="0" w:line="172" w:lineRule="exact"/>
        <w:rPr>
          <w:rFonts w:ascii="Arial" w:cs="Arial" w:eastAsia="Arial" w:hAnsi="Arial"/>
          <w:sz w:val="17"/>
          <w:szCs w:val="17"/>
          <w:color w:val="auto"/>
        </w:rPr>
      </w:pPr>
    </w:p>
    <w:p>
      <w:pPr>
        <w:jc w:val="both"/>
        <w:ind w:firstLine="1305"/>
        <w:spacing w:after="0" w:line="288" w:lineRule="auto"/>
        <w:tabs>
          <w:tab w:leader="none" w:pos="2418"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notices, consents, waivers or other communications required or permitted to be given between you and the Company must be in writing and will be deemed to have been delivered: (i) upon receipt, when delivered personally; (ii) upon receipt, when sent by facsimile or via e-mail (provided confirmation of transmission and receipt is mechanically or electronically generated and kept on file by the sending party); or (iii) one</w:t>
      </w:r>
    </w:p>
    <w:p>
      <w:pPr>
        <w:jc w:val="both"/>
        <w:spacing w:after="0" w:line="269" w:lineRule="auto"/>
        <w:rPr>
          <w:rFonts w:ascii="Arial" w:cs="Arial" w:eastAsia="Arial" w:hAnsi="Arial"/>
          <w:sz w:val="16"/>
          <w:szCs w:val="16"/>
          <w:color w:val="auto"/>
        </w:rPr>
      </w:pPr>
      <w:r>
        <w:rPr>
          <w:rFonts w:ascii="Arial" w:cs="Arial" w:eastAsia="Arial" w:hAnsi="Arial"/>
          <w:sz w:val="17"/>
          <w:szCs w:val="17"/>
          <w:color w:val="auto"/>
        </w:rPr>
        <w:t>(1) business day after deposit with an overnight courier service with next day delivery specified, in each case, properly addressed to the party to receive the same. The addresses, facsimile numbers and e-mail addresses for such communications shall be as set forth on the signature page to this agreement or to such other address, facsimile number or e-mail address,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mechanically or electronically generated by the sender's facsimile machine or e-mail server containing the time, date, recipient facsimile number or (C) provided by an overnight courier service shall be rebuttable evidence of personal service, receipt by facsimile or receipt from an overnight courier service in accordance with clause (i), (ii) or (iii) above, respectively.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jc w:val="both"/>
        <w:ind w:firstLine="1305"/>
        <w:spacing w:after="0" w:line="255" w:lineRule="auto"/>
        <w:tabs>
          <w:tab w:leader="none" w:pos="2259"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Agreement may be executed in any number of counterparts,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 Execution and delivery of this agreement by facsimile or other electronic signature is legal, valid and binding for all purposes.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READ BEFORE EXECUTING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SIGNING THIS AGREEMENT YOU ACKNOWLEDGE AND STATE THAT:</w:t>
      </w:r>
    </w:p>
    <w:p>
      <w:pPr>
        <w:spacing w:after="0" w:line="225" w:lineRule="exact"/>
        <w:rPr>
          <w:sz w:val="20"/>
          <w:szCs w:val="20"/>
          <w:color w:val="auto"/>
        </w:rPr>
      </w:pPr>
    </w:p>
    <w:p>
      <w:pPr>
        <w:ind w:left="1140" w:hanging="484"/>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YOU HAVE READ THIS AGREEMENT IN ITS ENTIRETY;</w:t>
      </w:r>
    </w:p>
    <w:p>
      <w:pPr>
        <w:spacing w:after="0" w:line="225" w:lineRule="exact"/>
        <w:rPr>
          <w:sz w:val="20"/>
          <w:szCs w:val="20"/>
          <w:color w:val="auto"/>
        </w:rPr>
      </w:pPr>
    </w:p>
    <w:p>
      <w:pPr>
        <w:ind w:right="100" w:firstLine="656"/>
        <w:spacing w:after="0" w:line="264" w:lineRule="auto"/>
        <w:tabs>
          <w:tab w:leader="none" w:pos="11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YOU UNDERSTAND AND KNOW THAT YOU ARE GIVING UP IMPORTANT RIGHTS, INCLUDING BUT NOT LIMITED TO THE ACTS, STATUTES, CODES, ORDINANCES, RULES AND LAWS SET FORTH IN THIS AGREEMENT, AND ANY OTHER CONSTITUTIONAL, STATUTORY COMMON LAW RIGHTS AND PRIVILEGES;</w:t>
      </w:r>
    </w:p>
    <w:p>
      <w:pPr>
        <w:spacing w:after="0" w:line="181" w:lineRule="exact"/>
        <w:rPr>
          <w:sz w:val="20"/>
          <w:szCs w:val="20"/>
          <w:color w:val="auto"/>
        </w:rPr>
      </w:pPr>
    </w:p>
    <w:p>
      <w:pPr>
        <w:ind w:left="1260" w:hanging="604"/>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YOU AGREE TO EVERYTHING CONTAINED IN THIS AGREEMENT;</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(IV) YOU HAVE HAD A REASONABLE OPPORTUNITY TO RETAIN AND CONSULT WITH AN ATTORNEY BEFORE SIGNING THIS AGREEMENT; AND</w:t>
      </w:r>
    </w:p>
    <w:p>
      <w:pPr>
        <w:spacing w:after="0" w:line="170" w:lineRule="exact"/>
        <w:rPr>
          <w:sz w:val="20"/>
          <w:szCs w:val="20"/>
          <w:color w:val="auto"/>
        </w:rPr>
      </w:pPr>
    </w:p>
    <w:p>
      <w:pPr>
        <w:ind w:left="5720" w:right="2140" w:hanging="5064"/>
        <w:spacing w:after="0" w:line="501" w:lineRule="auto"/>
        <w:tabs>
          <w:tab w:leader="none" w:pos="1214" w:val="left"/>
        </w:tabs>
        <w:numPr>
          <w:ilvl w:val="0"/>
          <w:numId w:val="29"/>
        </w:numPr>
        <w:rPr>
          <w:rFonts w:ascii="Arial" w:cs="Arial" w:eastAsia="Arial" w:hAnsi="Arial"/>
          <w:sz w:val="18"/>
          <w:szCs w:val="18"/>
          <w:color w:val="auto"/>
        </w:rPr>
      </w:pPr>
      <w:r>
        <w:rPr>
          <w:rFonts w:ascii="Arial" w:cs="Arial" w:eastAsia="Arial" w:hAnsi="Arial"/>
          <w:sz w:val="18"/>
          <w:szCs w:val="18"/>
          <w:color w:val="auto"/>
        </w:rPr>
        <w:t>YOU ARE SIGNING THIS AGREEMENT KNOWINGLY, VOLUNTARILY, AND FREE OF ANY DURESS. XPRESSPA GROUP, INC.</w:t>
      </w: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Bruce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Chairman of the Board</w:t>
      </w:r>
    </w:p>
    <w:p>
      <w:pPr>
        <w:spacing w:after="0" w:line="21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Dated: June 21, 2018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Confirmed, Agreed and Acknowledged: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Anastasia Nyrkovskaya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2670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Dated: June 19, 2018</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Edward Jankowski, certify that:</w:t>
      </w:r>
    </w:p>
    <w:p>
      <w:pPr>
        <w:spacing w:after="0" w:line="225"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XpresSpa Group,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07"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14, 2018</w:t>
      </w:r>
    </w:p>
    <w:p>
      <w:pPr>
        <w:spacing w:after="0" w:line="225" w:lineRule="exact"/>
        <w:rPr>
          <w:sz w:val="20"/>
          <w:szCs w:val="20"/>
          <w:color w:val="auto"/>
        </w:rPr>
      </w:pPr>
    </w:p>
    <w:p>
      <w:pPr>
        <w:ind w:left="4600"/>
        <w:spacing w:after="0"/>
        <w:tabs>
          <w:tab w:leader="none" w:pos="49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EDWARD JANKOWSKI</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Janine Canale, certify that:</w:t>
      </w:r>
    </w:p>
    <w:p>
      <w:pPr>
        <w:spacing w:after="0" w:line="225"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XpresSpa Group,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07"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14, 2018</w:t>
      </w:r>
    </w:p>
    <w:p>
      <w:pPr>
        <w:spacing w:after="0" w:line="225" w:lineRule="exact"/>
        <w:rPr>
          <w:sz w:val="20"/>
          <w:szCs w:val="20"/>
          <w:color w:val="auto"/>
        </w:rPr>
      </w:pPr>
    </w:p>
    <w:p>
      <w:pPr>
        <w:ind w:left="4840"/>
        <w:spacing w:after="0"/>
        <w:tabs>
          <w:tab w:leader="none" w:pos="5160" w:val="left"/>
        </w:tabs>
        <w:rPr>
          <w:sz w:val="20"/>
          <w:szCs w:val="20"/>
          <w:color w:val="auto"/>
        </w:rPr>
      </w:pPr>
      <w:r>
        <w:rPr>
          <w:rFonts w:ascii="Arial" w:cs="Arial" w:eastAsia="Arial" w:hAnsi="Arial"/>
          <w:sz w:val="18"/>
          <w:szCs w:val="18"/>
          <w:color w:val="auto"/>
        </w:rPr>
        <w:t>/s/</w:t>
        <w:tab/>
        <w:t>JANINE CANALE</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Controller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XpresSpa Group, Inc., a Delaware corporation (the “Company”), does hereby certify, to such officer’s knowledge, that:</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Quarterly Report for the quarter ended June 30, 2018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2018</w:t>
      </w:r>
    </w:p>
    <w:p>
      <w:pPr>
        <w:spacing w:after="0" w:line="225" w:lineRule="exact"/>
        <w:rPr>
          <w:sz w:val="20"/>
          <w:szCs w:val="20"/>
          <w:color w:val="auto"/>
        </w:rPr>
      </w:pPr>
    </w:p>
    <w:p>
      <w:pPr>
        <w:ind w:left="4600"/>
        <w:spacing w:after="0"/>
        <w:tabs>
          <w:tab w:leader="none" w:pos="49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EDWARD JANKOWSKI</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Edward Jankowski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2018</w:t>
      </w:r>
    </w:p>
    <w:p>
      <w:pPr>
        <w:spacing w:after="0" w:line="225" w:lineRule="exact"/>
        <w:rPr>
          <w:sz w:val="20"/>
          <w:szCs w:val="20"/>
          <w:color w:val="auto"/>
        </w:rPr>
      </w:pPr>
    </w:p>
    <w:p>
      <w:pPr>
        <w:ind w:left="4840"/>
        <w:spacing w:after="0"/>
        <w:tabs>
          <w:tab w:leader="none" w:pos="5160" w:val="left"/>
        </w:tabs>
        <w:rPr>
          <w:sz w:val="20"/>
          <w:szCs w:val="20"/>
          <w:color w:val="auto"/>
        </w:rPr>
      </w:pPr>
      <w:r>
        <w:rPr>
          <w:rFonts w:ascii="Arial" w:cs="Arial" w:eastAsia="Arial" w:hAnsi="Arial"/>
          <w:sz w:val="18"/>
          <w:szCs w:val="18"/>
          <w:color w:val="auto"/>
        </w:rPr>
        <w:t>/s/</w:t>
        <w:tab/>
        <w:t>JANINE CANALE</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Janine Canale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Controller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1)"/>
      <w:numFmt w:val="lowerRoman"/>
      <w:start w:val="1"/>
    </w:lvl>
  </w:abstractNum>
  <w:abstractNum w:abstractNumId="8">
    <w:nsid w:val="2D1D5AE9"/>
    <w:multiLevelType w:val="hybridMultilevel"/>
    <w:lvl w:ilvl="0">
      <w:lvlJc w:val="left"/>
      <w:lvlText w:val="&amp;"/>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3"/>
    </w:lvl>
  </w:abstractNum>
  <w:abstractNum w:abstractNumId="13">
    <w:nsid w:val="4353D0CD"/>
    <w:multiLevelType w:val="hybridMultilevel"/>
    <w:lvl w:ilvl="0">
      <w:lvlJc w:val="left"/>
      <w:lvlText w:val="%1."/>
      <w:numFmt w:val="decimal"/>
      <w:start w:val="1"/>
    </w:lvl>
    <w:lvl w:ilvl="1">
      <w:lvlJc w:val="left"/>
      <w:lvlText w:val="%2."/>
      <w:numFmt w:val="lowerLetter"/>
      <w:start w:val="1"/>
    </w:lvl>
  </w:abstractNum>
  <w:abstractNum w:abstractNumId="14">
    <w:nsid w:val="B03E0C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5">
    <w:nsid w:val="189A769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16">
    <w:nsid w:val="54E49EB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7">
    <w:nsid w:val="71F3245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8">
    <w:nsid w:val="2CA88611"/>
    <w:multiLevelType w:val="hybridMultilevel"/>
    <w:lvl w:ilvl="0">
      <w:lvlJc w:val="left"/>
      <w:lvlText w:val="%1."/>
      <w:numFmt w:val="lowerLetter"/>
      <w:start w:val="2"/>
    </w:lvl>
  </w:abstractNum>
  <w:abstractNum w:abstractNumId="19">
    <w:nsid w:val="836C40E"/>
    <w:multiLevelType w:val="hybridMultilevel"/>
    <w:lvl w:ilvl="0">
      <w:lvlJc w:val="left"/>
      <w:lvlText w:val="%1."/>
      <w:numFmt w:val="decimal"/>
      <w:start w:val="5"/>
    </w:lvl>
  </w:abstractNum>
  <w:abstractNum w:abstractNumId="20">
    <w:nsid w:val="2901D82"/>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21">
    <w:nsid w:val="3A95F87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22">
    <w:nsid w:val="8138641"/>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61"/>
    </w:lvl>
  </w:abstractNum>
  <w:abstractNum w:abstractNumId="23">
    <w:nsid w:val="1E7FF521"/>
    <w:multiLevelType w:val="hybridMultilevel"/>
    <w:lvl w:ilvl="0">
      <w:lvlJc w:val="left"/>
      <w:lvlText w:val="%1"/>
      <w:numFmt w:val="upperLetter"/>
      <w:start w:val="1"/>
    </w:lvl>
    <w:lvl w:ilvl="1">
      <w:lvlJc w:val="left"/>
      <w:lvlText w:val="%2."/>
      <w:numFmt w:val="lowerLetter"/>
      <w:start w:val="5"/>
    </w:lvl>
    <w:lvl w:ilvl="2">
      <w:lvlJc w:val="left"/>
      <w:lvlText w:val="%3"/>
      <w:numFmt w:val="lowerLetter"/>
      <w:start w:val="1"/>
    </w:lvl>
  </w:abstractNum>
  <w:abstractNum w:abstractNumId="24">
    <w:nsid w:val="7C3DBD3D"/>
    <w:multiLevelType w:val="hybridMultilevel"/>
    <w:lvl w:ilvl="0">
      <w:lvlJc w:val="left"/>
      <w:lvlText w:val="%1."/>
      <w:numFmt w:val="lowerLetter"/>
      <w:start w:val="7"/>
    </w:lvl>
  </w:abstractNum>
  <w:abstractNum w:abstractNumId="25">
    <w:nsid w:val="737B8DDC"/>
    <w:multiLevelType w:val="hybridMultilevel"/>
    <w:lvl w:ilvl="0">
      <w:lvlJc w:val="left"/>
      <w:lvlText w:val="(%1)"/>
      <w:numFmt w:val="upperLetter"/>
      <w:start w:val="9"/>
    </w:lvl>
  </w:abstractNum>
  <w:abstractNum w:abstractNumId="26">
    <w:nsid w:val="6CEAF087"/>
    <w:multiLevelType w:val="hybridMultilevel"/>
    <w:lvl w:ilvl="0">
      <w:lvlJc w:val="left"/>
      <w:lvlText w:val="(%1)"/>
      <w:numFmt w:val="upperLetter"/>
      <w:start w:val="35"/>
    </w:lvl>
  </w:abstractNum>
  <w:abstractNum w:abstractNumId="27">
    <w:nsid w:val="22221A70"/>
    <w:multiLevelType w:val="hybridMultilevel"/>
    <w:lvl w:ilvl="0">
      <w:lvlJc w:val="left"/>
      <w:lvlText w:val="(%1)"/>
      <w:numFmt w:val="upperLetter"/>
      <w:start w:val="61"/>
    </w:lvl>
  </w:abstractNum>
  <w:abstractNum w:abstractNumId="28">
    <w:nsid w:val="4516DDE9"/>
    <w:multiLevelType w:val="hybridMultilevel"/>
    <w:lvl w:ilvl="0">
      <w:lvlJc w:val="left"/>
      <w:lvlText w:val="(%1)"/>
      <w:numFmt w:val="upperLetter"/>
      <w:start w:val="22"/>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decimal"/>
      <w:start w:val="5"/>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1."/>
      <w:numFmt w:val="decimal"/>
      <w:start w:val="5"/>
    </w:lvl>
  </w:abstractNum>
  <w:abstractNum w:abstractNumId="36">
    <w:nsid w:val="77465F0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2019-12-28T19:51:19Z</dcterms:created>
  <dcterms:modified xsi:type="dcterms:W3CDTF">2019-12-28T19:51:19Z</dcterms:modified>
</cp:coreProperties>
</file>