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20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25, 2020</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XpresSpa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520" w:type="dxa"/>
            <w:vAlign w:val="bottom"/>
            <w:tcBorders>
              <w:bottom w:val="single" w:sz="8" w:color="auto"/>
            </w:tcBorders>
          </w:tcPr>
          <w:p>
            <w:pPr>
              <w:ind w:left="2380"/>
              <w:spacing w:after="0"/>
              <w:rPr>
                <w:sz w:val="20"/>
                <w:szCs w:val="20"/>
                <w:color w:val="auto"/>
              </w:rPr>
            </w:pPr>
            <w:r>
              <w:rPr>
                <w:rFonts w:ascii="Arial" w:cs="Arial" w:eastAsia="Arial" w:hAnsi="Arial"/>
                <w:sz w:val="18"/>
                <w:szCs w:val="18"/>
                <w:b w:val="1"/>
                <w:bCs w:val="1"/>
                <w:color w:val="auto"/>
              </w:rPr>
              <w:t>001-34785</w:t>
            </w:r>
          </w:p>
        </w:tc>
        <w:tc>
          <w:tcPr>
            <w:tcW w:w="220" w:type="dxa"/>
            <w:vAlign w:val="bottom"/>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680" w:type="dxa"/>
            <w:vAlign w:val="bottom"/>
            <w:tcBorders>
              <w:bottom w:val="single" w:sz="8" w:color="auto"/>
            </w:tcBorders>
            <w:gridSpan w:val="3"/>
          </w:tcPr>
          <w:p>
            <w:pPr>
              <w:jc w:val="right"/>
              <w:ind w:right="2230"/>
              <w:spacing w:after="0"/>
              <w:rPr>
                <w:sz w:val="20"/>
                <w:szCs w:val="20"/>
                <w:color w:val="auto"/>
              </w:rPr>
            </w:pPr>
            <w:r>
              <w:rPr>
                <w:rFonts w:ascii="Arial" w:cs="Arial" w:eastAsia="Arial" w:hAnsi="Arial"/>
                <w:sz w:val="18"/>
                <w:szCs w:val="18"/>
                <w:b w:val="1"/>
                <w:bCs w:val="1"/>
                <w:color w:val="auto"/>
              </w:rPr>
              <w:t>20-4988129</w:t>
            </w:r>
          </w:p>
        </w:tc>
      </w:tr>
      <w:tr>
        <w:trPr>
          <w:trHeight w:val="230"/>
        </w:trPr>
        <w:tc>
          <w:tcPr>
            <w:tcW w:w="5520" w:type="dxa"/>
            <w:vAlign w:val="bottom"/>
          </w:tcPr>
          <w:p>
            <w:pPr>
              <w:ind w:left="1760"/>
              <w:spacing w:after="0"/>
              <w:rPr>
                <w:sz w:val="20"/>
                <w:szCs w:val="20"/>
                <w:color w:val="auto"/>
              </w:rPr>
            </w:pPr>
            <w:r>
              <w:rPr>
                <w:rFonts w:ascii="Arial" w:cs="Arial" w:eastAsia="Arial" w:hAnsi="Arial"/>
                <w:sz w:val="18"/>
                <w:szCs w:val="18"/>
                <w:color w:val="auto"/>
              </w:rPr>
              <w:t>(Commission File Number)</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color w:val="auto"/>
              </w:rPr>
              <w:t>(IRS Employer Identification No.)</w:t>
            </w:r>
          </w:p>
        </w:tc>
      </w:tr>
      <w:tr>
        <w:trPr>
          <w:trHeight w:val="465"/>
        </w:trPr>
        <w:tc>
          <w:tcPr>
            <w:tcW w:w="6560" w:type="dxa"/>
            <w:vAlign w:val="bottom"/>
            <w:gridSpan w:val="3"/>
          </w:tcPr>
          <w:p>
            <w:pPr>
              <w:ind w:left="1780"/>
              <w:spacing w:after="0"/>
              <w:rPr>
                <w:sz w:val="20"/>
                <w:szCs w:val="20"/>
                <w:color w:val="auto"/>
              </w:rPr>
            </w:pPr>
            <w:r>
              <w:rPr>
                <w:rFonts w:ascii="Arial" w:cs="Arial" w:eastAsia="Arial" w:hAnsi="Arial"/>
                <w:sz w:val="18"/>
                <w:szCs w:val="18"/>
                <w:b w:val="1"/>
                <w:bCs w:val="1"/>
                <w:color w:val="auto"/>
              </w:rPr>
              <w:t>254 West 31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Street, 11</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 New York, New York</w:t>
            </w:r>
          </w:p>
        </w:tc>
        <w:tc>
          <w:tcPr>
            <w:tcW w:w="4680" w:type="dxa"/>
            <w:vAlign w:val="bottom"/>
            <w:gridSpan w:val="3"/>
          </w:tcPr>
          <w:p>
            <w:pPr>
              <w:jc w:val="right"/>
              <w:ind w:right="1410"/>
              <w:spacing w:after="0"/>
              <w:rPr>
                <w:sz w:val="20"/>
                <w:szCs w:val="20"/>
                <w:color w:val="auto"/>
              </w:rPr>
            </w:pPr>
            <w:r>
              <w:rPr>
                <w:rFonts w:ascii="Arial" w:cs="Arial" w:eastAsia="Arial" w:hAnsi="Arial"/>
                <w:sz w:val="18"/>
                <w:szCs w:val="18"/>
                <w:b w:val="1"/>
                <w:bCs w:val="1"/>
                <w:color w:val="auto"/>
              </w:rPr>
              <w:t>10001</w:t>
            </w:r>
          </w:p>
        </w:tc>
      </w:tr>
      <w:tr>
        <w:trPr>
          <w:trHeight w:val="230"/>
        </w:trPr>
        <w:tc>
          <w:tcPr>
            <w:tcW w:w="6560" w:type="dxa"/>
            <w:vAlign w:val="bottom"/>
            <w:tcBorders>
              <w:top w:val="single" w:sz="8" w:color="auto"/>
            </w:tcBorders>
            <w:gridSpan w:val="3"/>
          </w:tcPr>
          <w:p>
            <w:pPr>
              <w:ind w:left="2360"/>
              <w:spacing w:after="0"/>
              <w:rPr>
                <w:sz w:val="20"/>
                <w:szCs w:val="20"/>
                <w:color w:val="auto"/>
              </w:rPr>
            </w:pPr>
            <w:r>
              <w:rPr>
                <w:rFonts w:ascii="Arial" w:cs="Arial" w:eastAsia="Arial" w:hAnsi="Arial"/>
                <w:sz w:val="18"/>
                <w:szCs w:val="18"/>
                <w:color w:val="auto"/>
              </w:rPr>
              <w:t>(Address of Principal Executive Offices)</w:t>
            </w: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tcBorders>
              <w:top w:val="single" w:sz="8" w:color="auto"/>
            </w:tcBorders>
          </w:tcPr>
          <w:p>
            <w:pPr>
              <w:jc w:val="right"/>
              <w:ind w:right="125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 309-7549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w w:val="90"/>
              </w:rPr>
              <w:t>Securities registered pursuant to Section 12(b) of the Act:</w:t>
            </w: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53"/>
        </w:trPr>
        <w:tc>
          <w:tcPr>
            <w:tcW w:w="450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Trading Symbol(s)</w:t>
            </w:r>
          </w:p>
        </w:tc>
        <w:tc>
          <w:tcPr>
            <w:tcW w:w="4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color w:val="auto"/>
                <w:w w:val="91"/>
              </w:rPr>
              <w:t>XSPA</w:t>
            </w:r>
          </w:p>
        </w:tc>
        <w:tc>
          <w:tcPr>
            <w:tcW w:w="100" w:type="dxa"/>
            <w:vAlign w:val="bottom"/>
          </w:tcPr>
          <w:p>
            <w:pPr>
              <w:spacing w:after="0"/>
              <w:rPr>
                <w:sz w:val="20"/>
                <w:szCs w:val="20"/>
                <w:color w:val="auto"/>
              </w:rPr>
            </w:pPr>
          </w:p>
        </w:tc>
        <w:tc>
          <w:tcPr>
            <w:tcW w:w="4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right="460"/>
        <w:spacing w:after="0" w:line="296" w:lineRule="auto"/>
        <w:rPr>
          <w:sz w:val="20"/>
          <w:szCs w:val="20"/>
          <w:color w:val="auto"/>
        </w:rPr>
      </w:pPr>
      <w:r>
        <w:rPr>
          <w:rFonts w:ascii="Arial" w:cs="Arial" w:eastAsia="Arial" w:hAnsi="Arial"/>
          <w:sz w:val="16"/>
          <w:szCs w:val="16"/>
          <w:color w:val="212529"/>
        </w:rPr>
        <w:t>On August 25, 2020, XpresSpa Group, Inc., a Delaware corporation (the “Company”), entered into a Securities Purchase Agreement (the “Purchase Agreement”) with certain purchasers named therein (the “Purchasers”), pursuant to which the Company agreed to issue and sell, in a registered direct offering (the “Offering”), (i) 10,407,408 shares (the “Shares”) of the Company’s common stock, par value $0.01 per share (the “Common Stock”) (ii) warrants exercisable for an aggregate of 11,216,932 shares of Common Stock (the “Warrants”) at a combined offering price of $3.15 per share. The Warrants have an exercise price of $3.02 per share. Each Warrant will be immediately exercisable and will expire 24 months from the issuance date.</w:t>
      </w:r>
    </w:p>
    <w:p>
      <w:pPr>
        <w:spacing w:after="0" w:line="16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212529"/>
        </w:rPr>
        <w:t>The Company also offered and sold to certain purchasers pre-funded warrants to purchase an aggregate of 809,524 shares of Common Stock (the “Pre-Funded Warrants” and, together with the Shares and the Warrants, the “Securities”), in lieu of shares of Common Stock. Each Pre-Funded Warrant is exercisable for one share of our Common Stock. The purchase price of each Pre-Funded Warrant is equal to the price at which a share of Common Stock is sold to the public in this offering, minus $0.001, and the exercise price of each pre Pre-Funded Warrant is $0.001 per share. Subject to the ownership limits described in the following paragraph, the Pre-Funded Warrants are immediately exercisable and may be exercised at any time until all of the Pre-Funded Warrants are exercised in full.</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212529"/>
        </w:rPr>
        <w:t>A holder (together with its affiliates) may not exercise any portion of the Warrant or Pre-Funded Warrant to the extent that the holder would own more than 4.99% (or, at the holder’s option upon issuance, 9.99%) of the Company’s outstanding Common Stock immediately after exercise. However, upon at least 61 days’ prior notice from the holder to the Company, a holder with a 4.99% ownership blocker may increase the amount of ownership of outstanding Common Stock after exercising the holder’s Warrant or Pre-Funded Warrant up to 9.99% of the number of the Company’s Common Stock outstanding immediately after giving effect to the exercise, as such percentage ownership is determined in accordance with the terms of the Warrant or Pre-Funded Warrant.</w:t>
      </w:r>
    </w:p>
    <w:p>
      <w:pPr>
        <w:spacing w:after="0" w:line="192"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212529"/>
        </w:rPr>
        <w:t>The Purchase Agreement contains customary representations and warranties and agreements of the Company and the Purchasers and customary indemnification rights and obligations of the parties. The closing of the Offering occurred on August 28, 2020. The Company received gross proceeds of approximately $35.3 million in connection with the Offering, before deducting placement agent fees and related offering expenses.</w:t>
      </w:r>
    </w:p>
    <w:p>
      <w:pPr>
        <w:spacing w:after="0" w:line="14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Pursuant to a letter agreement, dated March </w:t>
      </w:r>
      <w:r>
        <w:rPr>
          <w:rFonts w:ascii="Arial" w:cs="Arial" w:eastAsia="Arial" w:hAnsi="Arial"/>
          <w:sz w:val="16"/>
          <w:szCs w:val="16"/>
          <w:color w:val="212529"/>
        </w:rPr>
        <w:t>25</w:t>
      </w:r>
      <w:r>
        <w:rPr>
          <w:rFonts w:ascii="Arial" w:cs="Arial" w:eastAsia="Arial" w:hAnsi="Arial"/>
          <w:sz w:val="16"/>
          <w:szCs w:val="16"/>
          <w:color w:val="auto"/>
        </w:rPr>
        <w:t xml:space="preserve">, 2020, as amended on June 16, 2020 (the “Engagement Letter”), the Company engaged H.C. Wainwright &amp; Co., LLC (the “Placement Agent”) as placement agent in connection with the Offering. The Placement Agent agreed to use its reasonable best efforts to arrange for the sale of the Securities. The Company agreed to pay to the Placement Agent a cash fee of 7.5% of the aggregate gross proceeds raised in the Offering, plus a management fee equal to </w:t>
      </w:r>
      <w:r>
        <w:rPr>
          <w:rFonts w:ascii="Arial" w:cs="Arial" w:eastAsia="Arial" w:hAnsi="Arial"/>
          <w:sz w:val="16"/>
          <w:szCs w:val="16"/>
          <w:color w:val="212529"/>
        </w:rPr>
        <w:t>1.0</w:t>
      </w:r>
      <w:r>
        <w:rPr>
          <w:rFonts w:ascii="Arial" w:cs="Arial" w:eastAsia="Arial" w:hAnsi="Arial"/>
          <w:sz w:val="16"/>
          <w:szCs w:val="16"/>
          <w:color w:val="auto"/>
        </w:rPr>
        <w:t>% of the gross proceeds raised in the Offering and reimbursement of certain expenses and legal fees. Pursuant to the Engagement Letter, the Company also issued to designees of the Placement Agent warrants to purchase up to 8.0% of the aggregate number of shares of Common Stock sold in the transactions, or warrants to purchase up to 897,355 shares of Common Stock (the “Placement Agent Warrants”). The Placement Agent Warrants have substantially the same terms as the Warrants, except that the Placement Agent Warrants have an exercise price equal to 125% of the offering price per share (or $3.9375 per share). The Placement Agent Warrants and the shares issuable upon exercise of the Placement Agent Warrants were issued pursuant to the Registration Statement. The Company also agreed to pay the Placement Agent $25,000 for non-accountable expenses, to reimburse the Placement Agent’s legal fees in an amount up to $40,000 and to pay $12,900 for the Placement Agent’s clearing fees. Pursuant to the terms of the Engagement Letter, the Placement Agent has the right, for a period of twelve months following the closing of the Offerings, to act (i) as financial advisor in connection with any merger, consolidation or similar business combination by the Company and (ii) as sole book-running manager, sole underwriter or sole placement agent in connection with certain debt and equity financing transactions by the Company.</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summaries of the Purchase Agreement, the Warrants, the Pre-Funded Warrants and the Placement Agent Warrants do not purport to be complete and are subject to, and qualified in their entirety by, the forms of such documents attached as Exhibits 10.1, 4.1, 4.2 and 4.3, respectively, to this Current Report on Form 8-K, which are incorporated herein by reference.</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The Securities in the Offering were offered by the Company pursuant to a registration statement on Form S-3 (File No. 333- 240084), which was filed with the Securities and Exchange Commission (the “Commission”) on July 24, 2020 and was declared effective by the Commission on August 5, 2020 (the “Registration Statement”). </w:t>
      </w:r>
      <w:r>
        <w:rPr>
          <w:rFonts w:ascii="Arial" w:cs="Arial" w:eastAsia="Arial" w:hAnsi="Arial"/>
          <w:sz w:val="18"/>
          <w:szCs w:val="18"/>
          <w:color w:val="000000"/>
        </w:rPr>
        <w:t>A copy of the opinion of Bryan Cave Leighton Paisner LLP relating to the legality of the issuance and sale of the Securities in</w:t>
      </w:r>
      <w:r>
        <w:rPr>
          <w:rFonts w:ascii="Arial" w:cs="Arial" w:eastAsia="Arial" w:hAnsi="Arial"/>
          <w:sz w:val="18"/>
          <w:szCs w:val="18"/>
          <w:color w:val="212529"/>
        </w:rPr>
        <w:t xml:space="preserve"> </w:t>
      </w:r>
      <w:r>
        <w:rPr>
          <w:rFonts w:ascii="Arial" w:cs="Arial" w:eastAsia="Arial" w:hAnsi="Arial"/>
          <w:sz w:val="18"/>
          <w:szCs w:val="18"/>
          <w:color w:val="000000"/>
        </w:rPr>
        <w:t>the Offering is attached as Exhibit 5.1 hereto.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Form of Warrant.</w:t>
        </w:r>
      </w:hyperlink>
    </w:p>
    <w:p>
      <w:pPr>
        <w:spacing w:after="0" w:line="23"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hyperlink w:anchor="page24">
        <w:r>
          <w:rPr>
            <w:rFonts w:ascii="Arial" w:cs="Arial" w:eastAsia="Arial" w:hAnsi="Arial"/>
            <w:sz w:val="18"/>
            <w:szCs w:val="18"/>
            <w:u w:val="single" w:color="auto"/>
            <w:color w:val="0000EE"/>
          </w:rPr>
          <w:t>4.2</w:t>
        </w:r>
      </w:hyperlink>
      <w:r>
        <w:rPr>
          <w:rFonts w:ascii="Arial" w:cs="Arial" w:eastAsia="Arial" w:hAnsi="Arial"/>
          <w:sz w:val="18"/>
          <w:szCs w:val="18"/>
          <w:u w:val="single" w:color="auto"/>
          <w:color w:val="0000EE"/>
        </w:rPr>
        <w:tab/>
      </w:r>
      <w:hyperlink w:anchor="page24">
        <w:r>
          <w:rPr>
            <w:rFonts w:ascii="Arial" w:cs="Arial" w:eastAsia="Arial" w:hAnsi="Arial"/>
            <w:sz w:val="16"/>
            <w:szCs w:val="16"/>
            <w:u w:val="single" w:color="auto"/>
            <w:color w:val="0000EE"/>
          </w:rPr>
          <w:t>Form of Pre-Funded Warrant.</w:t>
        </w:r>
      </w:hyperlink>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hyperlink w:anchor="page42">
        <w:r>
          <w:rPr>
            <w:rFonts w:ascii="Arial" w:cs="Arial" w:eastAsia="Arial" w:hAnsi="Arial"/>
            <w:sz w:val="18"/>
            <w:szCs w:val="18"/>
            <w:u w:val="single" w:color="auto"/>
            <w:color w:val="0000EE"/>
          </w:rPr>
          <w:t>4.3</w:t>
        </w:r>
      </w:hyperlink>
      <w:r>
        <w:rPr>
          <w:rFonts w:ascii="Arial" w:cs="Arial" w:eastAsia="Arial" w:hAnsi="Arial"/>
          <w:sz w:val="18"/>
          <w:szCs w:val="18"/>
          <w:u w:val="single" w:color="auto"/>
          <w:color w:val="0000EE"/>
        </w:rPr>
        <w:tab/>
      </w:r>
      <w:hyperlink w:anchor="page42">
        <w:r>
          <w:rPr>
            <w:rFonts w:ascii="Arial" w:cs="Arial" w:eastAsia="Arial" w:hAnsi="Arial"/>
            <w:sz w:val="16"/>
            <w:szCs w:val="16"/>
            <w:u w:val="single" w:color="auto"/>
            <w:color w:val="0000EE"/>
          </w:rPr>
          <w:t>Form of Placement Agent Warrant.</w:t>
        </w:r>
      </w:hyperlink>
    </w:p>
    <w:p>
      <w:pPr>
        <w:spacing w:after="0" w:line="9" w:lineRule="exact"/>
        <w:rPr>
          <w:sz w:val="20"/>
          <w:szCs w:val="20"/>
          <w:color w:val="auto"/>
        </w:rPr>
      </w:pPr>
    </w:p>
    <w:p>
      <w:pPr>
        <w:ind w:left="920"/>
        <w:spacing w:after="0"/>
        <w:tabs>
          <w:tab w:leader="none" w:pos="1340" w:val="left"/>
        </w:tabs>
        <w:rPr>
          <w:rFonts w:ascii="Arial" w:cs="Arial" w:eastAsia="Arial" w:hAnsi="Arial"/>
          <w:sz w:val="16"/>
          <w:szCs w:val="16"/>
          <w:u w:val="single" w:color="auto"/>
          <w:color w:val="0000EE"/>
        </w:rPr>
      </w:pPr>
      <w:hyperlink w:anchor="page60">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60">
        <w:r>
          <w:rPr>
            <w:rFonts w:ascii="Arial" w:cs="Arial" w:eastAsia="Arial" w:hAnsi="Arial"/>
            <w:sz w:val="16"/>
            <w:szCs w:val="16"/>
            <w:u w:val="single" w:color="auto"/>
            <w:color w:val="0000EE"/>
          </w:rPr>
          <w:t>Opinion of Bryan Cave Leighton Paisner LLP.</w:t>
        </w:r>
      </w:hyperlink>
    </w:p>
    <w:p>
      <w:pPr>
        <w:spacing w:after="0" w:line="9" w:lineRule="exact"/>
        <w:rPr>
          <w:sz w:val="20"/>
          <w:szCs w:val="20"/>
          <w:color w:val="auto"/>
        </w:rPr>
      </w:pPr>
    </w:p>
    <w:p>
      <w:pPr>
        <w:ind w:left="820"/>
        <w:spacing w:after="0"/>
        <w:tabs>
          <w:tab w:leader="none" w:pos="1340" w:val="left"/>
        </w:tabs>
        <w:rPr>
          <w:rFonts w:ascii="Arial" w:cs="Arial" w:eastAsia="Arial" w:hAnsi="Arial"/>
          <w:sz w:val="16"/>
          <w:szCs w:val="16"/>
          <w:u w:val="single" w:color="auto"/>
          <w:color w:val="0000EE"/>
        </w:rPr>
      </w:pPr>
      <w:hyperlink w:anchor="page63">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63">
        <w:r>
          <w:rPr>
            <w:rFonts w:ascii="Arial" w:cs="Arial" w:eastAsia="Arial" w:hAnsi="Arial"/>
            <w:sz w:val="16"/>
            <w:szCs w:val="16"/>
            <w:u w:val="single" w:color="auto"/>
            <w:color w:val="0000EE"/>
          </w:rPr>
          <w:t>Form of Securities Purchase Agreement.</w:t>
        </w:r>
      </w:hyperlink>
    </w:p>
    <w:p>
      <w:pPr>
        <w:spacing w:after="0" w:line="9" w:lineRule="exact"/>
        <w:rPr>
          <w:sz w:val="20"/>
          <w:szCs w:val="20"/>
          <w:color w:val="auto"/>
        </w:rPr>
      </w:pPr>
    </w:p>
    <w:p>
      <w:pPr>
        <w:jc w:val="right"/>
        <w:ind w:right="3599"/>
        <w:spacing w:after="0"/>
        <w:tabs>
          <w:tab w:leader="none" w:pos="5160" w:val="left"/>
        </w:tabs>
        <w:rPr>
          <w:rFonts w:ascii="Arial" w:cs="Arial" w:eastAsia="Arial" w:hAnsi="Arial"/>
          <w:sz w:val="16"/>
          <w:szCs w:val="16"/>
          <w:u w:val="single" w:color="auto"/>
          <w:color w:val="0000EE"/>
        </w:rPr>
      </w:pPr>
      <w:hyperlink w:anchor="page60">
        <w:r>
          <w:rPr>
            <w:rFonts w:ascii="Arial" w:cs="Arial" w:eastAsia="Arial" w:hAnsi="Arial"/>
            <w:sz w:val="18"/>
            <w:szCs w:val="18"/>
            <w:u w:val="single" w:color="auto"/>
            <w:color w:val="0000EE"/>
          </w:rPr>
          <w:t>23.1</w:t>
        </w:r>
      </w:hyperlink>
      <w:r>
        <w:rPr>
          <w:rFonts w:ascii="Arial" w:cs="Arial" w:eastAsia="Arial" w:hAnsi="Arial"/>
          <w:sz w:val="18"/>
          <w:szCs w:val="18"/>
          <w:color w:val="0000EE"/>
        </w:rPr>
        <w:tab/>
      </w:r>
      <w:hyperlink w:anchor="page60">
        <w:r>
          <w:rPr>
            <w:rFonts w:ascii="Arial" w:cs="Arial" w:eastAsia="Arial" w:hAnsi="Arial"/>
            <w:sz w:val="16"/>
            <w:szCs w:val="16"/>
            <w:u w:val="single" w:color="auto"/>
            <w:color w:val="0000EE"/>
          </w:rPr>
          <w:t>Consent of Bryan Cave Leighton Paisner LLP (included in Exhibit 5.1)</w:t>
        </w:r>
        <w:r>
          <w:rPr>
            <w:rFonts w:ascii="Arial" w:cs="Arial" w:eastAsia="Arial" w:hAnsi="Arial"/>
            <w:sz w:val="16"/>
            <w:szCs w:val="16"/>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2000"/>
              <w:spacing w:after="0"/>
              <w:rPr>
                <w:sz w:val="20"/>
                <w:szCs w:val="20"/>
                <w:color w:val="auto"/>
              </w:rPr>
            </w:pPr>
            <w:r>
              <w:rPr>
                <w:rFonts w:ascii="Arial" w:cs="Arial" w:eastAsia="Arial" w:hAnsi="Arial"/>
                <w:sz w:val="18"/>
                <w:szCs w:val="18"/>
                <w:b w:val="1"/>
                <w:bCs w:val="1"/>
                <w:color w:val="auto"/>
              </w:rPr>
              <w:t>XpresSpa Group, Inc.</w:t>
            </w:r>
          </w:p>
        </w:tc>
      </w:tr>
      <w:tr>
        <w:trPr>
          <w:trHeight w:val="439"/>
        </w:trPr>
        <w:tc>
          <w:tcPr>
            <w:tcW w:w="3640" w:type="dxa"/>
            <w:vAlign w:val="bottom"/>
          </w:tcPr>
          <w:p>
            <w:pPr>
              <w:spacing w:after="0"/>
              <w:rPr>
                <w:sz w:val="20"/>
                <w:szCs w:val="20"/>
                <w:color w:val="auto"/>
              </w:rPr>
            </w:pPr>
            <w:r>
              <w:rPr>
                <w:rFonts w:ascii="Arial" w:cs="Arial" w:eastAsia="Arial" w:hAnsi="Arial"/>
                <w:sz w:val="18"/>
                <w:szCs w:val="18"/>
                <w:color w:val="auto"/>
              </w:rPr>
              <w:t>Date: August 28, 2020</w:t>
            </w:r>
          </w:p>
        </w:tc>
        <w:tc>
          <w:tcPr>
            <w:tcW w:w="2560" w:type="dxa"/>
            <w:vAlign w:val="bottom"/>
          </w:tcPr>
          <w:p>
            <w:pPr>
              <w:ind w:left="200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Douglas Satzman</w:t>
            </w:r>
          </w:p>
        </w:tc>
      </w:tr>
      <w:tr>
        <w:trPr>
          <w:trHeight w:val="202"/>
        </w:trPr>
        <w:tc>
          <w:tcPr>
            <w:tcW w:w="3640" w:type="dxa"/>
            <w:vAlign w:val="bottom"/>
          </w:tcPr>
          <w:p>
            <w:pPr>
              <w:spacing w:after="0"/>
              <w:rPr>
                <w:sz w:val="17"/>
                <w:szCs w:val="17"/>
                <w:color w:val="auto"/>
              </w:rPr>
            </w:pPr>
          </w:p>
        </w:tc>
        <w:tc>
          <w:tcPr>
            <w:tcW w:w="2560" w:type="dxa"/>
            <w:vAlign w:val="bottom"/>
          </w:tcPr>
          <w:p>
            <w:pPr>
              <w:ind w:left="200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Douglas Satzman</w:t>
            </w:r>
          </w:p>
        </w:tc>
      </w:tr>
      <w:tr>
        <w:trPr>
          <w:trHeight w:val="230"/>
        </w:trPr>
        <w:tc>
          <w:tcPr>
            <w:tcW w:w="3640" w:type="dxa"/>
            <w:vAlign w:val="bottom"/>
          </w:tcPr>
          <w:p>
            <w:pPr>
              <w:spacing w:after="0"/>
              <w:rPr>
                <w:sz w:val="20"/>
                <w:szCs w:val="20"/>
                <w:color w:val="auto"/>
              </w:rPr>
            </w:pPr>
          </w:p>
        </w:tc>
        <w:tc>
          <w:tcPr>
            <w:tcW w:w="2560" w:type="dxa"/>
            <w:vAlign w:val="bottom"/>
          </w:tcPr>
          <w:p>
            <w:pPr>
              <w:ind w:left="200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ind w:left="10400"/>
        <w:spacing w:after="0"/>
        <w:rPr>
          <w:sz w:val="20"/>
          <w:szCs w:val="20"/>
          <w:color w:val="auto"/>
        </w:rPr>
      </w:pPr>
      <w:r>
        <w:rPr>
          <w:rFonts w:ascii="Arial" w:cs="Arial" w:eastAsia="Arial" w:hAnsi="Arial"/>
          <w:sz w:val="16"/>
          <w:szCs w:val="16"/>
          <w:b w:val="1"/>
          <w:bCs w:val="1"/>
          <w:color w:val="auto"/>
        </w:rPr>
        <w:t>Exhibit 4.1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COMMON STOCK PURCHASE WARRANT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ectPr>
          <w:pgSz w:w="11900" w:h="16838" w:orient="portrait"/>
          <w:cols w:equalWidth="0" w:num="1">
            <w:col w:w="11240"/>
          </w:cols>
          <w:pgMar w:left="320" w:top="337"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Shares:______________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August ___, 2020</w:t>
      </w:r>
    </w:p>
    <w:p>
      <w:pPr>
        <w:spacing w:after="0" w:line="200" w:lineRule="exact"/>
        <w:rPr>
          <w:sz w:val="20"/>
          <w:szCs w:val="20"/>
          <w:color w:val="auto"/>
        </w:rPr>
      </w:pPr>
    </w:p>
    <w:p>
      <w:pPr>
        <w:sectPr>
          <w:pgSz w:w="11900" w:h="16838" w:orient="portrait"/>
          <w:cols w:equalWidth="0" w:num="2">
            <w:col w:w="7160" w:space="720"/>
            <w:col w:w="3360"/>
          </w:cols>
          <w:pgMar w:left="320" w:top="337" w:right="339" w:bottom="144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August ___, 2020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August __, 2022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XpresSpa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of Common Stock (the shares of</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Common Stock issuable upon exercise hereof being referred to as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The purchase price of one share of Common Stock under this Warrant shall be equal to the Exercise Price, as defined in Section 2(b).</w:t>
      </w:r>
    </w:p>
    <w:p>
      <w:pPr>
        <w:spacing w:after="0" w:line="18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August 25, 2020, among the Company and the purchasers signatory thereto.</w:t>
      </w:r>
    </w:p>
    <w:p>
      <w:pPr>
        <w:spacing w:after="0" w:line="146"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5" w:lineRule="auto"/>
        <w:tabs>
          <w:tab w:leader="none" w:pos="1848"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w:t>
      </w:r>
      <w:r>
        <w:rPr>
          <w:rFonts w:ascii="Arial" w:cs="Arial" w:eastAsia="Arial" w:hAnsi="Arial"/>
          <w:sz w:val="16"/>
          <w:szCs w:val="16"/>
          <w:color w:val="auto"/>
        </w:rPr>
        <w:t xml:space="preserve"> </w:t>
      </w:r>
      <w:r>
        <w:rPr>
          <w:rFonts w:ascii="Arial" w:cs="Arial" w:eastAsia="Arial" w:hAnsi="Arial"/>
          <w:sz w:val="16"/>
          <w:szCs w:val="16"/>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 w:name="page6"/>
    <w:bookmarkEnd w:id="5"/>
    <w:p>
      <w:pPr>
        <w:ind w:firstLine="644"/>
        <w:spacing w:after="0" w:line="282" w:lineRule="auto"/>
        <w:tabs>
          <w:tab w:leader="none" w:pos="1608"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$3.02</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firstLine="644"/>
        <w:spacing w:after="0" w:line="342" w:lineRule="auto"/>
        <w:tabs>
          <w:tab w:leader="none" w:pos="1408"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24" w:lineRule="exact"/>
        <w:rPr>
          <w:sz w:val="20"/>
          <w:szCs w:val="20"/>
          <w:color w:val="auto"/>
        </w:rPr>
      </w:pPr>
    </w:p>
    <w:p>
      <w:pPr>
        <w:jc w:val="right"/>
        <w:ind w:left="1300" w:hanging="656"/>
        <w:spacing w:after="0" w:line="274" w:lineRule="auto"/>
        <w:tabs>
          <w:tab w:leader="none" w:pos="947" w:val="left"/>
        </w:tabs>
        <w:numPr>
          <w:ilvl w:val="0"/>
          <w:numId w:val="5"/>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w:t>
      </w:r>
    </w:p>
    <w:p>
      <w:pPr>
        <w:jc w:val="both"/>
        <w:ind w:left="1300" w:hanging="8"/>
        <w:spacing w:after="0" w:line="286" w:lineRule="auto"/>
        <w:tabs>
          <w:tab w:leader="none" w:pos="1557" w:val="left"/>
        </w:tabs>
        <w:numPr>
          <w:ilvl w:val="1"/>
          <w:numId w:val="5"/>
        </w:numPr>
        <w:rPr>
          <w:rFonts w:ascii="Arial" w:cs="Arial" w:eastAsia="Arial" w:hAnsi="Arial"/>
          <w:sz w:val="16"/>
          <w:szCs w:val="16"/>
          <w:color w:val="auto"/>
        </w:rPr>
      </w:pPr>
      <w:r>
        <w:rPr>
          <w:rFonts w:ascii="Arial" w:cs="Arial" w:eastAsia="Arial" w:hAnsi="Arial"/>
          <w:sz w:val="16"/>
          <w:szCs w:val="16"/>
          <w:color w:val="auto"/>
        </w:rPr>
        <w:t>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2" w:lineRule="exact"/>
        <w:rPr>
          <w:rFonts w:ascii="Arial" w:cs="Arial" w:eastAsia="Arial" w:hAnsi="Arial"/>
          <w:sz w:val="16"/>
          <w:szCs w:val="16"/>
          <w:color w:val="auto"/>
        </w:rPr>
      </w:pPr>
    </w:p>
    <w:p>
      <w:pPr>
        <w:ind w:left="920" w:hanging="276"/>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1300" w:right="20" w:hanging="656"/>
        <w:spacing w:after="0" w:line="277" w:lineRule="auto"/>
        <w:tabs>
          <w:tab w:leader="none" w:pos="947"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400"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6" w:name="page7"/>
    <w:bookmarkEnd w:id="6"/>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4" w:hanging="4"/>
        <w:spacing w:after="0" w:line="255" w:lineRule="auto"/>
        <w:tabs>
          <w:tab w:leader="none" w:pos="26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0"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1" w:lineRule="exact"/>
        <w:rPr>
          <w:sz w:val="20"/>
          <w:szCs w:val="20"/>
          <w:color w:val="auto"/>
        </w:rPr>
      </w:pPr>
    </w:p>
    <w:p>
      <w:pPr>
        <w:ind w:left="490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 w:name="page8"/>
    <w:bookmarkEnd w:id="7"/>
    <w:p>
      <w:pPr>
        <w:ind w:left="840" w:hanging="656"/>
        <w:spacing w:after="0"/>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84" w:lineRule="auto"/>
        <w:tabs>
          <w:tab w:leader="none" w:pos="2136" w:val="left"/>
        </w:tabs>
        <w:numPr>
          <w:ilvl w:val="1"/>
          <w:numId w:val="8"/>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this Warrant is being exercised by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392" w:lineRule="exact"/>
        <w:rPr>
          <w:rFonts w:ascii="Arial" w:cs="Arial" w:eastAsia="Arial" w:hAnsi="Arial"/>
          <w:sz w:val="16"/>
          <w:szCs w:val="16"/>
          <w:color w:val="auto"/>
        </w:rPr>
      </w:pPr>
    </w:p>
    <w:p>
      <w:pPr>
        <w:jc w:val="both"/>
        <w:ind w:left="840" w:firstLine="640"/>
        <w:spacing w:after="0" w:line="279" w:lineRule="auto"/>
        <w:tabs>
          <w:tab w:leader="none" w:pos="2321"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jc w:val="both"/>
        <w:ind w:left="840" w:firstLine="640"/>
        <w:spacing w:after="0" w:line="263" w:lineRule="auto"/>
        <w:tabs>
          <w:tab w:leader="none" w:pos="234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40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 w:name="page9"/>
    <w:bookmarkEnd w:id="8"/>
    <w:p>
      <w:pPr>
        <w:jc w:val="both"/>
        <w:ind w:left="840" w:firstLine="640"/>
        <w:spacing w:after="0" w:line="284" w:lineRule="auto"/>
        <w:tabs>
          <w:tab w:leader="none" w:pos="2349"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1" w:lineRule="exact"/>
        <w:rPr>
          <w:rFonts w:ascii="Arial" w:cs="Arial" w:eastAsia="Arial" w:hAnsi="Arial"/>
          <w:sz w:val="16"/>
          <w:szCs w:val="16"/>
          <w:color w:val="auto"/>
        </w:rPr>
      </w:pPr>
    </w:p>
    <w:p>
      <w:pPr>
        <w:jc w:val="both"/>
        <w:ind w:left="840" w:firstLine="640"/>
        <w:spacing w:after="0" w:line="279" w:lineRule="auto"/>
        <w:tabs>
          <w:tab w:leader="none" w:pos="2164"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9" w:name="page10"/>
    <w:bookmarkEnd w:id="9"/>
    <w:p>
      <w:pPr>
        <w:jc w:val="both"/>
        <w:ind w:left="840" w:firstLine="640"/>
        <w:spacing w:after="0" w:line="289" w:lineRule="auto"/>
        <w:tabs>
          <w:tab w:leader="none" w:pos="2226"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840" w:firstLine="640"/>
        <w:spacing w:after="0" w:line="277" w:lineRule="auto"/>
        <w:tabs>
          <w:tab w:leader="none" w:pos="2506"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8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0" w:name="page11"/>
    <w:bookmarkEnd w:id="10"/>
    <w:p>
      <w:pPr>
        <w:jc w:val="both"/>
        <w:ind w:left="180" w:firstLine="652"/>
        <w:spacing w:after="0" w:line="282" w:lineRule="auto"/>
        <w:tabs>
          <w:tab w:leader="none" w:pos="1534"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w:t>
      </w:r>
    </w:p>
    <w:p>
      <w:pPr>
        <w:spacing w:after="0" w:line="8" w:lineRule="exact"/>
        <w:rPr>
          <w:sz w:val="20"/>
          <w:szCs w:val="20"/>
          <w:color w:val="auto"/>
        </w:rPr>
      </w:pPr>
    </w:p>
    <w:p>
      <w:pPr>
        <w:jc w:val="both"/>
        <w:ind w:left="180"/>
        <w:spacing w:after="0" w:line="244" w:lineRule="auto"/>
        <w:rPr>
          <w:sz w:val="20"/>
          <w:szCs w:val="20"/>
          <w:color w:val="auto"/>
        </w:rPr>
      </w:pPr>
      <w:r>
        <w:rPr>
          <w:rFonts w:ascii="Arial" w:cs="Arial" w:eastAsia="Arial" w:hAnsi="Arial"/>
          <w:sz w:val="17"/>
          <w:szCs w:val="17"/>
          <w:color w:val="auto"/>
        </w:rPr>
        <w:t>increase in the Beneficial Ownership Limitation will not be effective until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188"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1225"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395"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2" w:name="page13"/>
    <w:bookmarkEnd w:id="12"/>
    <w:p>
      <w:pPr>
        <w:jc w:val="both"/>
        <w:ind w:left="-460" w:firstLine="644"/>
        <w:spacing w:after="0" w:line="268" w:lineRule="auto"/>
        <w:tabs>
          <w:tab w:leader="none" w:pos="701"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2"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3" w:name="page14"/>
    <w:bookmarkEnd w:id="13"/>
    <w:p>
      <w:pPr>
        <w:jc w:val="both"/>
        <w:ind w:left="4" w:firstLine="644"/>
        <w:spacing w:after="0" w:line="283" w:lineRule="auto"/>
        <w:tabs>
          <w:tab w:leader="none" w:pos="1189"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the later of (i) five Business Days of the Holder’s election and</w:t>
      </w:r>
    </w:p>
    <w:p>
      <w:pPr>
        <w:spacing w:after="0" w:line="185" w:lineRule="exact"/>
        <w:rPr>
          <w:rFonts w:ascii="Arial" w:cs="Arial" w:eastAsia="Arial" w:hAnsi="Arial"/>
          <w:sz w:val="16"/>
          <w:szCs w:val="16"/>
          <w:color w:val="auto"/>
        </w:rPr>
      </w:pPr>
    </w:p>
    <w:p>
      <w:pPr>
        <w:jc w:val="both"/>
        <w:ind w:left="4" w:hanging="4"/>
        <w:spacing w:after="0" w:line="284" w:lineRule="auto"/>
        <w:tabs>
          <w:tab w:leader="none" w:pos="284"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390"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902" w:gutter="0" w:footer="0" w:header="0"/>
        </w:sectPr>
      </w:pPr>
    </w:p>
    <w:bookmarkStart w:id="14" w:name="page15"/>
    <w:bookmarkEnd w:id="14"/>
    <w:p>
      <w:pPr>
        <w:jc w:val="both"/>
        <w:ind w:left="-460" w:firstLine="644"/>
        <w:spacing w:after="0" w:line="286" w:lineRule="auto"/>
        <w:tabs>
          <w:tab w:leader="none" w:pos="741"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700" w:hanging="51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2352"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5" w:name="page16"/>
    <w:bookmarkEnd w:id="15"/>
    <w:p>
      <w:pPr>
        <w:jc w:val="both"/>
        <w:ind w:left="1300" w:firstLine="640"/>
        <w:spacing w:after="0" w:line="284" w:lineRule="auto"/>
        <w:tabs>
          <w:tab w:leader="none" w:pos="264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7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25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398"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6" w:name="page17"/>
    <w:bookmarkEnd w:id="16"/>
    <w:p>
      <w:pPr>
        <w:jc w:val="both"/>
        <w:ind w:firstLine="644"/>
        <w:spacing w:after="0" w:line="273" w:lineRule="auto"/>
        <w:tabs>
          <w:tab w:leader="none" w:pos="116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120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7" w:lineRule="auto"/>
        <w:tabs>
          <w:tab w:leader="none" w:pos="122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7" w:lineRule="exact"/>
        <w:rPr>
          <w:rFonts w:ascii="Arial" w:cs="Arial" w:eastAsia="Arial" w:hAnsi="Arial"/>
          <w:sz w:val="18"/>
          <w:szCs w:val="18"/>
          <w:color w:val="auto"/>
        </w:rPr>
      </w:pPr>
    </w:p>
    <w:p>
      <w:pPr>
        <w:jc w:val="both"/>
        <w:ind w:firstLine="644"/>
        <w:spacing w:after="0" w:line="296" w:lineRule="auto"/>
        <w:tabs>
          <w:tab w:leader="none" w:pos="134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ind w:firstLine="644"/>
        <w:spacing w:after="0" w:line="342" w:lineRule="auto"/>
        <w:tabs>
          <w:tab w:leader="none" w:pos="1147"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4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7" w:name="page18"/>
    <w:bookmarkEnd w:id="17"/>
    <w:p>
      <w:pPr>
        <w:ind w:left="700" w:hanging="516"/>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400"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 w:name="page19"/>
    <w:bookmarkEnd w:id="18"/>
    <w:p>
      <w:pPr>
        <w:ind w:firstLine="644"/>
        <w:spacing w:after="0" w:line="277" w:lineRule="auto"/>
        <w:tabs>
          <w:tab w:leader="none" w:pos="1147"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firstLine="644"/>
        <w:spacing w:after="0" w:line="308" w:lineRule="auto"/>
        <w:tabs>
          <w:tab w:leader="none" w:pos="124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firstLine="644"/>
        <w:spacing w:after="0" w:line="273" w:lineRule="auto"/>
        <w:tabs>
          <w:tab w:leader="none" w:pos="1185"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7" w:lineRule="exact"/>
        <w:rPr>
          <w:rFonts w:ascii="Arial" w:cs="Arial" w:eastAsia="Arial" w:hAnsi="Arial"/>
          <w:sz w:val="17"/>
          <w:szCs w:val="17"/>
          <w:color w:val="auto"/>
        </w:rPr>
      </w:pPr>
    </w:p>
    <w:p>
      <w:pPr>
        <w:ind w:firstLine="644"/>
        <w:spacing w:after="0" w:line="277" w:lineRule="auto"/>
        <w:tabs>
          <w:tab w:leader="none" w:pos="117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firstLine="644"/>
        <w:spacing w:after="0" w:line="259" w:lineRule="auto"/>
        <w:tabs>
          <w:tab w:leader="none" w:pos="130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firstLine="644"/>
        <w:spacing w:after="0" w:line="259" w:lineRule="auto"/>
        <w:tabs>
          <w:tab w:leader="none" w:pos="123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firstLine="644"/>
        <w:spacing w:after="0" w:line="259" w:lineRule="auto"/>
        <w:tabs>
          <w:tab w:leader="none" w:pos="121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1180" w:hanging="536"/>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Holder.</w:t>
      </w:r>
    </w:p>
    <w:p>
      <w:pPr>
        <w:spacing w:after="0" w:line="200" w:lineRule="exact"/>
        <w:rPr>
          <w:sz w:val="20"/>
          <w:szCs w:val="20"/>
          <w:color w:val="auto"/>
        </w:rPr>
      </w:pPr>
    </w:p>
    <w:p>
      <w:pPr>
        <w:spacing w:after="0" w:line="22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 w:name="page20"/>
    <w:bookmarkEnd w:id="19"/>
    <w:p>
      <w:pPr>
        <w:jc w:val="both"/>
        <w:ind w:left="-460" w:firstLine="644"/>
        <w:spacing w:after="0" w:line="311" w:lineRule="auto"/>
        <w:tabs>
          <w:tab w:leader="none" w:pos="783"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left="-460" w:firstLine="644"/>
        <w:spacing w:after="0" w:line="277" w:lineRule="auto"/>
        <w:tabs>
          <w:tab w:leader="none" w:pos="698"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 w:name="page21"/>
    <w:bookmarkEnd w:id="20"/>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XPRESSPA GROUP, INC.</w:t>
      </w:r>
    </w:p>
    <w:p>
      <w:pPr>
        <w:spacing w:after="0" w:line="225" w:lineRule="exact"/>
        <w:rPr>
          <w:sz w:val="20"/>
          <w:szCs w:val="20"/>
          <w:color w:val="auto"/>
        </w:rPr>
      </w:pPr>
    </w:p>
    <w:p>
      <w:pPr>
        <w:ind w:firstLine="1304"/>
        <w:spacing w:after="0" w:line="308" w:lineRule="auto"/>
        <w:tabs>
          <w:tab w:leader="none" w:pos="155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3"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sz w:val="20"/>
          <w:szCs w:val="20"/>
          <w:color w:val="auto"/>
        </w:rPr>
      </w:pPr>
    </w:p>
    <w:p>
      <w:pPr>
        <w:ind w:left="1560" w:hanging="256"/>
        <w:spacing w:after="0"/>
        <w:tabs>
          <w:tab w:leader="none" w:pos="1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line="445" w:lineRule="auto"/>
        <w:framePr w:w="1220" w:h="1024" w:wrap="auto" w:vAnchor="page" w:hAnchor="page" w:x="280" w:y="3301"/>
        <w:rPr>
          <w:rFonts w:ascii="Arial" w:cs="Arial" w:eastAsia="Arial" w:hAnsi="Arial"/>
          <w:sz w:val="16"/>
          <w:szCs w:val="16"/>
          <w:color w:val="auto"/>
        </w:rPr>
      </w:pPr>
      <w:r>
        <w:rPr>
          <w:rFonts w:ascii="Arial" w:cs="Arial" w:eastAsia="Arial" w:hAnsi="Arial"/>
          <w:sz w:val="16"/>
          <w:szCs w:val="16"/>
          <w:color w:val="auto"/>
        </w:rPr>
        <w:t>Address: Phone Number: Email Address:</w:t>
      </w:r>
    </w:p>
    <w:p>
      <w:pPr>
        <w:spacing w:after="0" w:line="209" w:lineRule="auto"/>
        <w:framePr w:w="2820" w:h="160" w:wrap="auto" w:vAnchor="page" w:hAnchor="page" w:x="280" w:y="4597"/>
        <w:rPr>
          <w:rFonts w:ascii="Arial" w:cs="Arial" w:eastAsia="Arial" w:hAnsi="Arial"/>
          <w:sz w:val="16"/>
          <w:szCs w:val="16"/>
          <w:color w:val="auto"/>
        </w:rPr>
      </w:pPr>
      <w:r>
        <w:rPr>
          <w:rFonts w:ascii="Arial" w:cs="Arial" w:eastAsia="Arial" w:hAnsi="Arial"/>
          <w:sz w:val="16"/>
          <w:szCs w:val="16"/>
          <w:color w:val="auto"/>
        </w:rPr>
        <w:t>Dated: _______________ __, ______</w:t>
      </w:r>
    </w:p>
    <w:p>
      <w:pPr>
        <w:spacing w:after="0" w:line="209" w:lineRule="auto"/>
        <w:framePr w:w="2840" w:h="160" w:wrap="auto" w:vAnchor="page" w:hAnchor="page" w:x="280" w:y="5029"/>
        <w:rPr>
          <w:rFonts w:ascii="Arial" w:cs="Arial" w:eastAsia="Arial" w:hAnsi="Arial"/>
          <w:sz w:val="16"/>
          <w:szCs w:val="16"/>
          <w:color w:val="auto"/>
        </w:rPr>
      </w:pPr>
      <w:r>
        <w:rPr>
          <w:rFonts w:ascii="Arial" w:cs="Arial" w:eastAsia="Arial" w:hAnsi="Arial"/>
          <w:sz w:val="16"/>
          <w:szCs w:val="16"/>
          <w:color w:val="auto"/>
        </w:rPr>
        <w:t>Holder’s Signature:</w:t>
      </w:r>
      <w:r>
        <w:rPr>
          <w:rFonts w:ascii="Arial" w:cs="Arial" w:eastAsia="Arial" w:hAnsi="Arial"/>
          <w:sz w:val="16"/>
          <w:szCs w:val="16"/>
          <w:u w:val="single" w:color="auto"/>
          <w:color w:val="auto"/>
        </w:rPr>
        <w:t>_______________</w:t>
      </w:r>
    </w:p>
    <w:p>
      <w:pPr>
        <w:spacing w:after="0" w:line="209" w:lineRule="auto"/>
        <w:framePr w:w="2840" w:h="160" w:wrap="auto" w:vAnchor="page" w:hAnchor="page" w:x="280" w:y="5461"/>
        <w:rPr>
          <w:rFonts w:ascii="Arial" w:cs="Arial" w:eastAsia="Arial" w:hAnsi="Arial"/>
          <w:sz w:val="16"/>
          <w:szCs w:val="16"/>
          <w:color w:val="auto"/>
        </w:rPr>
      </w:pPr>
      <w:r>
        <w:rPr>
          <w:rFonts w:ascii="Arial" w:cs="Arial" w:eastAsia="Arial" w:hAnsi="Arial"/>
          <w:sz w:val="16"/>
          <w:szCs w:val="16"/>
          <w:color w:val="auto"/>
        </w:rPr>
        <w:t>Holder’s Address:</w:t>
      </w:r>
      <w:r>
        <w:rPr>
          <w:rFonts w:ascii="Arial" w:cs="Arial" w:eastAsia="Arial" w:hAnsi="Arial"/>
          <w:sz w:val="16"/>
          <w:szCs w:val="16"/>
          <w:u w:val="single" w:color="auto"/>
          <w:color w:val="auto"/>
        </w:rPr>
        <w:t>________________</w:t>
      </w:r>
    </w:p>
    <w:p>
      <w:pPr>
        <w:spacing w:after="0" w:line="209" w:lineRule="auto"/>
        <w:framePr w:w="560" w:h="160" w:wrap="auto" w:vAnchor="page" w:hAnchor="page" w:x="280" w:y="2653"/>
        <w:rPr>
          <w:rFonts w:ascii="Arial" w:cs="Arial" w:eastAsia="Arial" w:hAnsi="Arial"/>
          <w:sz w:val="16"/>
          <w:szCs w:val="16"/>
          <w:color w:val="auto"/>
        </w:rPr>
      </w:pPr>
      <w:r>
        <w:rPr>
          <w:rFonts w:ascii="Arial" w:cs="Arial" w:eastAsia="Arial" w:hAnsi="Arial"/>
          <w:sz w:val="16"/>
          <w:szCs w:val="16"/>
          <w:color w:val="auto"/>
        </w:rPr>
        <w:t>Name:</w:t>
      </w: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rFonts w:ascii="Arial" w:cs="Arial" w:eastAsia="Arial" w:hAnsi="Arial"/>
          <w:sz w:val="16"/>
          <w:szCs w:val="16"/>
          <w:color w:val="auto"/>
        </w:rPr>
      </w:pPr>
    </w:p>
    <w:p>
      <w:pPr>
        <w:jc w:val="center"/>
        <w:ind w:right="320"/>
        <w:spacing w:after="0"/>
        <w:rPr>
          <w:sz w:val="20"/>
          <w:szCs w:val="20"/>
          <w:color w:val="auto"/>
        </w:rPr>
      </w:pPr>
      <w:r>
        <w:rPr>
          <w:rFonts w:ascii="Arial" w:cs="Arial" w:eastAsia="Arial" w:hAnsi="Arial"/>
          <w:sz w:val="18"/>
          <w:szCs w:val="18"/>
          <w:color w:val="auto"/>
        </w:rPr>
        <w:t>ASSIGNMENT FORM</w:t>
      </w:r>
    </w:p>
    <w:p>
      <w:pPr>
        <w:spacing w:after="0" w:line="225" w:lineRule="exact"/>
        <w:rPr>
          <w:rFonts w:ascii="Arial" w:cs="Arial" w:eastAsia="Arial" w:hAnsi="Arial"/>
          <w:sz w:val="16"/>
          <w:szCs w:val="16"/>
          <w:color w:val="auto"/>
        </w:rPr>
      </w:pPr>
    </w:p>
    <w:p>
      <w:pPr>
        <w:jc w:val="right"/>
        <w:ind w:right="1780"/>
        <w:spacing w:after="0" w:line="527"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6" w:lineRule="exact"/>
        <w:rPr>
          <w:rFonts w:ascii="Arial" w:cs="Arial" w:eastAsia="Arial" w:hAnsi="Arial"/>
          <w:sz w:val="16"/>
          <w:szCs w:val="16"/>
          <w:color w:val="auto"/>
        </w:rPr>
      </w:pPr>
    </w:p>
    <w:p>
      <w:pPr>
        <w:ind w:left="5280"/>
        <w:spacing w:after="0"/>
        <w:rPr>
          <w:sz w:val="20"/>
          <w:szCs w:val="20"/>
          <w:color w:val="auto"/>
        </w:rPr>
      </w:pPr>
      <w:r>
        <w:rPr>
          <w:rFonts w:ascii="Arial" w:cs="Arial" w:eastAsia="Arial" w:hAnsi="Arial"/>
          <w:sz w:val="18"/>
          <w:szCs w:val="18"/>
          <w:u w:val="single" w:color="auto"/>
          <w:color w:val="auto"/>
        </w:rPr>
        <w:t>______________________________________</w:t>
      </w:r>
    </w:p>
    <w:p>
      <w:pPr>
        <w:spacing w:after="0" w:line="23" w:lineRule="exact"/>
        <w:rPr>
          <w:rFonts w:ascii="Arial" w:cs="Arial" w:eastAsia="Arial" w:hAnsi="Arial"/>
          <w:sz w:val="16"/>
          <w:szCs w:val="16"/>
          <w:color w:val="auto"/>
        </w:rPr>
      </w:pPr>
    </w:p>
    <w:p>
      <w:pPr>
        <w:ind w:left="5280"/>
        <w:spacing w:after="0"/>
        <w:rPr>
          <w:sz w:val="20"/>
          <w:szCs w:val="20"/>
          <w:color w:val="auto"/>
        </w:rPr>
      </w:pPr>
      <w:r>
        <w:rPr>
          <w:rFonts w:ascii="Arial" w:cs="Arial" w:eastAsia="Arial" w:hAnsi="Arial"/>
          <w:sz w:val="18"/>
          <w:szCs w:val="18"/>
          <w:color w:val="auto"/>
        </w:rPr>
        <w:t>(Please Print)</w:t>
      </w:r>
    </w:p>
    <w:p>
      <w:pPr>
        <w:spacing w:after="0" w:line="211" w:lineRule="exact"/>
        <w:rPr>
          <w:rFonts w:ascii="Arial" w:cs="Arial" w:eastAsia="Arial" w:hAnsi="Arial"/>
          <w:sz w:val="16"/>
          <w:szCs w:val="16"/>
          <w:color w:val="auto"/>
        </w:rPr>
      </w:pPr>
    </w:p>
    <w:p>
      <w:pPr>
        <w:ind w:left="5280"/>
        <w:spacing w:after="0"/>
        <w:rPr>
          <w:sz w:val="20"/>
          <w:szCs w:val="20"/>
          <w:color w:val="auto"/>
        </w:rPr>
      </w:pPr>
      <w:r>
        <w:rPr>
          <w:rFonts w:ascii="Arial" w:cs="Arial" w:eastAsia="Arial" w:hAnsi="Arial"/>
          <w:sz w:val="18"/>
          <w:szCs w:val="18"/>
          <w:u w:val="single" w:color="auto"/>
          <w:color w:val="auto"/>
        </w:rPr>
        <w:t>______________________________________</w:t>
      </w:r>
    </w:p>
    <w:p>
      <w:pPr>
        <w:spacing w:after="0" w:line="23" w:lineRule="exact"/>
        <w:rPr>
          <w:rFonts w:ascii="Arial" w:cs="Arial" w:eastAsia="Arial" w:hAnsi="Arial"/>
          <w:sz w:val="16"/>
          <w:szCs w:val="16"/>
          <w:color w:val="auto"/>
        </w:rPr>
      </w:pPr>
    </w:p>
    <w:p>
      <w:pPr>
        <w:ind w:left="5280"/>
        <w:spacing w:after="0"/>
        <w:rPr>
          <w:sz w:val="20"/>
          <w:szCs w:val="20"/>
          <w:color w:val="auto"/>
        </w:rPr>
      </w:pPr>
      <w:r>
        <w:rPr>
          <w:rFonts w:ascii="Arial" w:cs="Arial" w:eastAsia="Arial" w:hAnsi="Arial"/>
          <w:sz w:val="18"/>
          <w:szCs w:val="18"/>
          <w:color w:val="auto"/>
        </w:rPr>
        <w:t>(Please Print)</w:t>
      </w:r>
    </w:p>
    <w:p>
      <w:pPr>
        <w:spacing w:after="0" w:line="9" w:lineRule="exact"/>
        <w:rPr>
          <w:rFonts w:ascii="Arial" w:cs="Arial" w:eastAsia="Arial" w:hAnsi="Arial"/>
          <w:sz w:val="16"/>
          <w:szCs w:val="16"/>
          <w:color w:val="auto"/>
        </w:rPr>
      </w:pPr>
    </w:p>
    <w:p>
      <w:pPr>
        <w:ind w:left="5280"/>
        <w:spacing w:after="0"/>
        <w:rPr>
          <w:sz w:val="20"/>
          <w:szCs w:val="20"/>
          <w:color w:val="auto"/>
        </w:rPr>
      </w:pPr>
      <w:r>
        <w:rPr>
          <w:rFonts w:ascii="Arial" w:cs="Arial" w:eastAsia="Arial" w:hAnsi="Arial"/>
          <w:sz w:val="18"/>
          <w:szCs w:val="18"/>
          <w:color w:val="auto"/>
        </w:rPr>
        <w:t>______________________________________</w:t>
      </w:r>
    </w:p>
    <w:p>
      <w:pPr>
        <w:spacing w:after="0" w:line="211" w:lineRule="exact"/>
        <w:rPr>
          <w:rFonts w:ascii="Arial" w:cs="Arial" w:eastAsia="Arial" w:hAnsi="Arial"/>
          <w:sz w:val="16"/>
          <w:szCs w:val="16"/>
          <w:color w:val="auto"/>
        </w:rPr>
      </w:pPr>
    </w:p>
    <w:p>
      <w:pPr>
        <w:ind w:left="5280"/>
        <w:spacing w:after="0"/>
        <w:rPr>
          <w:sz w:val="20"/>
          <w:szCs w:val="20"/>
          <w:color w:val="auto"/>
        </w:rPr>
      </w:pPr>
      <w:r>
        <w:rPr>
          <w:rFonts w:ascii="Arial" w:cs="Arial" w:eastAsia="Arial" w:hAnsi="Arial"/>
          <w:sz w:val="18"/>
          <w:szCs w:val="18"/>
          <w:color w:val="auto"/>
        </w:rPr>
        <w:t>______________________________________</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-210185</wp:posOffset>
            </wp:positionH>
            <wp:positionV relativeFrom="paragraph">
              <wp:posOffset>1111885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3" w:name="page24"/>
    <w:bookmarkEnd w:id="23"/>
    <w:p>
      <w:pPr>
        <w:ind w:left="10400"/>
        <w:spacing w:after="0"/>
        <w:rPr>
          <w:sz w:val="20"/>
          <w:szCs w:val="20"/>
          <w:color w:val="auto"/>
        </w:rPr>
      </w:pPr>
      <w:r>
        <w:rPr>
          <w:rFonts w:ascii="Arial" w:cs="Arial" w:eastAsia="Arial" w:hAnsi="Arial"/>
          <w:sz w:val="16"/>
          <w:szCs w:val="16"/>
          <w:b w:val="1"/>
          <w:bCs w:val="1"/>
          <w:color w:val="auto"/>
        </w:rPr>
        <w:t>Exhibit 4.2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PREFUNDED COMMON STOCK PURCHASE WARRANT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August ___, 2020</w:t>
      </w:r>
    </w:p>
    <w:p>
      <w:pPr>
        <w:spacing w:after="0" w:line="200" w:lineRule="exact"/>
        <w:rPr>
          <w:sz w:val="20"/>
          <w:szCs w:val="20"/>
          <w:color w:val="auto"/>
        </w:rPr>
      </w:pPr>
    </w:p>
    <w:p>
      <w:pPr>
        <w:sectPr>
          <w:pgSz w:w="11900" w:h="16838" w:orient="portrait"/>
          <w:cols w:equalWidth="0" w:num="2">
            <w:col w:w="5520" w:space="720"/>
            <w:col w:w="5000"/>
          </w:cols>
          <w:pgMar w:left="320" w:top="121" w:right="339" w:bottom="144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COMMON STOCK PURCHASE WARRANT (the “</w:t>
      </w:r>
      <w:r>
        <w:rPr>
          <w:rFonts w:ascii="Arial" w:cs="Arial" w:eastAsia="Arial" w:hAnsi="Arial"/>
          <w:sz w:val="16"/>
          <w:szCs w:val="16"/>
          <w:u w:val="single" w:color="auto"/>
          <w:color w:val="auto"/>
        </w:rPr>
        <w:t>Warrant</w:t>
      </w:r>
      <w:r>
        <w:rPr>
          <w:rFonts w:ascii="Arial" w:cs="Arial" w:eastAsia="Arial" w:hAnsi="Arial"/>
          <w:sz w:val="16"/>
          <w:szCs w:val="16"/>
          <w:color w:val="auto"/>
        </w:rPr>
        <w:t>”) certifies that, for value received, _____________ or its assigns (the</w:t>
      </w:r>
    </w:p>
    <w:p>
      <w:pPr>
        <w:spacing w:after="0" w:line="4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 any time on or after August ___, 2020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until this Warrant is exercised in full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but not thereafter, to subscribe for and purchase from XpresSpa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of Common Stock (the shares of Common Stock issuable upon</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exercise hereof being referred to as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The purchase price of one share of Common Stock under this Warrant shall be equal to the Exercise Price, as defined in Section 2(b).</w:t>
      </w:r>
    </w:p>
    <w:p>
      <w:pPr>
        <w:spacing w:after="0" w:line="18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August 25, 2020, among the Company and the purchasers signatory thereto.</w:t>
      </w:r>
    </w:p>
    <w:p>
      <w:pPr>
        <w:spacing w:after="0" w:line="146" w:lineRule="exact"/>
        <w:rPr>
          <w:sz w:val="20"/>
          <w:szCs w:val="20"/>
          <w:color w:val="auto"/>
        </w:rPr>
      </w:pPr>
    </w:p>
    <w:p>
      <w:pPr>
        <w:ind w:left="660"/>
        <w:spacing w:after="0"/>
        <w:tabs>
          <w:tab w:leader="none" w:pos="176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5" w:lineRule="auto"/>
        <w:tabs>
          <w:tab w:leader="none" w:pos="2059"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w:t>
      </w:r>
      <w:r>
        <w:rPr>
          <w:rFonts w:ascii="Arial" w:cs="Arial" w:eastAsia="Arial" w:hAnsi="Arial"/>
          <w:sz w:val="16"/>
          <w:szCs w:val="16"/>
          <w:color w:val="auto"/>
        </w:rPr>
        <w:t xml:space="preserve"> </w:t>
      </w:r>
      <w:r>
        <w:rPr>
          <w:rFonts w:ascii="Arial" w:cs="Arial" w:eastAsia="Arial" w:hAnsi="Arial"/>
          <w:sz w:val="16"/>
          <w:szCs w:val="16"/>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jc w:val="both"/>
        <w:ind w:left="-460" w:firstLine="644"/>
        <w:spacing w:after="0" w:line="293" w:lineRule="auto"/>
        <w:tabs>
          <w:tab w:leader="none" w:pos="945"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aggregate exercise price of this Warrant, except for a nominal exercise price of $0.001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$0.001, subject to adjustment hereunder (the “</w:t>
      </w:r>
      <w:r>
        <w:rPr>
          <w:rFonts w:ascii="Arial" w:cs="Arial" w:eastAsia="Arial" w:hAnsi="Arial"/>
          <w:sz w:val="16"/>
          <w:szCs w:val="16"/>
          <w:u w:val="single" w:color="auto"/>
          <w:color w:val="auto"/>
        </w:rPr>
        <w:t>Exercise Price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460" w:firstLine="644"/>
        <w:spacing w:after="0" w:line="342" w:lineRule="auto"/>
        <w:tabs>
          <w:tab w:leader="none" w:pos="948" w:val="left"/>
        </w:tabs>
        <w:numPr>
          <w:ilvl w:val="0"/>
          <w:numId w:val="27"/>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24" w:lineRule="exact"/>
        <w:rPr>
          <w:sz w:val="20"/>
          <w:szCs w:val="20"/>
          <w:color w:val="auto"/>
        </w:rPr>
      </w:pPr>
    </w:p>
    <w:p>
      <w:pPr>
        <w:jc w:val="right"/>
        <w:ind w:left="840" w:hanging="656"/>
        <w:spacing w:after="0" w:line="274" w:lineRule="auto"/>
        <w:tabs>
          <w:tab w:leader="none" w:pos="487" w:val="left"/>
        </w:tabs>
        <w:numPr>
          <w:ilvl w:val="0"/>
          <w:numId w:val="28"/>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w:t>
      </w:r>
    </w:p>
    <w:p>
      <w:pPr>
        <w:jc w:val="both"/>
        <w:ind w:left="840" w:hanging="8"/>
        <w:spacing w:after="0" w:line="286" w:lineRule="auto"/>
        <w:tabs>
          <w:tab w:leader="none" w:pos="1097" w:val="left"/>
        </w:tabs>
        <w:numPr>
          <w:ilvl w:val="1"/>
          <w:numId w:val="28"/>
        </w:numPr>
        <w:rPr>
          <w:rFonts w:ascii="Arial" w:cs="Arial" w:eastAsia="Arial" w:hAnsi="Arial"/>
          <w:sz w:val="16"/>
          <w:szCs w:val="16"/>
          <w:color w:val="auto"/>
        </w:rPr>
      </w:pPr>
      <w:r>
        <w:rPr>
          <w:rFonts w:ascii="Arial" w:cs="Arial" w:eastAsia="Arial" w:hAnsi="Arial"/>
          <w:sz w:val="16"/>
          <w:szCs w:val="16"/>
          <w:color w:val="auto"/>
        </w:rPr>
        <w:t>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72" w:lineRule="exact"/>
        <w:rPr>
          <w:rFonts w:ascii="Arial" w:cs="Arial" w:eastAsia="Arial" w:hAnsi="Arial"/>
          <w:sz w:val="16"/>
          <w:szCs w:val="16"/>
          <w:color w:val="auto"/>
        </w:rPr>
      </w:pPr>
    </w:p>
    <w:p>
      <w:pPr>
        <w:ind w:left="460" w:hanging="276"/>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00" w:lineRule="exact"/>
        <w:rPr>
          <w:sz w:val="20"/>
          <w:szCs w:val="20"/>
          <w:color w:val="auto"/>
        </w:rPr>
      </w:pPr>
    </w:p>
    <w:p>
      <w:pPr>
        <w:spacing w:after="0" w:line="24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5" w:name="page26"/>
    <w:bookmarkEnd w:id="25"/>
    <w:p>
      <w:pPr>
        <w:ind w:left="1304" w:right="20" w:hanging="656"/>
        <w:spacing w:after="0" w:line="277" w:lineRule="auto"/>
        <w:tabs>
          <w:tab w:leader="none" w:pos="951" w:val="left"/>
        </w:tabs>
        <w:numPr>
          <w:ilvl w:val="0"/>
          <w:numId w:val="29"/>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70"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4"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4" w:hanging="4"/>
        <w:spacing w:after="0" w:line="255" w:lineRule="auto"/>
        <w:tabs>
          <w:tab w:leader="none" w:pos="268"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0"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26" w:name="page27"/>
    <w:bookmarkEnd w:id="26"/>
    <w:p>
      <w:pPr>
        <w:ind w:left="840" w:hanging="656"/>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84" w:lineRule="auto"/>
        <w:tabs>
          <w:tab w:leader="none" w:pos="2136"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this Warrant is being exercised by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7" w:name="page28"/>
    <w:bookmarkEnd w:id="27"/>
    <w:p>
      <w:pPr>
        <w:jc w:val="both"/>
        <w:ind w:left="840" w:firstLine="640"/>
        <w:spacing w:after="0" w:line="279" w:lineRule="auto"/>
        <w:tabs>
          <w:tab w:leader="none" w:pos="2290"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1" w:lineRule="exact"/>
        <w:rPr>
          <w:rFonts w:ascii="Arial" w:cs="Arial" w:eastAsia="Arial" w:hAnsi="Arial"/>
          <w:sz w:val="17"/>
          <w:szCs w:val="17"/>
          <w:color w:val="auto"/>
        </w:rPr>
      </w:pPr>
    </w:p>
    <w:p>
      <w:pPr>
        <w:jc w:val="both"/>
        <w:ind w:left="840" w:firstLine="640"/>
        <w:spacing w:after="0" w:line="263" w:lineRule="auto"/>
        <w:tabs>
          <w:tab w:leader="none" w:pos="228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83" w:lineRule="exact"/>
        <w:rPr>
          <w:rFonts w:ascii="Arial" w:cs="Arial" w:eastAsia="Arial" w:hAnsi="Arial"/>
          <w:sz w:val="18"/>
          <w:szCs w:val="18"/>
          <w:color w:val="auto"/>
        </w:rPr>
      </w:pPr>
    </w:p>
    <w:p>
      <w:pPr>
        <w:jc w:val="both"/>
        <w:ind w:left="840" w:firstLine="640"/>
        <w:spacing w:after="0" w:line="284" w:lineRule="auto"/>
        <w:tabs>
          <w:tab w:leader="none" w:pos="2111"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39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8" w:name="page29"/>
    <w:bookmarkEnd w:id="28"/>
    <w:p>
      <w:pPr>
        <w:jc w:val="both"/>
        <w:ind w:left="840" w:firstLine="640"/>
        <w:spacing w:after="0" w:line="279" w:lineRule="auto"/>
        <w:tabs>
          <w:tab w:leader="none" w:pos="2101"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1" w:lineRule="exact"/>
        <w:rPr>
          <w:rFonts w:ascii="Arial" w:cs="Arial" w:eastAsia="Arial" w:hAnsi="Arial"/>
          <w:sz w:val="17"/>
          <w:szCs w:val="17"/>
          <w:color w:val="auto"/>
        </w:rPr>
      </w:pPr>
    </w:p>
    <w:p>
      <w:pPr>
        <w:jc w:val="both"/>
        <w:ind w:left="840" w:firstLine="640"/>
        <w:spacing w:after="0" w:line="289" w:lineRule="auto"/>
        <w:tabs>
          <w:tab w:leader="none" w:pos="213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840" w:firstLine="640"/>
        <w:spacing w:after="0" w:line="277" w:lineRule="auto"/>
        <w:tabs>
          <w:tab w:leader="none" w:pos="211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9" w:name="page30"/>
    <w:bookmarkEnd w:id="29"/>
    <w:p>
      <w:pPr>
        <w:jc w:val="both"/>
        <w:ind w:left="180" w:firstLine="652"/>
        <w:spacing w:after="0" w:line="282" w:lineRule="auto"/>
        <w:tabs>
          <w:tab w:leader="none" w:pos="1534"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w:t>
      </w:r>
    </w:p>
    <w:p>
      <w:pPr>
        <w:spacing w:after="0" w:line="8" w:lineRule="exact"/>
        <w:rPr>
          <w:sz w:val="20"/>
          <w:szCs w:val="20"/>
          <w:color w:val="auto"/>
        </w:rPr>
      </w:pPr>
    </w:p>
    <w:p>
      <w:pPr>
        <w:jc w:val="both"/>
        <w:ind w:left="180"/>
        <w:spacing w:after="0" w:line="244" w:lineRule="auto"/>
        <w:rPr>
          <w:sz w:val="20"/>
          <w:szCs w:val="20"/>
          <w:color w:val="auto"/>
        </w:rPr>
      </w:pPr>
      <w:r>
        <w:rPr>
          <w:rFonts w:ascii="Arial" w:cs="Arial" w:eastAsia="Arial" w:hAnsi="Arial"/>
          <w:sz w:val="17"/>
          <w:szCs w:val="17"/>
          <w:color w:val="auto"/>
        </w:rPr>
        <w:t>increase in the Beneficial Ownership Limitation will not be effective until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0" w:name="page31"/>
    <w:bookmarkEnd w:id="30"/>
    <w:p>
      <w:pPr>
        <w:spacing w:after="0"/>
        <w:tabs>
          <w:tab w:leader="none" w:pos="110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629"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1365"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39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1" w:name="page32"/>
    <w:bookmarkEnd w:id="31"/>
    <w:p>
      <w:pPr>
        <w:jc w:val="both"/>
        <w:ind w:left="-460" w:firstLine="644"/>
        <w:spacing w:after="0" w:line="268" w:lineRule="auto"/>
        <w:tabs>
          <w:tab w:leader="none" w:pos="1034"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2" w:name="page33"/>
    <w:bookmarkEnd w:id="32"/>
    <w:p>
      <w:pPr>
        <w:jc w:val="both"/>
        <w:ind w:left="4" w:firstLine="644"/>
        <w:spacing w:after="0" w:line="283" w:lineRule="auto"/>
        <w:tabs>
          <w:tab w:leader="none" w:pos="1477" w:val="left"/>
        </w:tabs>
        <w:numPr>
          <w:ilvl w:val="1"/>
          <w:numId w:val="37"/>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the later of (i) five Business Days of the Holder’s election and</w:t>
      </w:r>
    </w:p>
    <w:p>
      <w:pPr>
        <w:spacing w:after="0" w:line="185" w:lineRule="exact"/>
        <w:rPr>
          <w:rFonts w:ascii="Arial" w:cs="Arial" w:eastAsia="Arial" w:hAnsi="Arial"/>
          <w:sz w:val="16"/>
          <w:szCs w:val="16"/>
          <w:color w:val="auto"/>
        </w:rPr>
      </w:pPr>
    </w:p>
    <w:p>
      <w:pPr>
        <w:jc w:val="both"/>
        <w:ind w:left="4" w:hanging="4"/>
        <w:spacing w:after="0" w:line="284" w:lineRule="auto"/>
        <w:tabs>
          <w:tab w:leader="none" w:pos="2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3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902" w:gutter="0" w:footer="0" w:header="0"/>
        </w:sectPr>
      </w:pPr>
    </w:p>
    <w:bookmarkStart w:id="33" w:name="page34"/>
    <w:bookmarkEnd w:id="33"/>
    <w:p>
      <w:pPr>
        <w:jc w:val="both"/>
        <w:ind w:left="-460" w:firstLine="644"/>
        <w:spacing w:after="0" w:line="286" w:lineRule="auto"/>
        <w:tabs>
          <w:tab w:leader="none" w:pos="912"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880" w:hanging="696"/>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235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2168"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4" w:name="page35"/>
    <w:bookmarkEnd w:id="34"/>
    <w:p>
      <w:pPr>
        <w:spacing w:after="0"/>
        <w:tabs>
          <w:tab w:leader="none" w:pos="110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38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1" w:lineRule="exact"/>
        <w:rPr>
          <w:rFonts w:ascii="Arial" w:cs="Arial" w:eastAsia="Arial" w:hAnsi="Arial"/>
          <w:sz w:val="17"/>
          <w:szCs w:val="17"/>
          <w:color w:val="auto"/>
        </w:rPr>
      </w:pPr>
    </w:p>
    <w:p>
      <w:pPr>
        <w:jc w:val="both"/>
        <w:ind w:firstLine="644"/>
        <w:spacing w:after="0" w:line="273" w:lineRule="auto"/>
        <w:tabs>
          <w:tab w:leader="none" w:pos="1405"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132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7" w:lineRule="auto"/>
        <w:tabs>
          <w:tab w:leader="none" w:pos="136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5" w:name="page36"/>
    <w:bookmarkEnd w:id="35"/>
    <w:p>
      <w:pPr>
        <w:jc w:val="both"/>
        <w:ind w:left="-460" w:firstLine="644"/>
        <w:spacing w:after="0" w:line="296" w:lineRule="auto"/>
        <w:tabs>
          <w:tab w:leader="none" w:pos="105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1" w:lineRule="exact"/>
        <w:rPr>
          <w:rFonts w:ascii="Arial" w:cs="Arial" w:eastAsia="Arial" w:hAnsi="Arial"/>
          <w:sz w:val="16"/>
          <w:szCs w:val="16"/>
          <w:color w:val="auto"/>
        </w:rPr>
      </w:pPr>
    </w:p>
    <w:p>
      <w:pPr>
        <w:jc w:val="both"/>
        <w:ind w:left="-460" w:firstLine="644"/>
        <w:spacing w:after="0" w:line="342" w:lineRule="auto"/>
        <w:tabs>
          <w:tab w:leader="none" w:pos="867"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880" w:hanging="696"/>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6" w:name="page37"/>
    <w:bookmarkEnd w:id="36"/>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84" w:lineRule="exact"/>
        <w:rPr>
          <w:sz w:val="20"/>
          <w:szCs w:val="20"/>
          <w:color w:val="auto"/>
        </w:rPr>
      </w:pPr>
    </w:p>
    <w:p>
      <w:pPr>
        <w:ind w:left="-460" w:firstLine="644"/>
        <w:spacing w:after="0" w:line="277" w:lineRule="auto"/>
        <w:tabs>
          <w:tab w:leader="none" w:pos="117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left="-460" w:firstLine="644"/>
        <w:spacing w:after="0" w:line="308" w:lineRule="auto"/>
        <w:tabs>
          <w:tab w:leader="none" w:pos="875"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999"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7" w:lineRule="exact"/>
        <w:rPr>
          <w:rFonts w:ascii="Arial" w:cs="Arial" w:eastAsia="Arial" w:hAnsi="Arial"/>
          <w:sz w:val="17"/>
          <w:szCs w:val="17"/>
          <w:color w:val="auto"/>
        </w:rPr>
      </w:pPr>
    </w:p>
    <w:p>
      <w:pPr>
        <w:ind w:left="-460" w:firstLine="644"/>
        <w:spacing w:after="0" w:line="277" w:lineRule="auto"/>
        <w:tabs>
          <w:tab w:leader="none" w:pos="986"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982"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7" w:name="page38"/>
    <w:bookmarkEnd w:id="37"/>
    <w:p>
      <w:pPr>
        <w:jc w:val="both"/>
        <w:ind w:left="-460" w:firstLine="644"/>
        <w:spacing w:after="0" w:line="259" w:lineRule="auto"/>
        <w:tabs>
          <w:tab w:leader="none" w:pos="928"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1071"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86" w:lineRule="exact"/>
        <w:rPr>
          <w:rFonts w:ascii="Arial" w:cs="Arial" w:eastAsia="Arial" w:hAnsi="Arial"/>
          <w:sz w:val="18"/>
          <w:szCs w:val="18"/>
          <w:color w:val="auto"/>
        </w:rPr>
      </w:pPr>
    </w:p>
    <w:p>
      <w:pPr>
        <w:ind w:left="-460" w:firstLine="644"/>
        <w:spacing w:after="0" w:line="277" w:lineRule="auto"/>
        <w:tabs>
          <w:tab w:leader="none" w:pos="1126"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Warrant may be modified or amended or the provisions hereof waived with the written consent of the Company and the Holder.</w:t>
      </w:r>
    </w:p>
    <w:p>
      <w:pPr>
        <w:spacing w:after="0" w:line="170" w:lineRule="exact"/>
        <w:rPr>
          <w:rFonts w:ascii="Arial" w:cs="Arial" w:eastAsia="Arial" w:hAnsi="Arial"/>
          <w:sz w:val="18"/>
          <w:szCs w:val="18"/>
          <w:color w:val="auto"/>
        </w:rPr>
      </w:pPr>
    </w:p>
    <w:p>
      <w:pPr>
        <w:jc w:val="both"/>
        <w:ind w:left="-460" w:firstLine="644"/>
        <w:spacing w:after="0" w:line="311" w:lineRule="auto"/>
        <w:tabs>
          <w:tab w:leader="none" w:pos="95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left="-460" w:firstLine="644"/>
        <w:spacing w:after="0" w:line="277" w:lineRule="auto"/>
        <w:tabs>
          <w:tab w:leader="none" w:pos="10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38" w:name="page39"/>
    <w:bookmarkEnd w:id="38"/>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XPRESSPA GROUP, INC.</w:t>
      </w:r>
    </w:p>
    <w:p>
      <w:pPr>
        <w:spacing w:after="0" w:line="225" w:lineRule="exact"/>
        <w:rPr>
          <w:sz w:val="20"/>
          <w:szCs w:val="20"/>
          <w:color w:val="auto"/>
        </w:rPr>
      </w:pPr>
    </w:p>
    <w:p>
      <w:pPr>
        <w:ind w:firstLine="1304"/>
        <w:spacing w:after="0" w:line="308" w:lineRule="auto"/>
        <w:tabs>
          <w:tab w:leader="none" w:pos="155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560" w:hanging="256"/>
        <w:spacing w:after="0"/>
        <w:tabs>
          <w:tab w:leader="none" w:pos="1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3"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sz w:val="20"/>
          <w:szCs w:val="20"/>
          <w:color w:val="auto"/>
        </w:rPr>
      </w:pPr>
    </w:p>
    <w:p>
      <w:pPr>
        <w:ind w:left="1560" w:hanging="256"/>
        <w:spacing w:after="0"/>
        <w:tabs>
          <w:tab w:leader="none" w:pos="1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 ________________________________________________________________________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ASSIGNMENT FORM</w:t>
      </w:r>
    </w:p>
    <w:p>
      <w:pPr>
        <w:spacing w:after="0" w:line="211" w:lineRule="exact"/>
        <w:rPr>
          <w:sz w:val="20"/>
          <w:szCs w:val="20"/>
          <w:color w:val="auto"/>
        </w:rPr>
      </w:pPr>
    </w:p>
    <w:p>
      <w:pPr>
        <w:jc w:val="right"/>
        <w:ind w:left="340" w:right="174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(Please Print)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(Please 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6"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7089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2280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2280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028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1" w:name="page42"/>
    <w:bookmarkEnd w:id="41"/>
    <w:p>
      <w:pPr>
        <w:ind w:left="10400"/>
        <w:spacing w:after="0"/>
        <w:rPr>
          <w:sz w:val="20"/>
          <w:szCs w:val="20"/>
          <w:color w:val="auto"/>
        </w:rPr>
      </w:pPr>
      <w:r>
        <w:rPr>
          <w:rFonts w:ascii="Arial" w:cs="Arial" w:eastAsia="Arial" w:hAnsi="Arial"/>
          <w:sz w:val="16"/>
          <w:szCs w:val="16"/>
          <w:b w:val="1"/>
          <w:bCs w:val="1"/>
          <w:color w:val="auto"/>
        </w:rPr>
        <w:t>Exhibit 4.3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Warrant Shares: ______________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Initial Exercise Date: August 28, 2020</w:t>
      </w:r>
    </w:p>
    <w:p>
      <w:pPr>
        <w:spacing w:after="0" w:line="200"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PLACEMENT AGENT COMMON STOCK PURCHASE WARRANT (the “</w:t>
      </w:r>
      <w:r>
        <w:rPr>
          <w:rFonts w:ascii="Arial" w:cs="Arial" w:eastAsia="Arial" w:hAnsi="Arial"/>
          <w:sz w:val="18"/>
          <w:szCs w:val="18"/>
          <w:u w:val="single" w:color="auto"/>
          <w:color w:val="auto"/>
        </w:rPr>
        <w:t>Warrant</w:t>
      </w:r>
      <w:r>
        <w:rPr>
          <w:rFonts w:ascii="Arial" w:cs="Arial" w:eastAsia="Arial" w:hAnsi="Arial"/>
          <w:sz w:val="18"/>
          <w:szCs w:val="18"/>
          <w:color w:val="auto"/>
        </w:rPr>
        <w:t>”) certifies that, for value received,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 or its assigns (the “</w:t>
      </w:r>
      <w:r>
        <w:rPr>
          <w:rFonts w:ascii="Arial" w:cs="Arial" w:eastAsia="Arial" w:hAnsi="Arial"/>
          <w:sz w:val="16"/>
          <w:szCs w:val="16"/>
          <w:u w:val="single" w:color="auto"/>
          <w:color w:val="auto"/>
        </w:rPr>
        <w:t>Holder</w:t>
      </w:r>
      <w:r>
        <w:rPr>
          <w:rFonts w:ascii="Arial" w:cs="Arial" w:eastAsia="Arial" w:hAnsi="Arial"/>
          <w:sz w:val="16"/>
          <w:szCs w:val="16"/>
          <w:color w:val="auto"/>
        </w:rPr>
        <w:t>”) is entitled, upon the terms and subject to the limitations on exercise and the conditions hereinafter set forth, at</w:t>
      </w:r>
    </w:p>
    <w:p>
      <w:pPr>
        <w:spacing w:after="0" w:line="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any time on or after August 28, 2020 (the “</w:t>
      </w:r>
      <w:r>
        <w:rPr>
          <w:rFonts w:ascii="Arial" w:cs="Arial" w:eastAsia="Arial" w:hAnsi="Arial"/>
          <w:sz w:val="16"/>
          <w:szCs w:val="16"/>
          <w:u w:val="single" w:color="auto"/>
          <w:color w:val="auto"/>
        </w:rPr>
        <w:t>Initial Exercise Date</w:t>
      </w:r>
      <w:r>
        <w:rPr>
          <w:rFonts w:ascii="Arial" w:cs="Arial" w:eastAsia="Arial" w:hAnsi="Arial"/>
          <w:sz w:val="16"/>
          <w:szCs w:val="16"/>
          <w:color w:val="auto"/>
        </w:rPr>
        <w:t>”) and on or prior to 5:00 p.m. (New York City time) on August 29, 2022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Date</w:t>
      </w:r>
      <w:r>
        <w:rPr>
          <w:rFonts w:ascii="Arial" w:cs="Arial" w:eastAsia="Arial" w:hAnsi="Arial"/>
          <w:sz w:val="16"/>
          <w:szCs w:val="16"/>
          <w:color w:val="auto"/>
        </w:rPr>
        <w:t>”) but not thereafter, to subscribe for and purchase from XpresSpa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up to ______ shares of</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Common Stock (the shares of Common Stock issuable upon exercise hereof being referred to as the “</w:t>
      </w:r>
      <w:r>
        <w:rPr>
          <w:rFonts w:ascii="Arial" w:cs="Arial" w:eastAsia="Arial" w:hAnsi="Arial"/>
          <w:sz w:val="16"/>
          <w:szCs w:val="16"/>
          <w:u w:val="single" w:color="auto"/>
          <w:color w:val="auto"/>
        </w:rPr>
        <w:t>Warrant Shares</w:t>
      </w:r>
      <w:r>
        <w:rPr>
          <w:rFonts w:ascii="Arial" w:cs="Arial" w:eastAsia="Arial" w:hAnsi="Arial"/>
          <w:sz w:val="16"/>
          <w:szCs w:val="16"/>
          <w:color w:val="auto"/>
        </w:rPr>
        <w:t>”) The purchase price of one share of Common Stock under this Warrant shall be equal to the Exercise Price, as defined in Section 2(b). This Warrant is issued pursuant to that certain Engagement Agreement, by and between the Company and H.C. Wainwright &amp; Co., LLC, dated as of March 25, 2020, as amended on June 16, 2020.</w:t>
      </w:r>
    </w:p>
    <w:p>
      <w:pPr>
        <w:spacing w:after="0" w:line="15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Definitions</w:t>
      </w:r>
      <w:r>
        <w:rPr>
          <w:rFonts w:ascii="Arial" w:cs="Arial" w:eastAsia="Arial" w:hAnsi="Arial"/>
          <w:sz w:val="17"/>
          <w:szCs w:val="17"/>
          <w:color w:val="auto"/>
        </w:rPr>
        <w:t>. Capitalized terms used and not otherwise defined herein shall have the meanings set forth in that certain Securities Purchase Agreement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dated August 25, 2020, among the Company and the purchasers signatory thereto.</w:t>
      </w:r>
    </w:p>
    <w:p>
      <w:pPr>
        <w:spacing w:after="0" w:line="14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5" w:lineRule="auto"/>
        <w:tabs>
          <w:tab w:leader="none" w:pos="186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Exercise of Warrant</w:t>
      </w:r>
      <w:r>
        <w:rPr>
          <w:rFonts w:ascii="Arial" w:cs="Arial" w:eastAsia="Arial" w:hAnsi="Arial"/>
          <w:sz w:val="16"/>
          <w:szCs w:val="16"/>
          <w:color w:val="auto"/>
        </w:rPr>
        <w:t xml:space="preserve">.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6"/>
          <w:szCs w:val="16"/>
          <w:b w:val="1"/>
          <w:bCs w:val="1"/>
          <w:color w:val="auto"/>
        </w:rPr>
        <w:t>The Holder</w:t>
      </w:r>
      <w:r>
        <w:rPr>
          <w:rFonts w:ascii="Arial" w:cs="Arial" w:eastAsia="Arial" w:hAnsi="Arial"/>
          <w:sz w:val="16"/>
          <w:szCs w:val="16"/>
          <w:color w:val="auto"/>
        </w:rPr>
        <w:t xml:space="preserve"> </w:t>
      </w:r>
      <w:r>
        <w:rPr>
          <w:rFonts w:ascii="Arial" w:cs="Arial" w:eastAsia="Arial" w:hAnsi="Arial"/>
          <w:sz w:val="16"/>
          <w:szCs w:val="16"/>
          <w:b w:val="1"/>
          <w:bCs w:val="1"/>
          <w:color w:val="auto"/>
        </w:rPr>
        <w:t>and any assignee, 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ind w:left="-460" w:right="20" w:firstLine="644"/>
        <w:spacing w:after="0" w:line="282" w:lineRule="auto"/>
        <w:tabs>
          <w:tab w:leader="none" w:pos="945"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per share of Common Stock under this Warrant shall be </w:t>
      </w:r>
      <w:r>
        <w:rPr>
          <w:rFonts w:ascii="Arial" w:cs="Arial" w:eastAsia="Arial" w:hAnsi="Arial"/>
          <w:sz w:val="18"/>
          <w:szCs w:val="18"/>
          <w:b w:val="1"/>
          <w:bCs w:val="1"/>
          <w:color w:val="auto"/>
        </w:rPr>
        <w:t>$3.9375</w:t>
      </w:r>
      <w:r>
        <w:rPr>
          <w:rFonts w:ascii="Arial" w:cs="Arial" w:eastAsia="Arial" w:hAnsi="Arial"/>
          <w:sz w:val="18"/>
          <w:szCs w:val="18"/>
          <w:color w:val="auto"/>
        </w:rPr>
        <w:t>, subject to adjustment hereunder (the “</w:t>
      </w:r>
      <w:r>
        <w:rPr>
          <w:rFonts w:ascii="Arial" w:cs="Arial" w:eastAsia="Arial" w:hAnsi="Arial"/>
          <w:sz w:val="18"/>
          <w:szCs w:val="18"/>
          <w:u w:val="single" w:color="auto"/>
          <w:color w:val="auto"/>
        </w:rPr>
        <w:t>Exercise Price</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460" w:firstLine="644"/>
        <w:spacing w:after="0" w:line="342" w:lineRule="auto"/>
        <w:tabs>
          <w:tab w:leader="none" w:pos="840"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24" w:lineRule="exact"/>
        <w:rPr>
          <w:sz w:val="20"/>
          <w:szCs w:val="20"/>
          <w:color w:val="auto"/>
        </w:rPr>
      </w:pPr>
    </w:p>
    <w:p>
      <w:pPr>
        <w:ind w:left="700" w:hanging="516"/>
        <w:spacing w:after="0" w:line="269" w:lineRule="auto"/>
        <w:tabs>
          <w:tab w:leader="none" w:pos="48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81" w:lineRule="exact"/>
        <w:rPr>
          <w:rFonts w:ascii="Arial" w:cs="Arial" w:eastAsia="Arial" w:hAnsi="Arial"/>
          <w:sz w:val="17"/>
          <w:szCs w:val="17"/>
          <w:color w:val="auto"/>
        </w:rPr>
      </w:pPr>
    </w:p>
    <w:p>
      <w:pPr>
        <w:ind w:left="460" w:hanging="276"/>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the Exercise Price of this Warrant, as adjusted hereunder; and</w:t>
      </w:r>
    </w:p>
    <w:p>
      <w:pPr>
        <w:spacing w:after="0" w:line="225" w:lineRule="exact"/>
        <w:rPr>
          <w:sz w:val="20"/>
          <w:szCs w:val="20"/>
          <w:color w:val="auto"/>
        </w:rPr>
      </w:pPr>
    </w:p>
    <w:p>
      <w:pPr>
        <w:ind w:left="700" w:hanging="516"/>
        <w:spacing w:after="0" w:line="277" w:lineRule="auto"/>
        <w:tabs>
          <w:tab w:leader="none" w:pos="4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43" w:name="page44"/>
    <w:bookmarkEnd w:id="43"/>
    <w:p>
      <w:pPr>
        <w:jc w:val="both"/>
        <w:ind w:left="4" w:firstLine="648"/>
        <w:spacing w:after="0" w:line="263" w:lineRule="auto"/>
        <w:rPr>
          <w:sz w:val="20"/>
          <w:szCs w:val="20"/>
          <w:color w:val="auto"/>
        </w:rPr>
      </w:pPr>
      <w:r>
        <w:rPr>
          <w:rFonts w:ascii="Arial" w:cs="Arial" w:eastAsia="Arial" w:hAnsi="Arial"/>
          <w:sz w:val="18"/>
          <w:szCs w:val="18"/>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84"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Bid Price</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w:t>
      </w:r>
    </w:p>
    <w:p>
      <w:pPr>
        <w:spacing w:after="0" w:line="2" w:lineRule="exact"/>
        <w:rPr>
          <w:sz w:val="20"/>
          <w:szCs w:val="20"/>
          <w:color w:val="auto"/>
        </w:rPr>
      </w:pPr>
    </w:p>
    <w:p>
      <w:pPr>
        <w:jc w:val="both"/>
        <w:ind w:left="4" w:hanging="4"/>
        <w:spacing w:after="0" w:line="255" w:lineRule="auto"/>
        <w:tabs>
          <w:tab w:leader="none" w:pos="2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0" w:lineRule="exact"/>
        <w:rPr>
          <w:sz w:val="20"/>
          <w:szCs w:val="20"/>
          <w:color w:val="auto"/>
        </w:rPr>
      </w:pPr>
    </w:p>
    <w:p>
      <w:pPr>
        <w:jc w:val="both"/>
        <w:ind w:left="4"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0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4" w:name="page45"/>
    <w:bookmarkEnd w:id="44"/>
    <w:p>
      <w:pPr>
        <w:ind w:left="840" w:hanging="656"/>
        <w:spacing w:after="0"/>
        <w:tabs>
          <w:tab w:leader="none" w:pos="8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Mechanics of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84" w:lineRule="auto"/>
        <w:tabs>
          <w:tab w:leader="none" w:pos="2136" w:val="left"/>
        </w:tabs>
        <w:numPr>
          <w:ilvl w:val="1"/>
          <w:numId w:val="52"/>
        </w:numPr>
        <w:rPr>
          <w:rFonts w:ascii="Arial" w:cs="Arial" w:eastAsia="Arial" w:hAnsi="Arial"/>
          <w:sz w:val="16"/>
          <w:szCs w:val="16"/>
          <w:color w:val="auto"/>
        </w:rPr>
      </w:pPr>
      <w:r>
        <w:rPr>
          <w:rFonts w:ascii="Arial" w:cs="Arial" w:eastAsia="Arial" w:hAnsi="Arial"/>
          <w:sz w:val="16"/>
          <w:szCs w:val="16"/>
          <w:u w:val="single" w:color="auto"/>
          <w:color w:val="auto"/>
        </w:rPr>
        <w:t>Delivery of Warrant Shares Upon Exercise</w:t>
      </w:r>
      <w:r>
        <w:rPr>
          <w:rFonts w:ascii="Arial" w:cs="Arial" w:eastAsia="Arial" w:hAnsi="Arial"/>
          <w:sz w:val="16"/>
          <w:szCs w:val="16"/>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6"/>
          <w:szCs w:val="16"/>
          <w:u w:val="single" w:color="auto"/>
          <w:color w:val="auto"/>
        </w:rPr>
        <w:t>DWAC</w:t>
      </w:r>
      <w:r>
        <w:rPr>
          <w:rFonts w:ascii="Arial" w:cs="Arial" w:eastAsia="Arial" w:hAnsi="Arial"/>
          <w:sz w:val="16"/>
          <w:szCs w:val="16"/>
          <w:color w:val="auto"/>
        </w:rPr>
        <w:t>”) if the Company is then a participant in such system and either (A) there is an effective registration statement permitting the issuance of the Warrant Shares to or resale of the Warrant Shares by Holder or this Warrant is being exercised by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6"/>
          <w:szCs w:val="16"/>
          <w:u w:val="single" w:color="auto"/>
          <w:color w:val="auto"/>
        </w:rPr>
        <w:t>Warrant Share Delivery Date</w:t>
      </w:r>
      <w:r>
        <w:rPr>
          <w:rFonts w:ascii="Arial" w:cs="Arial" w:eastAsia="Arial" w:hAnsi="Arial"/>
          <w:sz w:val="16"/>
          <w:szCs w:val="16"/>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6"/>
          <w:szCs w:val="16"/>
          <w:u w:val="single" w:color="auto"/>
          <w:color w:val="auto"/>
        </w:rPr>
        <w:t>Standard Settlement Period</w:t>
      </w:r>
      <w:r>
        <w:rPr>
          <w:rFonts w:ascii="Arial" w:cs="Arial" w:eastAsia="Arial" w:hAnsi="Arial"/>
          <w:sz w:val="16"/>
          <w:szCs w:val="16"/>
          <w:color w:val="auto"/>
        </w:rPr>
        <w:t>” means the standard settlement period, expressed in a number of Trading Days, on the Company’s primary Trading Market with respect to the Common Stock as in effect on the date of delivery of the Notice of Exercise.</w:t>
      </w:r>
    </w:p>
    <w:p>
      <w:pPr>
        <w:spacing w:after="0" w:line="392" w:lineRule="exact"/>
        <w:rPr>
          <w:rFonts w:ascii="Arial" w:cs="Arial" w:eastAsia="Arial" w:hAnsi="Arial"/>
          <w:sz w:val="16"/>
          <w:szCs w:val="16"/>
          <w:color w:val="auto"/>
        </w:rPr>
      </w:pPr>
    </w:p>
    <w:p>
      <w:pPr>
        <w:jc w:val="both"/>
        <w:ind w:left="840" w:firstLine="640"/>
        <w:spacing w:after="0" w:line="279" w:lineRule="auto"/>
        <w:tabs>
          <w:tab w:leader="none" w:pos="2290" w:val="left"/>
        </w:tabs>
        <w:numPr>
          <w:ilvl w:val="1"/>
          <w:numId w:val="52"/>
        </w:numPr>
        <w:rPr>
          <w:rFonts w:ascii="Arial" w:cs="Arial" w:eastAsia="Arial" w:hAnsi="Arial"/>
          <w:sz w:val="17"/>
          <w:szCs w:val="17"/>
          <w:color w:val="auto"/>
        </w:rPr>
      </w:pPr>
      <w:r>
        <w:rPr>
          <w:rFonts w:ascii="Arial" w:cs="Arial" w:eastAsia="Arial" w:hAnsi="Arial"/>
          <w:sz w:val="17"/>
          <w:szCs w:val="17"/>
          <w:u w:val="single" w:color="auto"/>
          <w:color w:val="auto"/>
        </w:rPr>
        <w:t>Delivery of New Warrants Upon Exercise</w:t>
      </w:r>
      <w:r>
        <w:rPr>
          <w:rFonts w:ascii="Arial" w:cs="Arial" w:eastAsia="Arial" w:hAnsi="Arial"/>
          <w:sz w:val="17"/>
          <w:szCs w:val="17"/>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5" w:name="page46"/>
    <w:bookmarkEnd w:id="45"/>
    <w:p>
      <w:pPr>
        <w:jc w:val="both"/>
        <w:ind w:left="840" w:firstLine="640"/>
        <w:spacing w:after="0" w:line="263" w:lineRule="auto"/>
        <w:tabs>
          <w:tab w:leader="none" w:pos="228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Rescission Rights</w:t>
      </w:r>
      <w:r>
        <w:rPr>
          <w:rFonts w:ascii="Arial" w:cs="Arial" w:eastAsia="Arial" w:hAnsi="Arial"/>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83" w:lineRule="exact"/>
        <w:rPr>
          <w:rFonts w:ascii="Arial" w:cs="Arial" w:eastAsia="Arial" w:hAnsi="Arial"/>
          <w:sz w:val="18"/>
          <w:szCs w:val="18"/>
          <w:color w:val="auto"/>
        </w:rPr>
      </w:pPr>
    </w:p>
    <w:p>
      <w:pPr>
        <w:jc w:val="both"/>
        <w:ind w:left="840" w:firstLine="640"/>
        <w:spacing w:after="0" w:line="284" w:lineRule="auto"/>
        <w:tabs>
          <w:tab w:leader="none" w:pos="211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Warrant Shares Upon Exercise</w:t>
      </w:r>
      <w:r>
        <w:rPr>
          <w:rFonts w:ascii="Arial" w:cs="Arial" w:eastAsia="Arial" w:hAnsi="Arial"/>
          <w:sz w:val="16"/>
          <w:szCs w:val="16"/>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6"/>
          <w:szCs w:val="16"/>
          <w:u w:val="single" w:color="auto"/>
          <w:color w:val="auto"/>
        </w:rPr>
        <w:t>Buy-In</w:t>
      </w:r>
      <w:r>
        <w:rPr>
          <w:rFonts w:ascii="Arial" w:cs="Arial" w:eastAsia="Arial" w:hAnsi="Arial"/>
          <w:sz w:val="16"/>
          <w:szCs w:val="16"/>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81" w:lineRule="exact"/>
        <w:rPr>
          <w:rFonts w:ascii="Arial" w:cs="Arial" w:eastAsia="Arial" w:hAnsi="Arial"/>
          <w:sz w:val="16"/>
          <w:szCs w:val="16"/>
          <w:color w:val="auto"/>
        </w:rPr>
      </w:pPr>
    </w:p>
    <w:p>
      <w:pPr>
        <w:jc w:val="both"/>
        <w:ind w:left="840" w:firstLine="640"/>
        <w:spacing w:after="0" w:line="279" w:lineRule="auto"/>
        <w:tabs>
          <w:tab w:leader="none" w:pos="2101"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No Fractional Shares or Scrip</w:t>
      </w:r>
      <w:r>
        <w:rPr>
          <w:rFonts w:ascii="Arial" w:cs="Arial" w:eastAsia="Arial" w:hAnsi="Arial"/>
          <w:sz w:val="17"/>
          <w:szCs w:val="17"/>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6" w:name="page47"/>
    <w:bookmarkEnd w:id="46"/>
    <w:p>
      <w:pPr>
        <w:jc w:val="both"/>
        <w:ind w:left="840" w:firstLine="640"/>
        <w:spacing w:after="0" w:line="289" w:lineRule="auto"/>
        <w:tabs>
          <w:tab w:leader="none" w:pos="21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Charges, Taxes and Expenses</w:t>
      </w:r>
      <w:r>
        <w:rPr>
          <w:rFonts w:ascii="Arial" w:cs="Arial" w:eastAsia="Arial" w:hAnsi="Arial"/>
          <w:sz w:val="16"/>
          <w:szCs w:val="16"/>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66" w:lineRule="exact"/>
        <w:rPr>
          <w:rFonts w:ascii="Arial" w:cs="Arial" w:eastAsia="Arial" w:hAnsi="Arial"/>
          <w:sz w:val="16"/>
          <w:szCs w:val="16"/>
          <w:color w:val="auto"/>
        </w:rPr>
      </w:pPr>
    </w:p>
    <w:p>
      <w:pPr>
        <w:ind w:left="840" w:firstLine="640"/>
        <w:spacing w:after="0" w:line="277" w:lineRule="auto"/>
        <w:tabs>
          <w:tab w:leader="none" w:pos="211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Closing of Books</w:t>
      </w:r>
      <w:r>
        <w:rPr>
          <w:rFonts w:ascii="Arial" w:cs="Arial" w:eastAsia="Arial" w:hAnsi="Arial"/>
          <w:sz w:val="18"/>
          <w:szCs w:val="18"/>
          <w:color w:val="auto"/>
        </w:rPr>
        <w:t>. The Company will not close its stockholder books or records in any manner which prevents the timely exercise of this Warrant, pursuant to the terms hereof.</w:t>
      </w:r>
    </w:p>
    <w:p>
      <w:pPr>
        <w:spacing w:after="0" w:line="38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7" w:name="page48"/>
    <w:bookmarkEnd w:id="47"/>
    <w:p>
      <w:pPr>
        <w:jc w:val="both"/>
        <w:ind w:left="180" w:firstLine="652"/>
        <w:spacing w:after="0" w:line="282" w:lineRule="auto"/>
        <w:tabs>
          <w:tab w:leader="none" w:pos="153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Holder’s Exercise Limitations</w:t>
      </w:r>
      <w:r>
        <w:rPr>
          <w:rFonts w:ascii="Arial" w:cs="Arial" w:eastAsia="Arial" w:hAnsi="Arial"/>
          <w:sz w:val="16"/>
          <w:szCs w:val="16"/>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6"/>
          <w:szCs w:val="16"/>
          <w:u w:val="single" w:color="auto"/>
          <w:color w:val="auto"/>
        </w:rPr>
        <w:t>Beneficial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Ownership Limitation</w:t>
      </w:r>
      <w:r>
        <w:rPr>
          <w:rFonts w:ascii="Arial" w:cs="Arial" w:eastAsia="Arial" w:hAnsi="Arial"/>
          <w:sz w:val="16"/>
          <w:szCs w:val="16"/>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w:t>
      </w:r>
    </w:p>
    <w:p>
      <w:pPr>
        <w:spacing w:after="0" w:line="8" w:lineRule="exact"/>
        <w:rPr>
          <w:sz w:val="20"/>
          <w:szCs w:val="20"/>
          <w:color w:val="auto"/>
        </w:rPr>
      </w:pPr>
    </w:p>
    <w:p>
      <w:pPr>
        <w:jc w:val="both"/>
        <w:ind w:left="180"/>
        <w:spacing w:after="0" w:line="244" w:lineRule="auto"/>
        <w:rPr>
          <w:sz w:val="20"/>
          <w:szCs w:val="20"/>
          <w:color w:val="auto"/>
        </w:rPr>
      </w:pPr>
      <w:r>
        <w:rPr>
          <w:rFonts w:ascii="Arial" w:cs="Arial" w:eastAsia="Arial" w:hAnsi="Arial"/>
          <w:sz w:val="17"/>
          <w:szCs w:val="17"/>
          <w:color w:val="auto"/>
        </w:rPr>
        <w:t>increase in the Beneficial Ownership Limitation will not be effective until the 61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8" w:name="page49"/>
    <w:bookmarkEnd w:id="48"/>
    <w:p>
      <w:pPr>
        <w:spacing w:after="0"/>
        <w:tabs>
          <w:tab w:leader="none" w:pos="120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21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Stock Dividends and Splits</w:t>
      </w:r>
      <w:r>
        <w:rPr>
          <w:rFonts w:ascii="Arial" w:cs="Arial" w:eastAsia="Arial" w:hAnsi="Arial"/>
          <w:sz w:val="17"/>
          <w:szCs w:val="17"/>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78" w:lineRule="exact"/>
        <w:rPr>
          <w:rFonts w:ascii="Arial" w:cs="Arial" w:eastAsia="Arial" w:hAnsi="Arial"/>
          <w:sz w:val="17"/>
          <w:szCs w:val="17"/>
          <w:color w:val="auto"/>
        </w:rPr>
      </w:pPr>
    </w:p>
    <w:p>
      <w:pPr>
        <w:jc w:val="both"/>
        <w:ind w:firstLine="644"/>
        <w:spacing w:after="0" w:line="269" w:lineRule="auto"/>
        <w:tabs>
          <w:tab w:leader="none" w:pos="127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Subsequent Rights Offerings</w:t>
      </w:r>
      <w:r>
        <w:rPr>
          <w:rFonts w:ascii="Arial" w:cs="Arial" w:eastAsia="Arial" w:hAnsi="Arial"/>
          <w:sz w:val="17"/>
          <w:szCs w:val="17"/>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7"/>
          <w:szCs w:val="17"/>
          <w:u w:val="single" w:color="auto"/>
          <w:color w:val="auto"/>
        </w:rPr>
        <w:t>Purchase Rights</w:t>
      </w:r>
      <w:r>
        <w:rPr>
          <w:rFonts w:ascii="Arial" w:cs="Arial" w:eastAsia="Arial" w:hAnsi="Arial"/>
          <w:sz w:val="17"/>
          <w:szCs w:val="17"/>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78" w:lineRule="exact"/>
        <w:rPr>
          <w:rFonts w:ascii="Arial" w:cs="Arial" w:eastAsia="Arial" w:hAnsi="Arial"/>
          <w:sz w:val="17"/>
          <w:szCs w:val="17"/>
          <w:color w:val="auto"/>
        </w:rPr>
      </w:pPr>
    </w:p>
    <w:p>
      <w:pPr>
        <w:jc w:val="both"/>
        <w:ind w:firstLine="644"/>
        <w:spacing w:after="0" w:line="268" w:lineRule="auto"/>
        <w:tabs>
          <w:tab w:leader="none" w:pos="119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Pro Rata Distributions</w:t>
      </w:r>
      <w:r>
        <w:rPr>
          <w:rFonts w:ascii="Arial" w:cs="Arial" w:eastAsia="Arial" w:hAnsi="Arial"/>
          <w:sz w:val="17"/>
          <w:szCs w:val="17"/>
          <w:color w:val="auto"/>
        </w:rPr>
        <w:t>. During such time as this Warrant is outstanding, if the Company shall declare or make any dividend (other than cash) or other distribution of its assets (or rights to acquire its assets) to holders of shares of Common Stock, by way of return of capital or otherwise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9" w:name="page50"/>
    <w:bookmarkEnd w:id="49"/>
    <w:p>
      <w:pPr>
        <w:jc w:val="both"/>
        <w:ind w:left="4" w:firstLine="644"/>
        <w:spacing w:after="0" w:line="283" w:lineRule="auto"/>
        <w:tabs>
          <w:tab w:leader="none" w:pos="1220"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Fundamental Transaction</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u w:val="single" w:color="auto"/>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u w:val="single" w:color="auto"/>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Fundamental Transaction is not within the Company's control, including not approved by the Company's Board of Directors,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w:t>
      </w:r>
      <w:r>
        <w:rPr>
          <w:rFonts w:ascii="Arial" w:cs="Arial" w:eastAsia="Arial" w:hAnsi="Arial"/>
          <w:sz w:val="16"/>
          <w:szCs w:val="16"/>
          <w:u w:val="single" w:color="auto"/>
          <w:color w:val="auto"/>
        </w:rPr>
        <w:t>Black Scholes Value</w:t>
      </w:r>
      <w:r>
        <w:rPr>
          <w:rFonts w:ascii="Arial" w:cs="Arial" w:eastAsia="Arial" w:hAnsi="Arial"/>
          <w:sz w:val="16"/>
          <w:szCs w:val="16"/>
          <w:color w:val="auto"/>
        </w:rPr>
        <w:t>” means the value of this Warrant based on the Black-Scholes Option Pricing Model obtained from the “OV” function on Bloomberg, L.P. (“</w:t>
      </w:r>
      <w:r>
        <w:rPr>
          <w:rFonts w:ascii="Arial" w:cs="Arial" w:eastAsia="Arial" w:hAnsi="Arial"/>
          <w:sz w:val="16"/>
          <w:szCs w:val="16"/>
          <w:u w:val="single" w:color="auto"/>
          <w:color w:val="auto"/>
        </w:rPr>
        <w:t>Bloomberg</w:t>
      </w:r>
      <w:r>
        <w:rPr>
          <w:rFonts w:ascii="Arial" w:cs="Arial" w:eastAsia="Arial" w:hAnsi="Arial"/>
          <w:sz w:val="16"/>
          <w:szCs w:val="16"/>
          <w:color w:val="auto"/>
        </w:rPr>
        <w:t>”) determined as of the day of consummation of the applicable Fundamental Transaction for pricing purposes and reflecting (A) a risk-free interest rate corresponding to the U.S. Treasury rate for a period equal to the time between the date of the public announcement of the applicable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Fundamental Transaction, (C) the underlying price per share used in such calculation shall be the greater of (i) the sum of the price per share being offered in cash, if any, plus the value of any non-cash consideration, if any, being offered in such Fundamental Transaction and (ii) the greater of (x) the last VWAP immediately prior to the public announcement of such Fundamental Transaction and (y) the last VWAP immediately prior to the consummation of such Fundamental Transaction and (D) a remaining option time equal to the time between the date of the public announcement of the applicable Fundamental Transaction and the Termination Date and (E) a zero cost of borrow. The payment of the Black Scholes Value will be made by wire transfer of immediately available funds within the later of (i) five Business Days of the Holder’s election and</w:t>
      </w:r>
    </w:p>
    <w:p>
      <w:pPr>
        <w:spacing w:after="0" w:line="185" w:lineRule="exact"/>
        <w:rPr>
          <w:rFonts w:ascii="Arial" w:cs="Arial" w:eastAsia="Arial" w:hAnsi="Arial"/>
          <w:sz w:val="16"/>
          <w:szCs w:val="16"/>
          <w:color w:val="auto"/>
        </w:rPr>
      </w:pPr>
    </w:p>
    <w:p>
      <w:pPr>
        <w:jc w:val="both"/>
        <w:ind w:left="4" w:hanging="4"/>
        <w:spacing w:after="0" w:line="284" w:lineRule="auto"/>
        <w:tabs>
          <w:tab w:leader="none" w:pos="28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date of consummation of the Fundamental Transaction. The Company shall cause any successor entity in a Fundamental Transaction in which the Company is not the survivor (the “</w:t>
      </w:r>
      <w:r>
        <w:rPr>
          <w:rFonts w:ascii="Arial" w:cs="Arial" w:eastAsia="Arial" w:hAnsi="Arial"/>
          <w:sz w:val="16"/>
          <w:szCs w:val="16"/>
          <w:u w:val="single" w:color="auto"/>
          <w:color w:val="auto"/>
        </w:rPr>
        <w:t>Successor Entity</w:t>
      </w:r>
      <w:r>
        <w:rPr>
          <w:rFonts w:ascii="Arial" w:cs="Arial" w:eastAsia="Arial" w:hAnsi="Arial"/>
          <w:sz w:val="16"/>
          <w:szCs w:val="16"/>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other Transaction Documents referring to the “Company” shall refer instead to the Successor Entity), and may exercise every right and power of the Company and shall assume all of the obligations of the Company under this Warrant and the other Transaction Documents with the same effect as if such Successor Entity had been named as the Company herein.</w:t>
      </w:r>
    </w:p>
    <w:p>
      <w:pPr>
        <w:spacing w:after="0" w:line="390"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902" w:gutter="0" w:footer="0" w:header="0"/>
        </w:sectPr>
      </w:pPr>
    </w:p>
    <w:bookmarkStart w:id="50" w:name="page51"/>
    <w:bookmarkEnd w:id="50"/>
    <w:p>
      <w:pPr>
        <w:jc w:val="both"/>
        <w:ind w:left="-460" w:firstLine="644"/>
        <w:spacing w:after="0" w:line="286" w:lineRule="auto"/>
        <w:tabs>
          <w:tab w:leader="none" w:pos="786" w:val="left"/>
        </w:tabs>
        <w:numPr>
          <w:ilvl w:val="0"/>
          <w:numId w:val="59"/>
        </w:numPr>
        <w:rPr>
          <w:rFonts w:ascii="Arial" w:cs="Arial" w:eastAsia="Arial" w:hAnsi="Arial"/>
          <w:sz w:val="17"/>
          <w:szCs w:val="17"/>
          <w:color w:val="auto"/>
        </w:rPr>
      </w:pPr>
      <w:r>
        <w:rPr>
          <w:rFonts w:ascii="Arial" w:cs="Arial" w:eastAsia="Arial" w:hAnsi="Arial"/>
          <w:sz w:val="17"/>
          <w:szCs w:val="17"/>
          <w:u w:val="single" w:color="auto"/>
          <w:color w:val="auto"/>
        </w:rPr>
        <w:t>Calculations</w:t>
      </w:r>
      <w:r>
        <w:rPr>
          <w:rFonts w:ascii="Arial" w:cs="Arial" w:eastAsia="Arial" w:hAnsi="Arial"/>
          <w:sz w:val="17"/>
          <w:szCs w:val="17"/>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5" w:lineRule="exact"/>
        <w:rPr>
          <w:rFonts w:ascii="Arial" w:cs="Arial" w:eastAsia="Arial" w:hAnsi="Arial"/>
          <w:sz w:val="17"/>
          <w:szCs w:val="17"/>
          <w:color w:val="auto"/>
        </w:rPr>
      </w:pPr>
    </w:p>
    <w:p>
      <w:pPr>
        <w:ind w:left="760" w:hanging="576"/>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Notice to Holder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40" w:firstLine="640"/>
        <w:spacing w:after="0" w:line="259" w:lineRule="auto"/>
        <w:tabs>
          <w:tab w:leader="none" w:pos="2352"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Adjustment to Exercise Price</w:t>
      </w:r>
      <w:r>
        <w:rPr>
          <w:rFonts w:ascii="Arial" w:cs="Arial" w:eastAsia="Arial" w:hAnsi="Arial"/>
          <w:sz w:val="18"/>
          <w:szCs w:val="18"/>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186" w:lineRule="exact"/>
        <w:rPr>
          <w:rFonts w:ascii="Arial" w:cs="Arial" w:eastAsia="Arial" w:hAnsi="Arial"/>
          <w:sz w:val="18"/>
          <w:szCs w:val="18"/>
          <w:color w:val="auto"/>
        </w:rPr>
      </w:pPr>
    </w:p>
    <w:p>
      <w:pPr>
        <w:jc w:val="both"/>
        <w:ind w:left="840" w:firstLine="640"/>
        <w:spacing w:after="0" w:line="284" w:lineRule="auto"/>
        <w:tabs>
          <w:tab w:leader="none" w:pos="2168"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Notice to Allow Exercise by Holder</w:t>
      </w:r>
      <w:r>
        <w:rPr>
          <w:rFonts w:ascii="Arial" w:cs="Arial" w:eastAsia="Arial" w:hAnsi="Arial"/>
          <w:sz w:val="16"/>
          <w:szCs w:val="16"/>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1" w:name="page52"/>
    <w:bookmarkEnd w:id="51"/>
    <w:p>
      <w:pPr>
        <w:spacing w:after="0"/>
        <w:tabs>
          <w:tab w:leader="none" w:pos="1200" w:val="left"/>
        </w:tabs>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9" w:lineRule="auto"/>
        <w:tabs>
          <w:tab w:leader="none" w:pos="1287"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39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2" w:name="page53"/>
    <w:bookmarkEnd w:id="52"/>
    <w:p>
      <w:pPr>
        <w:jc w:val="both"/>
        <w:ind w:firstLine="644"/>
        <w:spacing w:after="0" w:line="273" w:lineRule="auto"/>
        <w:tabs>
          <w:tab w:leader="none" w:pos="123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New Warrants</w:t>
      </w:r>
      <w:r>
        <w:rPr>
          <w:rFonts w:ascii="Arial" w:cs="Arial" w:eastAsia="Arial" w:hAnsi="Arial"/>
          <w:sz w:val="17"/>
          <w:szCs w:val="17"/>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Issue Date and shall be identical with this Warrant except as to the number of Warrant Shares issuable pursuant thereto.</w:t>
      </w:r>
    </w:p>
    <w:p>
      <w:pPr>
        <w:spacing w:after="0" w:line="177" w:lineRule="exact"/>
        <w:rPr>
          <w:rFonts w:ascii="Arial" w:cs="Arial" w:eastAsia="Arial" w:hAnsi="Arial"/>
          <w:sz w:val="17"/>
          <w:szCs w:val="17"/>
          <w:color w:val="auto"/>
        </w:rPr>
      </w:pPr>
    </w:p>
    <w:p>
      <w:pPr>
        <w:jc w:val="both"/>
        <w:ind w:firstLine="644"/>
        <w:spacing w:after="0" w:line="259" w:lineRule="auto"/>
        <w:tabs>
          <w:tab w:leader="none" w:pos="123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Warrant Register</w:t>
      </w:r>
      <w:r>
        <w:rPr>
          <w:rFonts w:ascii="Arial" w:cs="Arial" w:eastAsia="Arial" w:hAnsi="Arial"/>
          <w:sz w:val="18"/>
          <w:szCs w:val="18"/>
          <w:color w:val="auto"/>
        </w:rPr>
        <w:t>. The Company shall register this Warrant, upon records to be maintained by the Company for that purpose (the “</w:t>
      </w:r>
      <w:r>
        <w:rPr>
          <w:rFonts w:ascii="Arial" w:cs="Arial" w:eastAsia="Arial" w:hAnsi="Arial"/>
          <w:sz w:val="18"/>
          <w:szCs w:val="18"/>
          <w:u w:val="single" w:color="auto"/>
          <w:color w:val="auto"/>
        </w:rPr>
        <w:t>Warrant Register</w:t>
      </w:r>
      <w:r>
        <w:rPr>
          <w:rFonts w:ascii="Arial" w:cs="Arial" w:eastAsia="Arial" w:hAnsi="Arial"/>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7" w:lineRule="auto"/>
        <w:tabs>
          <w:tab w:leader="none" w:pos="127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No Rights as Stockholder Until Exercise; No Settlement in Cash</w:t>
      </w:r>
      <w:r>
        <w:rPr>
          <w:rFonts w:ascii="Arial" w:cs="Arial" w:eastAsia="Arial" w:hAnsi="Arial"/>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7" w:lineRule="exact"/>
        <w:rPr>
          <w:rFonts w:ascii="Arial" w:cs="Arial" w:eastAsia="Arial" w:hAnsi="Arial"/>
          <w:sz w:val="18"/>
          <w:szCs w:val="18"/>
          <w:color w:val="auto"/>
        </w:rPr>
      </w:pPr>
    </w:p>
    <w:p>
      <w:pPr>
        <w:jc w:val="both"/>
        <w:ind w:firstLine="644"/>
        <w:spacing w:after="0" w:line="296" w:lineRule="auto"/>
        <w:tabs>
          <w:tab w:leader="none" w:pos="139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37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3" w:name="page54"/>
    <w:bookmarkEnd w:id="53"/>
    <w:p>
      <w:pPr>
        <w:jc w:val="both"/>
        <w:ind w:left="-460" w:firstLine="644"/>
        <w:spacing w:after="0" w:line="342" w:lineRule="auto"/>
        <w:tabs>
          <w:tab w:leader="none" w:pos="773"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23" w:lineRule="exact"/>
        <w:rPr>
          <w:rFonts w:ascii="Arial" w:cs="Arial" w:eastAsia="Arial" w:hAnsi="Arial"/>
          <w:sz w:val="16"/>
          <w:szCs w:val="16"/>
          <w:color w:val="auto"/>
        </w:rPr>
      </w:pPr>
    </w:p>
    <w:p>
      <w:pPr>
        <w:ind w:left="740" w:hanging="556"/>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Authorized Shares</w:t>
      </w:r>
      <w:r>
        <w:rPr>
          <w:rFonts w:ascii="Arial" w:cs="Arial" w:eastAsia="Arial" w:hAnsi="Arial"/>
          <w:sz w:val="18"/>
          <w:szCs w:val="18"/>
          <w:color w:val="auto"/>
        </w:rPr>
        <w:t>.</w:t>
      </w:r>
    </w:p>
    <w:p>
      <w:pPr>
        <w:spacing w:after="0" w:line="225" w:lineRule="exact"/>
        <w:rPr>
          <w:sz w:val="20"/>
          <w:szCs w:val="20"/>
          <w:color w:val="auto"/>
        </w:rPr>
      </w:pPr>
    </w:p>
    <w:p>
      <w:pPr>
        <w:jc w:val="both"/>
        <w:ind w:left="180" w:firstLine="1296"/>
        <w:spacing w:after="0" w:line="269" w:lineRule="auto"/>
        <w:rPr>
          <w:sz w:val="20"/>
          <w:szCs w:val="20"/>
          <w:color w:val="auto"/>
        </w:rPr>
      </w:pPr>
      <w:r>
        <w:rPr>
          <w:rFonts w:ascii="Arial" w:cs="Arial" w:eastAsia="Arial" w:hAnsi="Arial"/>
          <w:sz w:val="17"/>
          <w:szCs w:val="17"/>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2" w:lineRule="exact"/>
        <w:rPr>
          <w:sz w:val="20"/>
          <w:szCs w:val="20"/>
          <w:color w:val="auto"/>
        </w:rPr>
      </w:pPr>
    </w:p>
    <w:p>
      <w:pPr>
        <w:jc w:val="both"/>
        <w:ind w:left="180" w:firstLine="648"/>
        <w:spacing w:after="0" w:line="288" w:lineRule="auto"/>
        <w:rPr>
          <w:sz w:val="20"/>
          <w:szCs w:val="20"/>
          <w:color w:val="auto"/>
        </w:rPr>
      </w:pPr>
      <w:r>
        <w:rPr>
          <w:rFonts w:ascii="Arial" w:cs="Arial" w:eastAsia="Arial" w:hAnsi="Arial"/>
          <w:sz w:val="16"/>
          <w:szCs w:val="16"/>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68" w:lineRule="exact"/>
        <w:rPr>
          <w:sz w:val="20"/>
          <w:szCs w:val="20"/>
          <w:color w:val="auto"/>
        </w:rPr>
      </w:pPr>
    </w:p>
    <w:p>
      <w:pPr>
        <w:jc w:val="both"/>
        <w:ind w:left="180" w:firstLine="648"/>
        <w:spacing w:after="0" w:line="263" w:lineRule="auto"/>
        <w:rPr>
          <w:sz w:val="20"/>
          <w:szCs w:val="20"/>
          <w:color w:val="auto"/>
        </w:rPr>
      </w:pPr>
      <w:r>
        <w:rPr>
          <w:rFonts w:ascii="Arial" w:cs="Arial" w:eastAsia="Arial" w:hAnsi="Arial"/>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4" w:name="page55"/>
    <w:bookmarkEnd w:id="54"/>
    <w:p>
      <w:pPr>
        <w:ind w:left="-460" w:firstLine="644"/>
        <w:spacing w:after="0" w:line="277" w:lineRule="auto"/>
        <w:tabs>
          <w:tab w:leader="none" w:pos="104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All questions concerning the construction, validity, enforcement and interpretation of this Warrant shall be determined in accordance with the provisions of the Purchase Agreement.</w:t>
      </w:r>
    </w:p>
    <w:p>
      <w:pPr>
        <w:spacing w:after="0" w:line="170" w:lineRule="exact"/>
        <w:rPr>
          <w:rFonts w:ascii="Arial" w:cs="Arial" w:eastAsia="Arial" w:hAnsi="Arial"/>
          <w:sz w:val="18"/>
          <w:szCs w:val="18"/>
          <w:color w:val="auto"/>
        </w:rPr>
      </w:pPr>
    </w:p>
    <w:p>
      <w:pPr>
        <w:ind w:left="-460" w:firstLine="644"/>
        <w:spacing w:after="0" w:line="308" w:lineRule="auto"/>
        <w:tabs>
          <w:tab w:leader="none" w:pos="812"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Restrictions</w:t>
      </w:r>
      <w:r>
        <w:rPr>
          <w:rFonts w:ascii="Arial" w:cs="Arial" w:eastAsia="Arial" w:hAnsi="Arial"/>
          <w:sz w:val="17"/>
          <w:szCs w:val="17"/>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46" w:lineRule="exact"/>
        <w:rPr>
          <w:rFonts w:ascii="Arial" w:cs="Arial" w:eastAsia="Arial" w:hAnsi="Arial"/>
          <w:sz w:val="17"/>
          <w:szCs w:val="17"/>
          <w:color w:val="auto"/>
        </w:rPr>
      </w:pPr>
    </w:p>
    <w:p>
      <w:pPr>
        <w:jc w:val="both"/>
        <w:ind w:left="-460" w:firstLine="644"/>
        <w:spacing w:after="0" w:line="273" w:lineRule="auto"/>
        <w:tabs>
          <w:tab w:leader="none" w:pos="770"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Nonwaiver and Expenses</w:t>
      </w:r>
      <w:r>
        <w:rPr>
          <w:rFonts w:ascii="Arial" w:cs="Arial" w:eastAsia="Arial" w:hAnsi="Arial"/>
          <w:sz w:val="17"/>
          <w:szCs w:val="17"/>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77" w:lineRule="exact"/>
        <w:rPr>
          <w:rFonts w:ascii="Arial" w:cs="Arial" w:eastAsia="Arial" w:hAnsi="Arial"/>
          <w:sz w:val="17"/>
          <w:szCs w:val="17"/>
          <w:color w:val="auto"/>
        </w:rPr>
      </w:pPr>
    </w:p>
    <w:p>
      <w:pPr>
        <w:ind w:left="-460" w:firstLine="644"/>
        <w:spacing w:after="0" w:line="277" w:lineRule="auto"/>
        <w:tabs>
          <w:tab w:leader="none" w:pos="74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70" w:lineRule="exact"/>
        <w:rPr>
          <w:rFonts w:ascii="Arial" w:cs="Arial" w:eastAsia="Arial" w:hAnsi="Arial"/>
          <w:sz w:val="18"/>
          <w:szCs w:val="18"/>
          <w:color w:val="auto"/>
        </w:rPr>
      </w:pPr>
    </w:p>
    <w:p>
      <w:pPr>
        <w:jc w:val="both"/>
        <w:ind w:left="-460" w:firstLine="644"/>
        <w:spacing w:after="0" w:line="259" w:lineRule="auto"/>
        <w:tabs>
          <w:tab w:leader="none" w:pos="84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802"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Remedies</w:t>
      </w:r>
      <w:r>
        <w:rPr>
          <w:rFonts w:ascii="Arial" w:cs="Arial" w:eastAsia="Arial" w:hAnsi="Arial"/>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86" w:lineRule="exact"/>
        <w:rPr>
          <w:rFonts w:ascii="Arial" w:cs="Arial" w:eastAsia="Arial" w:hAnsi="Arial"/>
          <w:sz w:val="18"/>
          <w:szCs w:val="18"/>
          <w:color w:val="auto"/>
        </w:rPr>
      </w:pPr>
    </w:p>
    <w:p>
      <w:pPr>
        <w:jc w:val="both"/>
        <w:ind w:left="-460" w:firstLine="644"/>
        <w:spacing w:after="0" w:line="259" w:lineRule="auto"/>
        <w:tabs>
          <w:tab w:leader="none" w:pos="783"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5" w:name="page56"/>
    <w:bookmarkEnd w:id="55"/>
    <w:p>
      <w:pPr>
        <w:ind w:left="1200" w:hanging="556"/>
        <w:spacing w:after="0"/>
        <w:tabs>
          <w:tab w:leader="none" w:pos="1200"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 the Holder.</w:t>
      </w:r>
    </w:p>
    <w:p>
      <w:pPr>
        <w:spacing w:after="0" w:line="210" w:lineRule="exact"/>
        <w:rPr>
          <w:rFonts w:ascii="Arial" w:cs="Arial" w:eastAsia="Arial" w:hAnsi="Arial"/>
          <w:sz w:val="16"/>
          <w:szCs w:val="16"/>
          <w:color w:val="auto"/>
        </w:rPr>
      </w:pPr>
    </w:p>
    <w:p>
      <w:pPr>
        <w:jc w:val="both"/>
        <w:ind w:right="20" w:firstLine="644"/>
        <w:spacing w:after="0" w:line="311" w:lineRule="auto"/>
        <w:tabs>
          <w:tab w:leader="none" w:pos="127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48" w:lineRule="exact"/>
        <w:rPr>
          <w:rFonts w:ascii="Arial" w:cs="Arial" w:eastAsia="Arial" w:hAnsi="Arial"/>
          <w:sz w:val="16"/>
          <w:szCs w:val="16"/>
          <w:color w:val="auto"/>
        </w:rPr>
      </w:pPr>
    </w:p>
    <w:p>
      <w:pPr>
        <w:ind w:firstLine="644"/>
        <w:spacing w:after="0" w:line="277" w:lineRule="auto"/>
        <w:tabs>
          <w:tab w:leader="none" w:pos="123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this Warrant are for the convenience of reference only and shall not, for any purpose, be deemed a part of this Warrant.</w:t>
      </w:r>
    </w:p>
    <w:p>
      <w:pPr>
        <w:spacing w:after="0" w:line="17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04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56" w:name="page57"/>
    <w:bookmarkEnd w:id="56"/>
    <w:p>
      <w:pPr>
        <w:ind w:firstLine="1296"/>
        <w:spacing w:after="0" w:line="277" w:lineRule="auto"/>
        <w:rPr>
          <w:sz w:val="20"/>
          <w:szCs w:val="20"/>
          <w:color w:val="auto"/>
        </w:rPr>
      </w:pPr>
      <w:r>
        <w:rPr>
          <w:rFonts w:ascii="Arial" w:cs="Arial" w:eastAsia="Arial" w:hAnsi="Arial"/>
          <w:sz w:val="18"/>
          <w:szCs w:val="18"/>
          <w:color w:val="auto"/>
        </w:rPr>
        <w:t>IN WITNESS WHEREOF, the Company has caused this Warrant to be executed by its officer thereunto duly authorized as of the date first above indicated.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ind w:left="966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EXERCISE</w:t>
      </w:r>
    </w:p>
    <w:p>
      <w:pPr>
        <w:spacing w:after="0" w:line="229"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TO:</w:t>
        <w:tab/>
        <w:t>XPRESSPA GROUP, INC.</w:t>
      </w:r>
    </w:p>
    <w:p>
      <w:pPr>
        <w:spacing w:after="0" w:line="225" w:lineRule="exact"/>
        <w:rPr>
          <w:sz w:val="20"/>
          <w:szCs w:val="20"/>
          <w:color w:val="auto"/>
        </w:rPr>
      </w:pPr>
    </w:p>
    <w:p>
      <w:pPr>
        <w:ind w:firstLine="1304"/>
        <w:spacing w:after="0" w:line="308" w:lineRule="auto"/>
        <w:tabs>
          <w:tab w:leader="none" w:pos="1736"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46" w:lineRule="exact"/>
        <w:rPr>
          <w:rFonts w:ascii="Arial" w:cs="Arial" w:eastAsia="Arial" w:hAnsi="Arial"/>
          <w:sz w:val="17"/>
          <w:szCs w:val="17"/>
          <w:color w:val="auto"/>
        </w:rPr>
      </w:pPr>
    </w:p>
    <w:p>
      <w:pPr>
        <w:ind w:left="1740" w:hanging="436"/>
        <w:spacing w:after="0"/>
        <w:tabs>
          <w:tab w:leader="none" w:pos="17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shall take the form of (check applicable box):</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 in lawful money of the United States; or</w:t>
      </w:r>
    </w:p>
    <w:p>
      <w:pPr>
        <w:spacing w:after="0" w:line="225" w:lineRule="exact"/>
        <w:rPr>
          <w:sz w:val="20"/>
          <w:szCs w:val="20"/>
          <w:color w:val="auto"/>
        </w:rPr>
      </w:pPr>
    </w:p>
    <w:p>
      <w:pPr>
        <w:jc w:val="both"/>
        <w:ind w:left="1960"/>
        <w:spacing w:after="0" w:line="263" w:lineRule="auto"/>
        <w:rPr>
          <w:sz w:val="20"/>
          <w:szCs w:val="20"/>
          <w:color w:val="auto"/>
        </w:rPr>
      </w:pPr>
      <w:r>
        <w:rPr>
          <w:rFonts w:ascii="Arial" w:cs="Arial" w:eastAsia="Arial" w:hAnsi="Arial"/>
          <w:sz w:val="18"/>
          <w:szCs w:val="18"/>
          <w:color w:val="auto"/>
        </w:rPr>
        <w:t>[ ] 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83" w:lineRule="exact"/>
        <w:rPr>
          <w:sz w:val="20"/>
          <w:szCs w:val="20"/>
          <w:color w:val="auto"/>
        </w:rPr>
      </w:pPr>
    </w:p>
    <w:p>
      <w:pPr>
        <w:ind w:left="1740" w:hanging="436"/>
        <w:spacing w:after="0"/>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Please issue said Warrant Shares in the name of the undersigned or in such other name as is specified below:</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6350</wp:posOffset>
            </wp:positionV>
            <wp:extent cx="59150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150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Investing Entity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-1905</wp:posOffset>
            </wp:positionV>
            <wp:extent cx="44145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-1905</wp:posOffset>
            </wp:positionV>
            <wp:extent cx="56318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3181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-1905</wp:posOffset>
            </wp:positionV>
            <wp:extent cx="56318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-1905</wp:posOffset>
            </wp:positionV>
            <wp:extent cx="67722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722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340" w:right="1140"/>
        <w:spacing w:after="0" w:line="530" w:lineRule="auto"/>
        <w:rPr>
          <w:sz w:val="20"/>
          <w:szCs w:val="20"/>
          <w:color w:val="auto"/>
        </w:rPr>
      </w:pPr>
      <w:r>
        <w:rPr>
          <w:rFonts w:ascii="Arial" w:cs="Arial" w:eastAsia="Arial" w:hAnsi="Arial"/>
          <w:sz w:val="17"/>
          <w:szCs w:val="17"/>
          <w:i w:val="1"/>
          <w:iCs w:val="1"/>
          <w:color w:val="auto"/>
        </w:rPr>
        <w:t xml:space="preserve">(To assign the foregoing Warrant, execute this form and supply required information. Do not use this form to purchase shares.) </w:t>
      </w:r>
      <w:r>
        <w:rPr>
          <w:rFonts w:ascii="Arial" w:cs="Arial" w:eastAsia="Arial" w:hAnsi="Arial"/>
          <w:sz w:val="17"/>
          <w:szCs w:val="17"/>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(Please 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(Please Print)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 __, ______</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Holder’s Signature: 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Holder’s Address: </w:t>
      </w:r>
      <w:r>
        <w:rPr>
          <w:rFonts w:ascii="Arial" w:cs="Arial" w:eastAsia="Arial" w:hAnsi="Arial"/>
          <w:sz w:val="18"/>
          <w:szCs w:val="18"/>
          <w:u w:val="single" w:color="auto"/>
          <w:color w:val="auto"/>
        </w:rPr>
        <w:t>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600"/>
          </w:cols>
          <w:pgMar w:left="320" w:top="904" w:right="97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17145</wp:posOffset>
            </wp:positionV>
            <wp:extent cx="2391410" cy="1834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39141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August 28,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780 Third Avenue, 12th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have acted as special counsel to XpresSpa Group, Inc., a Delaware corporation (the “Company”), in connection with the filing by the Company with the Securities and Exchange Commission (the “Commission”) under the Securities Act of 1933, as amended (the “Act”), of a prospectus supplement, dated August 25, 2020 (the “Prospectus Supplement”), to the base prospectus, dated August 5, 2020 (the “Base Prospectus”), that forms a part of the registration statement on Form S-3 (Registration No. 333-240084) filed with the Commission on July 24, 2020 and declared effective by the Commission on August 5, 2020 (the “Registration Statement”). The Prospectus Supplement relates to the offer, issuance and sale of 10,407,408 shares (the “Shares”) of the Company’s common stock, par value $0.01 per share (the “Common Stock”), warrants (the “Warrants”) to purchase an aggregate of 11,216,932 shares of Common Stock (the “Warrant Shares”), and pre-funded warrants (the “Pre-Funded Warrants”) to purchase an aggregate of 809,524 shares of Common Stock (the “Pre-Funded Warrant Shares”), -pursuant to that certain Securities Purchase Agreement (the “Purchase Agreement”), dated as of August 25, 2020, by and among the Company and each of the purchasers identified on the signature pages thereto (the “Purchasers”).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herewith, we have examined:</w:t>
      </w:r>
    </w:p>
    <w:p>
      <w:pPr>
        <w:spacing w:after="0" w:line="225" w:lineRule="exact"/>
        <w:rPr>
          <w:sz w:val="20"/>
          <w:szCs w:val="20"/>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Registration Statement, together with the exhibits thereto;</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Base Prospectus as supplemented by the Prospectus Supplement (collectively, the “Prospectus”) and the exhibits thereto;</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Purchase Agreement;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form of the Warrants;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Amended and Restated Bylaws of the Company;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certain resolutions duly adopted by the Company’s Board of Directors or a committee thereof on July 23, 2020 and August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6303010</wp:posOffset>
            </wp:positionH>
            <wp:positionV relativeFrom="page">
              <wp:posOffset>586105</wp:posOffset>
            </wp:positionV>
            <wp:extent cx="1036955" cy="445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036955" cy="445770"/>
                    </a:xfrm>
                    <a:prstGeom prst="rect">
                      <a:avLst/>
                    </a:prstGeom>
                    <a:noFill/>
                  </pic:spPr>
                </pic:pic>
              </a:graphicData>
            </a:graphic>
          </wp:anchor>
        </w:drawing>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28,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have also examined originals or copies, certified or otherwise identified to our satisfaction, of such other corporate records, agreements and instruments of the Company, certificates of public officials and officers of the Company, and such other documents, records and instruments, and we have made such legal and factual inquiries, as we have deemed necessary or appropriate as a basis for us to render the opinions hereinafter expressed. In our examination of the foregoing, we have assumed the genuineness of all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(“Edgar”) or other sites maintained by a court or governmental authority or regulatory body and the authenticity of the originals of such latter documents. If any documents we examined in printed, word processed or similar form has been filed with the Commission on Edgar or such court or governmental authority or regulatory body, we have assumed that the document so filed is identical to the document we examined except for formatting changes. When relevant facts were not independently established, we have relied without independent investigation as to matters of fact upon statements of governmental officials and upon representations made in or pursuant to the Agreement and certificates and statements of appropriate representatives of the Company.</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upon the foregoing and in reliance thereon, and subject to the assumptions, comments, qualifications, limitations and exceptions set forth herein, we are of the opinion that:</w:t>
      </w:r>
    </w:p>
    <w:p>
      <w:pPr>
        <w:spacing w:after="0" w:line="170" w:lineRule="exact"/>
        <w:rPr>
          <w:sz w:val="20"/>
          <w:szCs w:val="20"/>
          <w:color w:val="auto"/>
        </w:rPr>
      </w:pPr>
    </w:p>
    <w:p>
      <w:pPr>
        <w:ind w:firstLine="656"/>
        <w:spacing w:after="0" w:line="277" w:lineRule="auto"/>
        <w:tabs>
          <w:tab w:leader="none" w:pos="13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Shares have been duly authorized for issuance and upon due issuance and delivery in exchange for payment therefor in accordance with the terms of the Purchase Agreement, will be validly issued, fully paid and nonassessable.</w:t>
      </w:r>
    </w:p>
    <w:p>
      <w:pPr>
        <w:spacing w:after="0" w:line="170" w:lineRule="exact"/>
        <w:rPr>
          <w:rFonts w:ascii="Arial" w:cs="Arial" w:eastAsia="Arial" w:hAnsi="Arial"/>
          <w:sz w:val="18"/>
          <w:szCs w:val="18"/>
          <w:color w:val="auto"/>
        </w:rPr>
      </w:pPr>
    </w:p>
    <w:p>
      <w:pPr>
        <w:jc w:val="both"/>
        <w:ind w:firstLine="656"/>
        <w:spacing w:after="0" w:line="263" w:lineRule="auto"/>
        <w:tabs>
          <w:tab w:leader="none" w:pos="13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Warrants and the Pre-Funded Warrants have been duly authorized for issuance and upon due issuance and delivery in exchange for payment therefor in accordance with the terms of the Purchase Agreement, will be valid and binding obligations of the Company, enforceable against the Company in accordance with their terms.</w:t>
      </w:r>
    </w:p>
    <w:p>
      <w:pPr>
        <w:spacing w:after="0" w:line="183" w:lineRule="exact"/>
        <w:rPr>
          <w:rFonts w:ascii="Arial" w:cs="Arial" w:eastAsia="Arial" w:hAnsi="Arial"/>
          <w:sz w:val="18"/>
          <w:szCs w:val="18"/>
          <w:color w:val="auto"/>
        </w:rPr>
      </w:pPr>
    </w:p>
    <w:p>
      <w:pPr>
        <w:ind w:firstLine="656"/>
        <w:spacing w:after="0" w:line="308" w:lineRule="auto"/>
        <w:tabs>
          <w:tab w:leader="none" w:pos="1411"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Warrant Shares and the Pre-Funded Warrant Shares have been duly authorized for issuance and upon due issuance and delivery in exchange for payment therefor in accordance with the terms of the Warrants, will be validly issued, fully paid and nonassessable.</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opinions herein reflect only the application of the General Corporation Law of the State of Delaware. The opinions set forth herein are made as of the date hereof and are subject to, and may be limited by, future changes in factual matters, and we undertake no duty to advise you of the same. The opinions expressed herein are based upon the law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6303010</wp:posOffset>
            </wp:positionH>
            <wp:positionV relativeFrom="page">
              <wp:posOffset>586105</wp:posOffset>
            </wp:positionV>
            <wp:extent cx="1036955" cy="4457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036955" cy="445770"/>
                    </a:xfrm>
                    <a:prstGeom prst="rect">
                      <a:avLst/>
                    </a:prstGeom>
                    <a:noFill/>
                  </pic:spPr>
                </pic:pic>
              </a:graphicData>
            </a:graphic>
          </wp:anchor>
        </w:drawing>
        <w:t>XpresSpa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28,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do not render any opinions except as set forth above. We hereby consent to the filing of this opinion letter as Exhibit 5 to the Company’s Current Report on Form 8-K filed on the date hereof, which will be incorporated by reference into the Registration Statement, and to the use of our name under the caption “Legal Matters” in the Prospectus Supplement filed as a part thereof. We also consent to your filing copies of this opinion letter as an exhibit to the Registration Statement with agencies of such jurisdictions as you deem necessary in the course of complying with the laws of such jurisdictions regarding the offering and sale of the Shares. In giving such consent, we do not thereby concede that we are within the category of persons whose consent is required under Section 7 of the Act or the rules and regulations of the Commission thereunder.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BRYAN CAVE LEIGHTON PAISNER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August 25, 2020, between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an effective registration statement under the Securities Act (as defined below) as to the Shares and Warrants, the Company desires to issue and sell to each Purchaser, and each Purchaser, severally and not jointly, desires to purchase from the Company, securities of the Company as more fully described in this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other than Saturday, Sunday or other day on which 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Trading Day on which all of the Transaction Documents have been executed and delivered by the applicable parties thereto, and all conditions precedent to (i) the Purchasers’ obligations to pay the Subscription Amount and (ii) the Company’s obligations</w:t>
      </w:r>
    </w:p>
    <w:p>
      <w:pPr>
        <w:jc w:val="both"/>
        <w:spacing w:after="0" w:line="209" w:lineRule="auto"/>
        <w:rPr>
          <w:sz w:val="20"/>
          <w:szCs w:val="20"/>
          <w:color w:val="auto"/>
        </w:rPr>
      </w:pPr>
      <w:r>
        <w:rPr>
          <w:rFonts w:ascii="Arial" w:cs="Arial" w:eastAsia="Arial" w:hAnsi="Arial"/>
          <w:sz w:val="18"/>
          <w:szCs w:val="18"/>
          <w:color w:val="auto"/>
        </w:rPr>
        <w:t>to deliver the Securities, in each case, have been satisfied or waived, but in no event later than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hereof.</w:t>
      </w:r>
    </w:p>
    <w:p>
      <w:pPr>
        <w:spacing w:after="0" w:line="2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closing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closing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Bryan Cave Leighton Paisner LLP.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200" w:lineRule="exact"/>
        <w:rPr>
          <w:sz w:val="20"/>
          <w:szCs w:val="20"/>
          <w:color w:val="auto"/>
        </w:rPr>
      </w:pPr>
    </w:p>
    <w:p>
      <w:pPr>
        <w:spacing w:after="0" w:line="20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4" w:name="page65"/>
    <w:bookmarkEnd w:id="64"/>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EGS</w:t>
      </w:r>
      <w:r>
        <w:rPr>
          <w:rFonts w:ascii="Arial" w:cs="Arial" w:eastAsia="Arial" w:hAnsi="Arial"/>
          <w:sz w:val="17"/>
          <w:szCs w:val="17"/>
          <w:color w:val="auto"/>
        </w:rPr>
        <w:t>” means Ellenoff Grossman &amp; Schole LLP, with offices located at 1345 Avenue of the Americas, New York, New York 10105-</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0302.</w:t>
      </w:r>
    </w:p>
    <w:p>
      <w:pPr>
        <w:spacing w:after="0" w:line="211"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left="4"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or employees of the Company after the Closing Date pursuant to plans approved by the shareholders of (or that are subject to the approval of) the Company and which issuances are approved by a majority of the independent members of a committee of the board of directors, (b)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issue price, exercise price, exchange price or conversion price of such securities and which securities and the principal terms thereof are set forth on Schedule 3.1(g), and described in the SEC Reports,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(d) up to 25,000 shares of Common Stock, (e) securities as payment for investment banking services provided to the Company,</w:t>
      </w:r>
    </w:p>
    <w:p>
      <w:pPr>
        <w:spacing w:after="0" w:line="3" w:lineRule="exact"/>
        <w:rPr>
          <w:sz w:val="20"/>
          <w:szCs w:val="20"/>
          <w:color w:val="auto"/>
        </w:rPr>
      </w:pPr>
    </w:p>
    <w:p>
      <w:pPr>
        <w:jc w:val="both"/>
        <w:ind w:left="4" w:hanging="4"/>
        <w:spacing w:after="0" w:line="251" w:lineRule="auto"/>
        <w:tabs>
          <w:tab w:leader="none" w:pos="273"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securities issued to third party vendors as payment for goods or services, (g) securities issued to the Company’s Airport Concession Disadvantaged Business Enterprise partners, (h) securities issued or issuable to the Purchaser and its assigns pursuant to this Agreement or the Warrants and other Transaction Documents or upon exercise, conversion or exchange of any such securities, (i) securities issued as payment of interest pursuant to that certain unsecured convertible note dated as July 8, 2019 by and between the Company and Calm.com, Inc, and (j) shares of Common Stock and options to consultants of the Company after the Closing Date pursuant to plans approved by the shareholders of the Company and which issuances are approved by a majority of the independent members of a committee of the board of directors. Any securities issued pursuant to the foregoing clauses (c) – (j) shall be issued as “restricted securities” (as defined in Rule 144) and carry no registration rights that require or permit the filing of any registration statement in connection therewith from the date hereof until thirty (30) days after the Closing Date.</w:t>
      </w:r>
    </w:p>
    <w:p>
      <w:pPr>
        <w:spacing w:after="0" w:line="1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65" w:name="page66"/>
    <w:bookmarkEnd w:id="6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(d)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(e)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(f) Liens securing the performance of bids, trade contracts, leases, statutory obligations, surety and appeal bonds, performance bonds, and other obligations of like nature, in each case in the ordinary course of business, (g) any interest or title of a lessor of real property secured by a lessor’s interest in such real property under any lease, (h)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$3.15, subject to adjustment for reverse and forward stock splits, stock dividends, stock combinations and other similar transactions of the Common Stock that occur after the date of this Agreement.</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 Agent</w:t>
      </w:r>
      <w:r>
        <w:rPr>
          <w:rFonts w:ascii="Arial" w:cs="Arial" w:eastAsia="Arial" w:hAnsi="Arial"/>
          <w:sz w:val="18"/>
          <w:szCs w:val="18"/>
          <w:color w:val="auto"/>
        </w:rPr>
        <w:t>” means H.C. Wainwright &amp; Co., LLC.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“Prefunded Warrant” means, collectively, the Pre-Funded Common Stock purchase warrants delivered to the Purchasers at the Closing in accordance with Section 2.2(a) hereof, which Pre-Funded Warrants shall be exercisable immediately and shall expire when exercised in full, in the form of Exhibit A-1 attached hereto.</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333-240084 which registers the sale of the Securities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Warrants and the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7" w:name="page68"/>
    <w:bookmarkEnd w:id="67"/>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(accompanying Warrants) purchased hereunder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15th Avenue, Brooklyn, NY 11219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xml:space="preserve">” means, collectively, the Prefunded Warrants, if any, and the Common Stock purchase warrants delivered to the Purchasers at the Closing in accordance with Section 2.2(a) hereof, which Warrants shall be exercisable immediately and have a term of exercise equal to twenty-four months,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means the Common Stock issuable upon exercise of the Warrants.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 On the Closing Date, upon the terms and subject to the conditions set forth herein, substantially concurrent with the execution and delivery of this Agreement by the parties hereto, the Company agrees to sell, and the Purchasers, severally and not jointly, agree to purchase, an aggregate of up to $35 million of Shares and Warrants,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to purchase Prefunded Warrants in lieu of Shares in such manner to result in the same aggregate purchase price being paid by such Purchaser to the Company. The “Beneficial Ownership Limitation” shall be 4.99% (or, at the election of the Purchaser at Closing, 9.99%) of the number of shares of the Common Stock outstanding immediately after giving effect to the issuance of the Securities on the Closing Date. Each Purchaser’s Subscription Amount as set forth on the signature page hereto executed by such Purchaser shall be made available for “Delivery Versus Payment” (“</w:t>
      </w:r>
      <w:r>
        <w:rPr>
          <w:rFonts w:ascii="Arial" w:cs="Arial" w:eastAsia="Arial" w:hAnsi="Arial"/>
          <w:sz w:val="16"/>
          <w:szCs w:val="16"/>
          <w:u w:val="single" w:color="auto"/>
          <w:color w:val="auto"/>
        </w:rPr>
        <w:t>DVP</w:t>
      </w:r>
      <w:r>
        <w:rPr>
          <w:rFonts w:ascii="Arial" w:cs="Arial" w:eastAsia="Arial" w:hAnsi="Arial"/>
          <w:sz w:val="16"/>
          <w:szCs w:val="16"/>
          <w:color w:val="auto"/>
        </w:rPr>
        <w:t>”) settlement with the Company or its designee. The Company shall deliver to each Purchaser its respective Shares and a Warrant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as the parties shall mutually agree. Unless otherwise directed by the Placement Agent, settlement of the Shares shall occur via DVP (i.e., on the Closing Date, the Company shall issue the Shares registered in the Purchasers’ names and addresses and released by the Transfer Agent directly to the account(s) at the Placement Agent identified by each Purchaser; upon receipt of such Shares, the Placement Agent shall promptly electronically deliver such Shares to the applicable Purchaser, and payment therefor shall be made by such Placement Agent (or its clearing firm) by wire transfer to the Company). Notwithstanding anything to the contrary herein and a Purchaser’s Subscription Amount set forth on the signature pages attached hereto, the number of Shares purchased by a Purchaser (and its Affiliates) hereunder shall not, when aggregated with all other shares of Common Stock owned by such Purchaser (and its Affiliates) at such time, result in such Purchaser beneficially owning (as determined in accordance with Section 13(d) of the Exchange Act) in excess of 9.9% of the then issued and outstanding Common Stock outstanding at the Closing (the “</w:t>
      </w:r>
      <w:r>
        <w:rPr>
          <w:rFonts w:ascii="Arial" w:cs="Arial" w:eastAsia="Arial" w:hAnsi="Arial"/>
          <w:sz w:val="16"/>
          <w:szCs w:val="16"/>
          <w:u w:val="single" w:color="auto"/>
          <w:color w:val="auto"/>
        </w:rPr>
        <w:t>Beneficial Ownership Maximum</w:t>
      </w:r>
      <w:r>
        <w:rPr>
          <w:rFonts w:ascii="Arial" w:cs="Arial" w:eastAsia="Arial" w:hAnsi="Arial"/>
          <w:sz w:val="16"/>
          <w:szCs w:val="16"/>
          <w:color w:val="auto"/>
        </w:rPr>
        <w:t>”), and such Purchaser’s Subscription Amount, to the extent it would otherwise exceed the Beneficial Ownership Maximum immediately prior to the Closing, shall be conditioned upon the issuance of Shares at the Closing to the other Purchasers signatory hereto. To the extent that a Purchaser’s beneficial ownership of the Shares would otherwise be deemed to exceed the Beneficial Ownership Maximum, such Purchaser’s Subscription Amount shall automatically be reduced as necessary in order to comply with this paragraph. Notwithstanding the foregoing, with respect to any Notice(s) of Exercise (as defined in the Prefunded Warrants) delivered on or prior to 12:00 p.m. (New York City time) on the Closing Date, which may be delivered at any time after the time of execution of the this Agreement, the Company agrees to deliver the Warrant Shares subject to such notice(s) by 4:00 p.m. (New York City time) on the Closing Date and the Closing Date shall be the Warrant Share Delivery Date (as defined in the Prefunded Warrants) for purposes hereunder.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2040" w:hanging="736"/>
        <w:spacing w:after="0"/>
        <w:tabs>
          <w:tab w:leader="none" w:pos="20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or prior to the Closing Date, the Company shall deliver or cause to be delivered to each Purchaser the following:</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660" w:hanging="708"/>
        <w:spacing w:after="0"/>
        <w:tabs>
          <w:tab w:leader="none" w:pos="26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legal opinion of Company Counsel, reasonably satisfactory to the Purchasers;</w:t>
      </w:r>
    </w:p>
    <w:p>
      <w:pPr>
        <w:spacing w:after="0" w:line="225" w:lineRule="exact"/>
        <w:rPr>
          <w:rFonts w:ascii="Arial" w:cs="Arial" w:eastAsia="Arial" w:hAnsi="Arial"/>
          <w:sz w:val="18"/>
          <w:szCs w:val="18"/>
          <w:color w:val="auto"/>
        </w:rPr>
      </w:pPr>
    </w:p>
    <w:p>
      <w:pPr>
        <w:ind w:left="1300" w:firstLine="652"/>
        <w:spacing w:after="0" w:line="277" w:lineRule="auto"/>
        <w:tabs>
          <w:tab w:leader="none" w:pos="2695"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711" w:val="left"/>
        </w:tabs>
        <w:numPr>
          <w:ilvl w:val="1"/>
          <w:numId w:val="71"/>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 Amount divided by the Per Share Purchase Price, registered in the name of such Purchaser;</w:t>
      </w:r>
    </w:p>
    <w:p>
      <w:pPr>
        <w:spacing w:after="0" w:line="186" w:lineRule="exact"/>
        <w:rPr>
          <w:rFonts w:ascii="Arial" w:cs="Arial" w:eastAsia="Arial" w:hAnsi="Arial"/>
          <w:sz w:val="18"/>
          <w:szCs w:val="18"/>
          <w:color w:val="auto"/>
        </w:rPr>
      </w:pPr>
    </w:p>
    <w:p>
      <w:pPr>
        <w:ind w:left="1300" w:firstLine="652"/>
        <w:spacing w:after="0" w:line="308" w:lineRule="auto"/>
        <w:tabs>
          <w:tab w:leader="none" w:pos="2702" w:val="left"/>
        </w:tabs>
        <w:numPr>
          <w:ilvl w:val="1"/>
          <w:numId w:val="71"/>
        </w:numPr>
        <w:rPr>
          <w:rFonts w:ascii="Arial" w:cs="Arial" w:eastAsia="Arial" w:hAnsi="Arial"/>
          <w:sz w:val="17"/>
          <w:szCs w:val="17"/>
          <w:color w:val="auto"/>
        </w:rPr>
      </w:pPr>
      <w:r>
        <w:rPr>
          <w:rFonts w:ascii="Arial" w:cs="Arial" w:eastAsia="Arial" w:hAnsi="Arial"/>
          <w:sz w:val="17"/>
          <w:szCs w:val="17"/>
          <w:color w:val="auto"/>
        </w:rPr>
        <w:t>a Warrant registered in the name of such Purchaser to purchase up to a number of shares of Common Stock equal to 100% of such Purchaser’s Shares, with an exercise price equal to $3.02 per Warrant Share, subject to adjustment therein;</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left="640" w:firstLine="652"/>
        <w:spacing w:after="0" w:line="286" w:lineRule="auto"/>
        <w:tabs>
          <w:tab w:leader="none" w:pos="2027" w:val="left"/>
        </w:tabs>
        <w:numPr>
          <w:ilvl w:val="1"/>
          <w:numId w:val="72"/>
        </w:numPr>
        <w:rPr>
          <w:rFonts w:ascii="Arial" w:cs="Arial" w:eastAsia="Arial" w:hAnsi="Arial"/>
          <w:sz w:val="17"/>
          <w:szCs w:val="17"/>
          <w:color w:val="auto"/>
        </w:rPr>
      </w:pPr>
      <w:r>
        <w:rPr>
          <w:rFonts w:ascii="Arial" w:cs="Arial" w:eastAsia="Arial" w:hAnsi="Arial"/>
          <w:sz w:val="17"/>
          <w:szCs w:val="17"/>
          <w:color w:val="auto"/>
        </w:rPr>
        <w:t>for each Purchaser of Prefunded Warrants pursuant to Section 2.1, a Prefunded Warrant registered in the name of such Purchaser to purchase up to a number of shares of Common Stock equal to the portion of such Purchaser’s Subscription Amount applicable to Prefunded Warrant divided by the Per Share Purchase Price, with an exercise price equal to $0.001; and</w:t>
      </w:r>
    </w:p>
    <w:p>
      <w:pPr>
        <w:spacing w:after="0" w:line="165" w:lineRule="exact"/>
        <w:rPr>
          <w:rFonts w:ascii="Arial" w:cs="Arial" w:eastAsia="Arial" w:hAnsi="Arial"/>
          <w:sz w:val="17"/>
          <w:szCs w:val="17"/>
          <w:color w:val="auto"/>
        </w:rPr>
      </w:pPr>
    </w:p>
    <w:p>
      <w:pPr>
        <w:ind w:left="2060" w:hanging="768"/>
        <w:spacing w:after="0"/>
        <w:tabs>
          <w:tab w:leader="none" w:pos="2060" w:val="left"/>
        </w:tabs>
        <w:numPr>
          <w:ilvl w:val="1"/>
          <w:numId w:val="72"/>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340" w:hanging="696"/>
        <w:spacing w:after="0"/>
        <w:tabs>
          <w:tab w:leader="none" w:pos="1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or prior to the Closing Date, each Purchaser shall deliver or cause to be delivered to the Company the following:</w:t>
      </w:r>
    </w:p>
    <w:p>
      <w:pPr>
        <w:spacing w:after="0" w:line="225" w:lineRule="exact"/>
        <w:rPr>
          <w:rFonts w:ascii="Arial" w:cs="Arial" w:eastAsia="Arial" w:hAnsi="Arial"/>
          <w:sz w:val="18"/>
          <w:szCs w:val="18"/>
          <w:color w:val="auto"/>
        </w:rPr>
      </w:pPr>
    </w:p>
    <w:p>
      <w:pPr>
        <w:ind w:left="2000" w:hanging="708"/>
        <w:spacing w:after="0"/>
        <w:tabs>
          <w:tab w:leader="none" w:pos="20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2"/>
        <w:spacing w:after="0" w:line="277" w:lineRule="auto"/>
        <w:tabs>
          <w:tab w:leader="none" w:pos="2097" w:val="left"/>
        </w:tabs>
        <w:numPr>
          <w:ilvl w:val="1"/>
          <w:numId w:val="73"/>
        </w:numPr>
        <w:rPr>
          <w:rFonts w:ascii="Arial" w:cs="Arial" w:eastAsia="Arial" w:hAnsi="Arial"/>
          <w:sz w:val="18"/>
          <w:szCs w:val="18"/>
          <w:color w:val="auto"/>
        </w:rPr>
      </w:pPr>
      <w:r>
        <w:rPr>
          <w:rFonts w:ascii="Arial" w:cs="Arial" w:eastAsia="Arial" w:hAnsi="Arial"/>
          <w:sz w:val="18"/>
          <w:szCs w:val="18"/>
          <w:color w:val="auto"/>
        </w:rPr>
        <w:t>such Purchaser’s Subscription Amount with regard to the Shares purchased by such Purchaser, which shall be made available for “Delivery Versus Payment” settlement with the Company or its designee.</w:t>
      </w:r>
    </w:p>
    <w:p>
      <w:pPr>
        <w:spacing w:after="0" w:line="17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340" w:hanging="696"/>
        <w:spacing w:after="0"/>
        <w:tabs>
          <w:tab w:leader="none" w:pos="134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86" w:lineRule="auto"/>
        <w:tabs>
          <w:tab w:leader="none" w:pos="2187"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313"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under the Transaction Documents required to be performed at or prior to the Closing Date shall have been performed; and</w:t>
      </w:r>
    </w:p>
    <w:p>
      <w:pPr>
        <w:spacing w:after="0" w:line="170" w:lineRule="exact"/>
        <w:rPr>
          <w:rFonts w:ascii="Arial" w:cs="Arial" w:eastAsia="Arial" w:hAnsi="Arial"/>
          <w:sz w:val="18"/>
          <w:szCs w:val="18"/>
          <w:color w:val="auto"/>
        </w:rPr>
      </w:pPr>
    </w:p>
    <w:p>
      <w:pPr>
        <w:ind w:left="2060" w:hanging="768"/>
        <w:spacing w:after="0"/>
        <w:tabs>
          <w:tab w:leader="none" w:pos="20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420" w:hanging="776"/>
        <w:spacing w:after="0"/>
        <w:tabs>
          <w:tab w:leader="none" w:pos="14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187"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right="20" w:firstLine="652"/>
        <w:spacing w:after="0" w:line="277" w:lineRule="auto"/>
        <w:tabs>
          <w:tab w:leader="none" w:pos="2048" w:val="left"/>
        </w:tabs>
        <w:numPr>
          <w:ilvl w:val="1"/>
          <w:numId w:val="74"/>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under the Transaction Documents required to be performed at or prior to the Closing Date shall have been performed;</w:t>
      </w:r>
    </w:p>
    <w:p>
      <w:pPr>
        <w:spacing w:after="0" w:line="170" w:lineRule="exact"/>
        <w:rPr>
          <w:rFonts w:ascii="Arial" w:cs="Arial" w:eastAsia="Arial" w:hAnsi="Arial"/>
          <w:sz w:val="18"/>
          <w:szCs w:val="18"/>
          <w:color w:val="auto"/>
        </w:rPr>
      </w:pPr>
    </w:p>
    <w:p>
      <w:pPr>
        <w:ind w:left="2100" w:hanging="808"/>
        <w:spacing w:after="0"/>
        <w:tabs>
          <w:tab w:leader="none" w:pos="21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100" w:hanging="808"/>
        <w:spacing w:after="0"/>
        <w:tabs>
          <w:tab w:leader="none" w:pos="21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 and</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0" w:name="page71"/>
    <w:bookmarkEnd w:id="70"/>
    <w:p>
      <w:pPr>
        <w:jc w:val="both"/>
        <w:ind w:left="1300" w:firstLine="652"/>
        <w:spacing w:after="0" w:line="291" w:lineRule="auto"/>
        <w:tabs>
          <w:tab w:leader="none" w:pos="2967" w:val="left"/>
        </w:tabs>
        <w:numPr>
          <w:ilvl w:val="0"/>
          <w:numId w:val="75"/>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Except as set forth in the SEC Reports (other than with respect to Sections 3.1(b), 3.1(c), 3.1(d), 3.1(e) and 3.1(g))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87" w:lineRule="exact"/>
        <w:rPr>
          <w:sz w:val="20"/>
          <w:szCs w:val="20"/>
          <w:color w:val="auto"/>
        </w:rPr>
      </w:pPr>
    </w:p>
    <w:p>
      <w:pPr>
        <w:jc w:val="both"/>
        <w:ind w:left="660" w:firstLine="644"/>
        <w:spacing w:after="0" w:line="259" w:lineRule="auto"/>
        <w:tabs>
          <w:tab w:leader="none" w:pos="208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05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w:t>
      </w:r>
    </w:p>
    <w:p>
      <w:pPr>
        <w:spacing w:after="0" w:line="186" w:lineRule="exact"/>
        <w:rPr>
          <w:rFonts w:ascii="Arial" w:cs="Arial" w:eastAsia="Arial" w:hAnsi="Arial"/>
          <w:sz w:val="18"/>
          <w:szCs w:val="18"/>
          <w:color w:val="auto"/>
        </w:rPr>
      </w:pPr>
    </w:p>
    <w:p>
      <w:pPr>
        <w:jc w:val="both"/>
        <w:ind w:left="660" w:firstLine="644"/>
        <w:spacing w:after="0" w:line="287" w:lineRule="auto"/>
        <w:tabs>
          <w:tab w:leader="none" w:pos="2016" w:val="left"/>
        </w:tabs>
        <w:numPr>
          <w:ilvl w:val="0"/>
          <w:numId w:val="76"/>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both"/>
        <w:ind w:left="-460" w:firstLine="644"/>
        <w:spacing w:after="0" w:line="268" w:lineRule="auto"/>
        <w:tabs>
          <w:tab w:leader="none" w:pos="121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except as set forth on </w:t>
      </w:r>
      <w:r>
        <w:rPr>
          <w:rFonts w:ascii="Arial" w:cs="Arial" w:eastAsia="Arial" w:hAnsi="Arial"/>
          <w:sz w:val="17"/>
          <w:szCs w:val="17"/>
          <w:u w:val="single" w:color="auto"/>
          <w:color w:val="auto"/>
        </w:rPr>
        <w:t>Schedule 3.1(d)</w:t>
      </w:r>
      <w:r>
        <w:rPr>
          <w:rFonts w:ascii="Arial" w:cs="Arial" w:eastAsia="Arial" w:hAnsi="Arial"/>
          <w:sz w:val="17"/>
          <w:szCs w:val="17"/>
          <w:color w:val="auto"/>
        </w:rPr>
        <w:t>,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a material adverse effect on the legality, validity or enforceability of any Transaction Document, B) a material adverse effect on the results of operations, assets, business, prospects or condition (financial or otherwise) of the Company and the Subsidiaries, taken as a whole, or (C) a material adverse effect on the Company’s ability to perform in any material respect on a timely basis its obligations under any Transaction Document (any of (A), (B) or (C),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jc w:val="both"/>
        <w:ind w:left="-460" w:firstLine="644"/>
        <w:spacing w:after="0" w:line="273" w:lineRule="auto"/>
        <w:tabs>
          <w:tab w:leader="none" w:pos="1022"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Filings, Consents and Approvals</w:t>
      </w:r>
      <w:r>
        <w:rPr>
          <w:rFonts w:ascii="Arial" w:cs="Arial" w:eastAsia="Arial" w:hAnsi="Arial"/>
          <w:sz w:val="17"/>
          <w:szCs w:val="17"/>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Warrant Shares for trading thereon in the time and manner required thereby and (iv) such filings as are required to be made under applicable state securities laws (collectively, the “</w:t>
      </w:r>
      <w:r>
        <w:rPr>
          <w:rFonts w:ascii="Arial" w:cs="Arial" w:eastAsia="Arial" w:hAnsi="Arial"/>
          <w:sz w:val="17"/>
          <w:szCs w:val="17"/>
          <w:u w:val="single" w:color="auto"/>
          <w:color w:val="auto"/>
        </w:rPr>
        <w:t>Required Approvals</w:t>
      </w:r>
      <w:r>
        <w:rPr>
          <w:rFonts w:ascii="Arial" w:cs="Arial" w:eastAsia="Arial" w:hAnsi="Arial"/>
          <w:sz w:val="17"/>
          <w:szCs w:val="17"/>
          <w:color w:val="auto"/>
        </w:rPr>
        <w:t>”).</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2" w:name="page73"/>
    <w:bookmarkEnd w:id="72"/>
    <w:p>
      <w:pPr>
        <w:jc w:val="both"/>
        <w:ind w:left="-460" w:firstLine="644"/>
        <w:spacing w:after="0" w:line="284" w:lineRule="auto"/>
        <w:tabs>
          <w:tab w:leader="none" w:pos="989"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Warrants are duly authorized and, when issued and paid for in accordance with the applicable Transaction Documents, will be duly and validly issued,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 The Company has prepared and filed the Registration Statement in conformity with the requirements of the Securities Act, which became effective on July 30, 2019 (the “</w:t>
      </w:r>
      <w:r>
        <w:rPr>
          <w:rFonts w:ascii="Arial" w:cs="Arial" w:eastAsia="Arial" w:hAnsi="Arial"/>
          <w:sz w:val="16"/>
          <w:szCs w:val="16"/>
          <w:u w:val="single" w:color="auto"/>
          <w:color w:val="auto"/>
        </w:rPr>
        <w:t>Effective Date</w:t>
      </w:r>
      <w:r>
        <w:rPr>
          <w:rFonts w:ascii="Arial" w:cs="Arial" w:eastAsia="Arial" w:hAnsi="Arial"/>
          <w:sz w:val="16"/>
          <w:szCs w:val="16"/>
          <w:color w:val="auto"/>
        </w:rPr>
        <w:t>”),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in General Instruction I.B.1 of Form S-3.</w:t>
      </w:r>
    </w:p>
    <w:p>
      <w:pPr>
        <w:spacing w:after="0" w:line="179" w:lineRule="exact"/>
        <w:rPr>
          <w:rFonts w:ascii="Arial" w:cs="Arial" w:eastAsia="Arial" w:hAnsi="Arial"/>
          <w:sz w:val="16"/>
          <w:szCs w:val="16"/>
          <w:color w:val="auto"/>
        </w:rPr>
      </w:pPr>
    </w:p>
    <w:p>
      <w:pPr>
        <w:jc w:val="both"/>
        <w:ind w:left="-460" w:firstLine="644"/>
        <w:spacing w:after="0" w:line="284" w:lineRule="auto"/>
        <w:tabs>
          <w:tab w:leader="none" w:pos="1068"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3.1(g)</w:t>
      </w:r>
      <w:r>
        <w:rPr>
          <w:rFonts w:ascii="Arial" w:cs="Arial" w:eastAsia="Arial" w:hAnsi="Arial"/>
          <w:sz w:val="16"/>
          <w:szCs w:val="16"/>
          <w:color w:val="auto"/>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(i) pursuant to the exercise of employee stock options under the Company’s stock option plans, (ii) the issuance of shares of Common Stock to employees pursuant to the Company’s employee stock purchase plans, (iii) pursuant to the conversion and/or exercise of Common Stock Equivalents outstanding as of the date of the most recently filed periodic report under the Exchange Act and (iv) as the payment of interest with respect to outstanding indebtedness.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Schedule 3.1(g),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Section 3.1(e),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3" w:name="page74"/>
    <w:bookmarkEnd w:id="73"/>
    <w:p>
      <w:pPr>
        <w:jc w:val="both"/>
        <w:ind w:left="-460" w:firstLine="644"/>
        <w:spacing w:after="0" w:line="285" w:lineRule="auto"/>
        <w:tabs>
          <w:tab w:leader="none" w:pos="1113"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4" w:name="page75"/>
    <w:bookmarkEnd w:id="74"/>
    <w:p>
      <w:pPr>
        <w:jc w:val="both"/>
        <w:ind w:left="4" w:firstLine="644"/>
        <w:spacing w:after="0" w:line="286" w:lineRule="auto"/>
        <w:tabs>
          <w:tab w:leader="none" w:pos="1483"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w:t>
      </w:r>
    </w:p>
    <w:p>
      <w:pPr>
        <w:spacing w:after="0" w:line="1" w:lineRule="exact"/>
        <w:rPr>
          <w:rFonts w:ascii="Arial" w:cs="Arial" w:eastAsia="Arial" w:hAnsi="Arial"/>
          <w:sz w:val="16"/>
          <w:szCs w:val="16"/>
          <w:color w:val="auto"/>
        </w:rPr>
      </w:pPr>
    </w:p>
    <w:p>
      <w:pPr>
        <w:jc w:val="both"/>
        <w:ind w:left="4" w:hanging="4"/>
        <w:spacing w:after="0" w:line="268" w:lineRule="auto"/>
        <w:tabs>
          <w:tab w:leader="none" w:pos="326" w:val="left"/>
        </w:tabs>
        <w:numPr>
          <w:ilvl w:val="0"/>
          <w:numId w:val="81"/>
        </w:numPr>
        <w:rPr>
          <w:rFonts w:ascii="Arial" w:cs="Arial" w:eastAsia="Arial" w:hAnsi="Arial"/>
          <w:sz w:val="17"/>
          <w:szCs w:val="17"/>
          <w:color w:val="auto"/>
        </w:rPr>
      </w:pPr>
      <w:r>
        <w:rPr>
          <w:rFonts w:ascii="Arial" w:cs="Arial" w:eastAsia="Arial" w:hAnsi="Arial"/>
          <w:sz w:val="17"/>
          <w:szCs w:val="17"/>
          <w:color w:val="auto"/>
        </w:rPr>
        <w:t xml:space="preserve">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7"/>
          <w:szCs w:val="17"/>
          <w:u w:val="single" w:color="auto"/>
          <w:color w:val="auto"/>
        </w:rPr>
        <w:t>Schedule 3.1(i)</w:t>
      </w:r>
      <w:r>
        <w:rPr>
          <w:rFonts w:ascii="Arial" w:cs="Arial" w:eastAsia="Arial" w:hAnsi="Arial"/>
          <w:sz w:val="17"/>
          <w:szCs w:val="17"/>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78" w:lineRule="exact"/>
        <w:rPr>
          <w:rFonts w:ascii="Arial" w:cs="Arial" w:eastAsia="Arial" w:hAnsi="Arial"/>
          <w:sz w:val="17"/>
          <w:szCs w:val="17"/>
          <w:color w:val="auto"/>
        </w:rPr>
      </w:pPr>
    </w:p>
    <w:p>
      <w:pPr>
        <w:jc w:val="both"/>
        <w:ind w:left="4" w:right="20" w:firstLine="644"/>
        <w:spacing w:after="0" w:line="291" w:lineRule="auto"/>
        <w:tabs>
          <w:tab w:leader="none" w:pos="1402" w:val="left"/>
        </w:tabs>
        <w:numPr>
          <w:ilvl w:val="1"/>
          <w:numId w:val="81"/>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w:t>
      </w:r>
    </w:p>
    <w:p>
      <w:pPr>
        <w:ind w:left="4"/>
        <w:spacing w:after="0"/>
        <w:rPr>
          <w:sz w:val="20"/>
          <w:szCs w:val="20"/>
          <w:color w:val="auto"/>
        </w:rPr>
      </w:pPr>
      <w:r>
        <w:rPr>
          <w:rFonts w:ascii="Arial" w:cs="Arial" w:eastAsia="Arial" w:hAnsi="Arial"/>
          <w:sz w:val="18"/>
          <w:szCs w:val="18"/>
          <w:color w:val="auto"/>
        </w:rPr>
        <w:t>governmental or administrative agency or regulatory authority (federal, state, county, local or foreign) (collectively, an “</w:t>
      </w:r>
      <w:r>
        <w:rPr>
          <w:rFonts w:ascii="Arial" w:cs="Arial" w:eastAsia="Arial" w:hAnsi="Arial"/>
          <w:sz w:val="18"/>
          <w:szCs w:val="18"/>
          <w:u w:val="single" w:color="auto"/>
          <w:color w:val="auto"/>
        </w:rPr>
        <w:t>Action</w:t>
      </w:r>
      <w:r>
        <w:rPr>
          <w:rFonts w:ascii="Arial" w:cs="Arial" w:eastAsia="Arial" w:hAnsi="Arial"/>
          <w:sz w:val="18"/>
          <w:szCs w:val="18"/>
          <w:color w:val="auto"/>
        </w:rPr>
        <w:t>”) which</w:t>
      </w:r>
    </w:p>
    <w:p>
      <w:pPr>
        <w:spacing w:after="0" w:line="9" w:lineRule="exact"/>
        <w:rPr>
          <w:sz w:val="20"/>
          <w:szCs w:val="20"/>
          <w:color w:val="auto"/>
        </w:rPr>
      </w:pPr>
    </w:p>
    <w:p>
      <w:pPr>
        <w:jc w:val="both"/>
        <w:ind w:left="4" w:hanging="4"/>
        <w:spacing w:after="0" w:line="288" w:lineRule="auto"/>
        <w:tabs>
          <w:tab w:leader="none" w:pos="223"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adversely affects or challenges the legality, validity or enforceability of any of the Transaction Documents or the Securities or (ii) except as set forth in </w:t>
      </w:r>
      <w:r>
        <w:rPr>
          <w:rFonts w:ascii="Arial" w:cs="Arial" w:eastAsia="Arial" w:hAnsi="Arial"/>
          <w:sz w:val="16"/>
          <w:szCs w:val="16"/>
          <w:u w:val="single" w:color="auto"/>
          <w:color w:val="auto"/>
        </w:rPr>
        <w:t>Schedule 3.1(j)</w:t>
      </w:r>
      <w:r>
        <w:rPr>
          <w:rFonts w:ascii="Arial" w:cs="Arial" w:eastAsia="Arial" w:hAnsi="Arial"/>
          <w:sz w:val="16"/>
          <w:szCs w:val="16"/>
          <w:color w:val="auto"/>
        </w:rPr>
        <w:t>,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5" w:name="page76"/>
    <w:bookmarkEnd w:id="75"/>
    <w:p>
      <w:pPr>
        <w:jc w:val="both"/>
        <w:ind w:left="4" w:firstLine="644"/>
        <w:spacing w:after="0" w:line="287" w:lineRule="auto"/>
        <w:tabs>
          <w:tab w:leader="none" w:pos="1685"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No labor dispute exists or, to the knowledge of the Company, is imminent with respect to any of the employees of the Company, which could reasonably be expected to result in a Material Adverse Effect. Except as disclosed on </w:t>
      </w:r>
      <w:r>
        <w:rPr>
          <w:rFonts w:ascii="Arial" w:cs="Arial" w:eastAsia="Arial" w:hAnsi="Arial"/>
          <w:sz w:val="16"/>
          <w:szCs w:val="16"/>
          <w:u w:val="single" w:color="auto"/>
          <w:color w:val="auto"/>
        </w:rPr>
        <w:t>Section 3.1(k)</w:t>
      </w:r>
      <w:r>
        <w:rPr>
          <w:rFonts w:ascii="Arial" w:cs="Arial" w:eastAsia="Arial" w:hAnsi="Arial"/>
          <w:sz w:val="16"/>
          <w:szCs w:val="16"/>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1" w:lineRule="exact"/>
        <w:rPr>
          <w:rFonts w:ascii="Arial" w:cs="Arial" w:eastAsia="Arial" w:hAnsi="Arial"/>
          <w:sz w:val="16"/>
          <w:szCs w:val="16"/>
          <w:color w:val="auto"/>
        </w:rPr>
      </w:pPr>
    </w:p>
    <w:p>
      <w:pPr>
        <w:ind w:left="1404" w:hanging="756"/>
        <w:spacing w:after="0"/>
        <w:tabs>
          <w:tab w:leader="none" w:pos="1404"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xml:space="preserve">. To the Company’s knowledge, neither the Company nor any Subsidiary: (i) except as set forth on </w:t>
      </w:r>
      <w:r>
        <w:rPr>
          <w:rFonts w:ascii="Arial" w:cs="Arial" w:eastAsia="Arial" w:hAnsi="Arial"/>
          <w:sz w:val="16"/>
          <w:szCs w:val="16"/>
          <w:u w:val="single" w:color="auto"/>
          <w:color w:val="auto"/>
        </w:rPr>
        <w:t>Schedule 3.1(l)</w:t>
      </w:r>
    </w:p>
    <w:p>
      <w:pPr>
        <w:spacing w:after="0" w:line="46" w:lineRule="exact"/>
        <w:rPr>
          <w:rFonts w:ascii="Arial" w:cs="Arial" w:eastAsia="Arial" w:hAnsi="Arial"/>
          <w:sz w:val="16"/>
          <w:szCs w:val="16"/>
          <w:color w:val="auto"/>
        </w:rPr>
      </w:pPr>
    </w:p>
    <w:p>
      <w:pPr>
        <w:jc w:val="both"/>
        <w:ind w:left="4" w:hanging="4"/>
        <w:spacing w:after="0" w:line="268" w:lineRule="auto"/>
        <w:tabs>
          <w:tab w:leader="none" w:pos="222" w:val="left"/>
        </w:tabs>
        <w:numPr>
          <w:ilvl w:val="0"/>
          <w:numId w:val="84"/>
        </w:numPr>
        <w:rPr>
          <w:rFonts w:ascii="Arial" w:cs="Arial" w:eastAsia="Arial" w:hAnsi="Arial"/>
          <w:sz w:val="17"/>
          <w:szCs w:val="17"/>
          <w:u w:val="single" w:color="auto"/>
          <w:color w:val="auto"/>
        </w:rPr>
      </w:pPr>
      <w:r>
        <w:rPr>
          <w:rFonts w:ascii="Arial" w:cs="Arial" w:eastAsia="Arial" w:hAnsi="Arial"/>
          <w:sz w:val="17"/>
          <w:szCs w:val="17"/>
          <w:color w:val="auto"/>
        </w:rPr>
        <w:t>of the Disclosure Schedules,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3" w:lineRule="exact"/>
        <w:rPr>
          <w:rFonts w:ascii="Arial" w:cs="Arial" w:eastAsia="Arial" w:hAnsi="Arial"/>
          <w:sz w:val="17"/>
          <w:szCs w:val="17"/>
          <w:u w:val="single" w:color="auto"/>
          <w:color w:val="auto"/>
        </w:rPr>
      </w:pPr>
    </w:p>
    <w:p>
      <w:pPr>
        <w:jc w:val="both"/>
        <w:ind w:left="4" w:firstLine="644"/>
        <w:spacing w:after="0" w:line="269" w:lineRule="auto"/>
        <w:tabs>
          <w:tab w:leader="none" w:pos="1496" w:val="left"/>
        </w:tabs>
        <w:numPr>
          <w:ilvl w:val="1"/>
          <w:numId w:val="84"/>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6" w:name="page77"/>
    <w:bookmarkEnd w:id="76"/>
    <w:p>
      <w:pPr>
        <w:jc w:val="both"/>
        <w:ind w:left="4" w:firstLine="644"/>
        <w:spacing w:after="0" w:line="301" w:lineRule="auto"/>
        <w:tabs>
          <w:tab w:leader="none" w:pos="1599"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7" w:lineRule="exact"/>
        <w:rPr>
          <w:rFonts w:ascii="Arial" w:cs="Arial" w:eastAsia="Arial" w:hAnsi="Arial"/>
          <w:sz w:val="16"/>
          <w:szCs w:val="16"/>
          <w:color w:val="auto"/>
        </w:rPr>
      </w:pPr>
    </w:p>
    <w:p>
      <w:pPr>
        <w:jc w:val="both"/>
        <w:ind w:left="4" w:firstLine="644"/>
        <w:spacing w:after="0" w:line="286" w:lineRule="auto"/>
        <w:tabs>
          <w:tab w:leader="none" w:pos="1455" w:val="left"/>
        </w:tabs>
        <w:numPr>
          <w:ilvl w:val="1"/>
          <w:numId w:val="85"/>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(if any) owned by them that is material to the business of the Company and the Subsidiaries, in each case free and clear of all Liens except for Permitted Liens, except for (i) Liens as do not materially affect the value of such property and do not materially interfere with the use made and proposed to be made of such property by the Company and the Subsidiaries and</w:t>
      </w:r>
    </w:p>
    <w:p>
      <w:pPr>
        <w:spacing w:after="0" w:line="1" w:lineRule="exact"/>
        <w:rPr>
          <w:rFonts w:ascii="Arial" w:cs="Arial" w:eastAsia="Arial" w:hAnsi="Arial"/>
          <w:sz w:val="16"/>
          <w:szCs w:val="16"/>
          <w:color w:val="auto"/>
        </w:rPr>
      </w:pPr>
    </w:p>
    <w:p>
      <w:pPr>
        <w:jc w:val="both"/>
        <w:ind w:left="4" w:hanging="4"/>
        <w:spacing w:after="0" w:line="302" w:lineRule="auto"/>
        <w:tabs>
          <w:tab w:leader="none" w:pos="276" w:val="left"/>
        </w:tabs>
        <w:numPr>
          <w:ilvl w:val="0"/>
          <w:numId w:val="86"/>
        </w:numPr>
        <w:rPr>
          <w:rFonts w:ascii="Arial" w:cs="Arial" w:eastAsia="Arial" w:hAnsi="Arial"/>
          <w:sz w:val="16"/>
          <w:szCs w:val="16"/>
          <w:color w:val="auto"/>
        </w:rPr>
      </w:pPr>
      <w:r>
        <w:rPr>
          <w:rFonts w:ascii="Arial" w:cs="Arial" w:eastAsia="Arial" w:hAnsi="Arial"/>
          <w:sz w:val="16"/>
          <w:szCs w:val="16"/>
          <w:color w:val="auto"/>
        </w:rPr>
        <w:t>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55" w:lineRule="exact"/>
        <w:rPr>
          <w:rFonts w:ascii="Arial" w:cs="Arial" w:eastAsia="Arial" w:hAnsi="Arial"/>
          <w:sz w:val="16"/>
          <w:szCs w:val="16"/>
          <w:color w:val="auto"/>
        </w:rPr>
      </w:pPr>
    </w:p>
    <w:p>
      <w:pPr>
        <w:jc w:val="both"/>
        <w:ind w:left="4" w:firstLine="644"/>
        <w:spacing w:after="0" w:line="287" w:lineRule="auto"/>
        <w:tabs>
          <w:tab w:leader="none" w:pos="1766"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77" w:name="page78"/>
    <w:bookmarkEnd w:id="77"/>
    <w:p>
      <w:pPr>
        <w:jc w:val="both"/>
        <w:ind w:left="-460" w:firstLine="644"/>
        <w:spacing w:after="0" w:line="296" w:lineRule="auto"/>
        <w:tabs>
          <w:tab w:leader="none" w:pos="96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1" w:lineRule="exact"/>
        <w:rPr>
          <w:rFonts w:ascii="Arial" w:cs="Arial" w:eastAsia="Arial" w:hAnsi="Arial"/>
          <w:sz w:val="16"/>
          <w:szCs w:val="16"/>
          <w:color w:val="auto"/>
        </w:rPr>
      </w:pPr>
    </w:p>
    <w:p>
      <w:pPr>
        <w:jc w:val="both"/>
        <w:ind w:left="-460" w:firstLine="644"/>
        <w:spacing w:after="0" w:line="270" w:lineRule="auto"/>
        <w:tabs>
          <w:tab w:leader="none" w:pos="105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left="-460" w:firstLine="644"/>
        <w:spacing w:after="0" w:line="285" w:lineRule="auto"/>
        <w:tabs>
          <w:tab w:leader="none" w:pos="945"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8" w:name="page79"/>
    <w:bookmarkEnd w:id="78"/>
    <w:p>
      <w:pPr>
        <w:jc w:val="both"/>
        <w:ind w:left="-460" w:firstLine="644"/>
        <w:spacing w:after="0" w:line="296" w:lineRule="auto"/>
        <w:tabs>
          <w:tab w:leader="none" w:pos="1181"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Except as set forth in the Prospectus Supplement and on </w:t>
      </w:r>
      <w:r>
        <w:rPr>
          <w:rFonts w:ascii="Arial" w:cs="Arial" w:eastAsia="Arial" w:hAnsi="Arial"/>
          <w:sz w:val="16"/>
          <w:szCs w:val="16"/>
          <w:u w:val="single" w:color="auto"/>
          <w:color w:val="auto"/>
        </w:rPr>
        <w:t>Schedule 3.1(t)</w:t>
      </w:r>
      <w:r>
        <w:rPr>
          <w:rFonts w:ascii="Arial" w:cs="Arial" w:eastAsia="Arial" w:hAnsi="Arial"/>
          <w:sz w:val="16"/>
          <w:szCs w:val="16"/>
          <w:color w:val="auto"/>
        </w:rPr>
        <w:t xml:space="preserve"> of the Disclosure Schedules,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61" w:lineRule="exact"/>
        <w:rPr>
          <w:rFonts w:ascii="Arial" w:cs="Arial" w:eastAsia="Arial" w:hAnsi="Arial"/>
          <w:sz w:val="16"/>
          <w:szCs w:val="16"/>
          <w:color w:val="auto"/>
        </w:rPr>
      </w:pPr>
    </w:p>
    <w:p>
      <w:pPr>
        <w:jc w:val="both"/>
        <w:ind w:left="-460" w:firstLine="644"/>
        <w:spacing w:after="0" w:line="259" w:lineRule="auto"/>
        <w:tabs>
          <w:tab w:leader="none" w:pos="1149"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right="20" w:firstLine="644"/>
        <w:spacing w:after="0" w:line="308" w:lineRule="auto"/>
        <w:tabs>
          <w:tab w:leader="none" w:pos="987" w:val="left"/>
        </w:tabs>
        <w:numPr>
          <w:ilvl w:val="0"/>
          <w:numId w:val="88"/>
        </w:numPr>
        <w:rPr>
          <w:rFonts w:ascii="Arial" w:cs="Arial" w:eastAsia="Arial" w:hAnsi="Arial"/>
          <w:sz w:val="17"/>
          <w:szCs w:val="17"/>
          <w:color w:val="auto"/>
        </w:rPr>
      </w:pP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3.1(v)</w:t>
      </w:r>
      <w:r>
        <w:rPr>
          <w:rFonts w:ascii="Arial" w:cs="Arial" w:eastAsia="Arial" w:hAnsi="Arial"/>
          <w:sz w:val="17"/>
          <w:szCs w:val="17"/>
          <w:color w:val="auto"/>
        </w:rPr>
        <w:t xml:space="preserve"> of the Disclosure Schedules, no Person has any right to cause the Company or any Subsidiary to effect the registration under the Securities Act of any securities of the Company or any Subsidiary.</w:t>
      </w:r>
    </w:p>
    <w:p>
      <w:pPr>
        <w:spacing w:after="0" w:line="146" w:lineRule="exact"/>
        <w:rPr>
          <w:rFonts w:ascii="Arial" w:cs="Arial" w:eastAsia="Arial" w:hAnsi="Arial"/>
          <w:sz w:val="17"/>
          <w:szCs w:val="17"/>
          <w:color w:val="auto"/>
        </w:rPr>
      </w:pPr>
    </w:p>
    <w:p>
      <w:pPr>
        <w:jc w:val="both"/>
        <w:ind w:left="-460" w:firstLine="644"/>
        <w:spacing w:after="0" w:line="289" w:lineRule="auto"/>
        <w:tabs>
          <w:tab w:leader="none" w:pos="96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year following the Closing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79" w:name="page80"/>
    <w:bookmarkEnd w:id="79"/>
    <w:p>
      <w:pPr>
        <w:jc w:val="both"/>
        <w:ind w:left="-460" w:firstLine="644"/>
        <w:spacing w:after="0" w:line="255" w:lineRule="auto"/>
        <w:tabs>
          <w:tab w:leader="none" w:pos="933"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2" w:lineRule="exact"/>
        <w:rPr>
          <w:rFonts w:ascii="Arial" w:cs="Arial" w:eastAsia="Arial" w:hAnsi="Arial"/>
          <w:sz w:val="18"/>
          <w:szCs w:val="18"/>
          <w:color w:val="auto"/>
        </w:rPr>
      </w:pPr>
    </w:p>
    <w:p>
      <w:pPr>
        <w:jc w:val="both"/>
        <w:ind w:left="-460" w:firstLine="644"/>
        <w:spacing w:after="0" w:line="268" w:lineRule="auto"/>
        <w:tabs>
          <w:tab w:leader="none" w:pos="1122"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rFonts w:ascii="Arial" w:cs="Arial" w:eastAsia="Arial" w:hAnsi="Arial"/>
          <w:sz w:val="17"/>
          <w:szCs w:val="17"/>
          <w:color w:val="auto"/>
        </w:rPr>
      </w:pPr>
    </w:p>
    <w:p>
      <w:pPr>
        <w:jc w:val="both"/>
        <w:ind w:left="-460" w:firstLine="644"/>
        <w:spacing w:after="0" w:line="273" w:lineRule="auto"/>
        <w:tabs>
          <w:tab w:leader="none" w:pos="108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the Warrants or Warrant Shares under the Securities Act, or (ii) any applicable shareholder approval provisions of any Trading Market on which any of the securities of the Company are listed or designated.</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0" w:name="page81"/>
    <w:bookmarkEnd w:id="80"/>
    <w:p>
      <w:pPr>
        <w:jc w:val="both"/>
        <w:ind w:left="4" w:firstLine="644"/>
        <w:spacing w:after="0" w:line="285" w:lineRule="auto"/>
        <w:tabs>
          <w:tab w:leader="none" w:pos="1363"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(aa)</w:t>
      </w:r>
      <w:r>
        <w:rPr>
          <w:rFonts w:ascii="Arial" w:cs="Arial" w:eastAsia="Arial" w:hAnsi="Arial"/>
          <w:sz w:val="16"/>
          <w:szCs w:val="16"/>
          <w:color w:val="auto"/>
        </w:rPr>
        <w:t>, based on the consolidated financial condition of the Company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68" w:lineRule="exact"/>
        <w:rPr>
          <w:rFonts w:ascii="Arial" w:cs="Arial" w:eastAsia="Arial" w:hAnsi="Arial"/>
          <w:sz w:val="16"/>
          <w:szCs w:val="16"/>
          <w:color w:val="auto"/>
        </w:rPr>
      </w:pPr>
    </w:p>
    <w:p>
      <w:pPr>
        <w:jc w:val="both"/>
        <w:ind w:left="4" w:firstLine="644"/>
        <w:spacing w:after="0" w:line="254" w:lineRule="auto"/>
        <w:tabs>
          <w:tab w:leader="none" w:pos="1451" w:val="left"/>
        </w:tabs>
        <w:numPr>
          <w:ilvl w:val="1"/>
          <w:numId w:val="90"/>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Arial" w:cs="Arial" w:eastAsia="Arial" w:hAnsi="Arial"/>
          <w:sz w:val="18"/>
          <w:szCs w:val="18"/>
          <w:u w:val="single" w:color="auto"/>
          <w:color w:val="auto"/>
        </w:rPr>
        <w:t>Schedule 3.1(bb)</w:t>
      </w:r>
      <w:r>
        <w:rPr>
          <w:rFonts w:ascii="Arial" w:cs="Arial" w:eastAsia="Arial" w:hAnsi="Arial"/>
          <w:sz w:val="18"/>
          <w:szCs w:val="18"/>
          <w:color w:val="auto"/>
        </w:rPr>
        <w:t>, there are no unpaid taxes in any material amount claimed to be due by the taxing authority of any jurisdiction, and the officers of the Company or of any Subsidiary know of no reasonable basis for any such claim.</w:t>
      </w:r>
    </w:p>
    <w:p>
      <w:pPr>
        <w:spacing w:after="0" w:line="191" w:lineRule="exact"/>
        <w:rPr>
          <w:rFonts w:ascii="Arial" w:cs="Arial" w:eastAsia="Arial" w:hAnsi="Arial"/>
          <w:sz w:val="18"/>
          <w:szCs w:val="18"/>
          <w:color w:val="auto"/>
        </w:rPr>
      </w:pPr>
    </w:p>
    <w:p>
      <w:pPr>
        <w:jc w:val="both"/>
        <w:ind w:left="4" w:firstLine="644"/>
        <w:spacing w:after="0" w:line="286" w:lineRule="auto"/>
        <w:tabs>
          <w:tab w:leader="none" w:pos="1390" w:val="left"/>
        </w:tabs>
        <w:numPr>
          <w:ilvl w:val="1"/>
          <w:numId w:val="90"/>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w:t>
      </w:r>
      <w:r>
        <w:rPr>
          <w:rFonts w:ascii="Arial" w:cs="Arial" w:eastAsia="Arial" w:hAnsi="Arial"/>
          <w:sz w:val="16"/>
          <w:szCs w:val="16"/>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w:t>
      </w:r>
    </w:p>
    <w:p>
      <w:pPr>
        <w:spacing w:after="0" w:line="1" w:lineRule="exact"/>
        <w:rPr>
          <w:rFonts w:ascii="Arial" w:cs="Arial" w:eastAsia="Arial" w:hAnsi="Arial"/>
          <w:sz w:val="16"/>
          <w:szCs w:val="16"/>
          <w:color w:val="auto"/>
        </w:rPr>
      </w:pPr>
    </w:p>
    <w:p>
      <w:pPr>
        <w:ind w:left="4" w:hanging="4"/>
        <w:spacing w:after="0" w:line="260" w:lineRule="auto"/>
        <w:tabs>
          <w:tab w:leader="none" w:pos="332"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200" w:lineRule="exact"/>
        <w:rPr>
          <w:sz w:val="20"/>
          <w:szCs w:val="20"/>
          <w:color w:val="auto"/>
        </w:rPr>
      </w:pPr>
    </w:p>
    <w:p>
      <w:pPr>
        <w:spacing w:after="0" w:line="201"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1" w:name="page82"/>
    <w:bookmarkEnd w:id="81"/>
    <w:p>
      <w:pPr>
        <w:jc w:val="both"/>
        <w:ind w:left="-460" w:firstLine="644"/>
        <w:spacing w:after="0" w:line="263" w:lineRule="auto"/>
        <w:tabs>
          <w:tab w:leader="none" w:pos="888"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Accountants</w:t>
      </w:r>
      <w:r>
        <w:rPr>
          <w:rFonts w:ascii="Arial" w:cs="Arial" w:eastAsia="Arial" w:hAnsi="Arial"/>
          <w:sz w:val="18"/>
          <w:szCs w:val="18"/>
          <w:color w:val="auto"/>
        </w:rPr>
        <w:t>. The Company’s accounting firm is Friedman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December 31, 2020.</w:t>
      </w:r>
    </w:p>
    <w:p>
      <w:pPr>
        <w:spacing w:after="0" w:line="183" w:lineRule="exact"/>
        <w:rPr>
          <w:rFonts w:ascii="Arial" w:cs="Arial" w:eastAsia="Arial" w:hAnsi="Arial"/>
          <w:sz w:val="18"/>
          <w:szCs w:val="18"/>
          <w:color w:val="auto"/>
        </w:rPr>
      </w:pPr>
    </w:p>
    <w:p>
      <w:pPr>
        <w:jc w:val="both"/>
        <w:ind w:left="-460" w:firstLine="644"/>
        <w:spacing w:after="0" w:line="271" w:lineRule="auto"/>
        <w:tabs>
          <w:tab w:leader="none" w:pos="1061"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 Securities</w:t>
      </w:r>
      <w:r>
        <w:rPr>
          <w:rFonts w:ascii="Arial" w:cs="Arial" w:eastAsia="Arial" w:hAnsi="Arial"/>
          <w:sz w:val="17"/>
          <w:szCs w:val="17"/>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left="-460" w:firstLine="644"/>
        <w:spacing w:after="0" w:line="268" w:lineRule="auto"/>
        <w:tabs>
          <w:tab w:leader="none" w:pos="1036"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82" w:name="page83"/>
    <w:bookmarkEnd w:id="82"/>
    <w:p>
      <w:pPr>
        <w:jc w:val="both"/>
        <w:ind w:left="4" w:firstLine="644"/>
        <w:spacing w:after="0" w:line="287" w:lineRule="auto"/>
        <w:tabs>
          <w:tab w:leader="none" w:pos="1424"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2" w:lineRule="exact"/>
        <w:rPr>
          <w:rFonts w:ascii="Arial" w:cs="Arial" w:eastAsia="Arial" w:hAnsi="Arial"/>
          <w:sz w:val="16"/>
          <w:szCs w:val="16"/>
          <w:color w:val="auto"/>
        </w:rPr>
      </w:pPr>
    </w:p>
    <w:p>
      <w:pPr>
        <w:ind w:left="4" w:hanging="4"/>
        <w:spacing w:after="0" w:line="323" w:lineRule="auto"/>
        <w:tabs>
          <w:tab w:leader="none" w:pos="319" w:val="left"/>
        </w:tabs>
        <w:numPr>
          <w:ilvl w:val="0"/>
          <w:numId w:val="94"/>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138" w:lineRule="exact"/>
        <w:rPr>
          <w:rFonts w:ascii="Arial" w:cs="Arial" w:eastAsia="Arial" w:hAnsi="Arial"/>
          <w:sz w:val="16"/>
          <w:szCs w:val="16"/>
          <w:color w:val="auto"/>
        </w:rPr>
      </w:pPr>
    </w:p>
    <w:p>
      <w:pPr>
        <w:jc w:val="both"/>
        <w:ind w:left="4" w:firstLine="644"/>
        <w:spacing w:after="0" w:line="273" w:lineRule="auto"/>
        <w:tabs>
          <w:tab w:leader="none" w:pos="1505"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Stock Option Plans</w:t>
      </w:r>
      <w:r>
        <w:rPr>
          <w:rFonts w:ascii="Arial" w:cs="Arial" w:eastAsia="Arial" w:hAnsi="Arial"/>
          <w:sz w:val="17"/>
          <w:szCs w:val="17"/>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77" w:lineRule="exact"/>
        <w:rPr>
          <w:rFonts w:ascii="Arial" w:cs="Arial" w:eastAsia="Arial" w:hAnsi="Arial"/>
          <w:sz w:val="17"/>
          <w:szCs w:val="17"/>
          <w:color w:val="auto"/>
        </w:rPr>
      </w:pPr>
    </w:p>
    <w:p>
      <w:pPr>
        <w:jc w:val="both"/>
        <w:ind w:left="4" w:firstLine="644"/>
        <w:spacing w:after="0" w:line="263" w:lineRule="auto"/>
        <w:tabs>
          <w:tab w:leader="none" w:pos="1533" w:val="left"/>
        </w:tabs>
        <w:numPr>
          <w:ilvl w:val="1"/>
          <w:numId w:val="94"/>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 w:firstLine="644"/>
        <w:spacing w:after="0" w:line="342" w:lineRule="auto"/>
        <w:tabs>
          <w:tab w:leader="none" w:pos="1515"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4" w:firstLine="644"/>
        <w:spacing w:after="0" w:line="273" w:lineRule="auto"/>
        <w:tabs>
          <w:tab w:leader="none" w:pos="1492" w:val="left"/>
        </w:tabs>
        <w:numPr>
          <w:ilvl w:val="1"/>
          <w:numId w:val="94"/>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7" w:lineRule="exact"/>
        <w:rPr>
          <w:rFonts w:ascii="Arial" w:cs="Arial" w:eastAsia="Arial" w:hAnsi="Arial"/>
          <w:sz w:val="17"/>
          <w:szCs w:val="17"/>
          <w:color w:val="auto"/>
        </w:rPr>
      </w:pPr>
    </w:p>
    <w:p>
      <w:pPr>
        <w:jc w:val="both"/>
        <w:ind w:left="4" w:firstLine="644"/>
        <w:spacing w:after="0" w:line="296" w:lineRule="auto"/>
        <w:tabs>
          <w:tab w:leader="none" w:pos="1366" w:val="left"/>
        </w:tabs>
        <w:numPr>
          <w:ilvl w:val="1"/>
          <w:numId w:val="94"/>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377"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3" w:name="page84"/>
    <w:bookmarkEnd w:id="83"/>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340" w:firstLine="964"/>
        <w:spacing w:after="0" w:line="269" w:lineRule="auto"/>
        <w:tabs>
          <w:tab w:leader="none" w:pos="2051"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40" w:firstLine="964"/>
        <w:spacing w:after="0" w:line="301" w:lineRule="auto"/>
        <w:tabs>
          <w:tab w:leader="none" w:pos="2070"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57" w:lineRule="exact"/>
        <w:rPr>
          <w:rFonts w:ascii="Arial" w:cs="Arial" w:eastAsia="Arial" w:hAnsi="Arial"/>
          <w:sz w:val="16"/>
          <w:szCs w:val="16"/>
          <w:color w:val="auto"/>
        </w:rPr>
      </w:pPr>
    </w:p>
    <w:p>
      <w:pPr>
        <w:jc w:val="both"/>
        <w:ind w:left="340" w:firstLine="964"/>
        <w:spacing w:after="0" w:line="263" w:lineRule="auto"/>
        <w:tabs>
          <w:tab w:leader="none" w:pos="2078"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and on each date on which it exercises any Warrants, it will be either: (i) an “accredited investor” as defined in Rule 501(a)(1), (a)(2), (a)(3), (a)(7) or (a)(8) under the Securities Act or (ii) a “qualified institutional buyer” as defined in Rule 144A(a) under the Securities Act.</w:t>
      </w:r>
    </w:p>
    <w:p>
      <w:pPr>
        <w:spacing w:after="0" w:line="183" w:lineRule="exact"/>
        <w:rPr>
          <w:rFonts w:ascii="Arial" w:cs="Arial" w:eastAsia="Arial" w:hAnsi="Arial"/>
          <w:sz w:val="18"/>
          <w:szCs w:val="18"/>
          <w:color w:val="auto"/>
        </w:rPr>
      </w:pPr>
    </w:p>
    <w:p>
      <w:pPr>
        <w:jc w:val="both"/>
        <w:ind w:left="340" w:firstLine="964"/>
        <w:spacing w:after="0" w:line="259" w:lineRule="auto"/>
        <w:tabs>
          <w:tab w:leader="none" w:pos="2399"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964"/>
        <w:spacing w:after="0" w:line="269" w:lineRule="auto"/>
        <w:tabs>
          <w:tab w:leader="none" w:pos="1873"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78" w:lineRule="exact"/>
        <w:rPr>
          <w:rFonts w:ascii="Arial" w:cs="Arial" w:eastAsia="Arial" w:hAnsi="Arial"/>
          <w:sz w:val="17"/>
          <w:szCs w:val="17"/>
          <w:color w:val="auto"/>
        </w:rPr>
      </w:pPr>
    </w:p>
    <w:p>
      <w:pPr>
        <w:jc w:val="both"/>
        <w:ind w:firstLine="964"/>
        <w:spacing w:after="0" w:line="286" w:lineRule="auto"/>
        <w:tabs>
          <w:tab w:leader="none" w:pos="180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8" w:right="339" w:bottom="1440" w:gutter="0" w:footer="0" w:header="0"/>
        </w:sectPr>
      </w:pPr>
    </w:p>
    <w:bookmarkStart w:id="85" w:name="page86"/>
    <w:bookmarkEnd w:id="85"/>
    <w:p>
      <w:pPr>
        <w:jc w:val="both"/>
        <w:ind w:left="340" w:firstLine="964"/>
        <w:spacing w:after="0" w:line="288" w:lineRule="auto"/>
        <w:tabs>
          <w:tab w:leader="none" w:pos="231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No Conflicts</w:t>
      </w:r>
      <w:r>
        <w:rPr>
          <w:rFonts w:ascii="Arial" w:cs="Arial" w:eastAsia="Arial" w:hAnsi="Arial"/>
          <w:sz w:val="16"/>
          <w:szCs w:val="16"/>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IV.</w:t>
            </w:r>
          </w:p>
        </w:tc>
      </w:tr>
      <w:tr>
        <w:trPr>
          <w:trHeight w:val="230"/>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color w:val="auto"/>
                <w:w w:val="94"/>
              </w:rPr>
              <w:t>OTHER AGREEMENTS OF THE PARTIES</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4.1</w:t>
            </w:r>
          </w:p>
        </w:tc>
        <w:tc>
          <w:tcPr>
            <w:tcW w:w="10040" w:type="dxa"/>
            <w:vAlign w:val="bottom"/>
          </w:tcPr>
          <w:p>
            <w:pPr>
              <w:ind w:left="320"/>
              <w:spacing w:after="0"/>
              <w:rPr>
                <w:sz w:val="20"/>
                <w:szCs w:val="20"/>
                <w:color w:val="auto"/>
              </w:rPr>
            </w:pPr>
            <w:r>
              <w:rPr>
                <w:rFonts w:ascii="Arial" w:cs="Arial" w:eastAsia="Arial" w:hAnsi="Arial"/>
                <w:sz w:val="18"/>
                <w:szCs w:val="18"/>
                <w:u w:val="single" w:color="auto"/>
                <w:color w:val="auto"/>
                <w:w w:val="92"/>
              </w:rPr>
              <w:t>Warrant Shares</w:t>
            </w:r>
            <w:r>
              <w:rPr>
                <w:rFonts w:ascii="Arial" w:cs="Arial" w:eastAsia="Arial" w:hAnsi="Arial"/>
                <w:sz w:val="18"/>
                <w:szCs w:val="18"/>
                <w:color w:val="auto"/>
                <w:w w:val="92"/>
              </w:rPr>
              <w:t>. If all or any portion of a Warrant is exercised at a time when there is an effective registration statement to cover the</w:t>
            </w:r>
          </w:p>
        </w:tc>
      </w:tr>
    </w:tbl>
    <w:p>
      <w:pPr>
        <w:jc w:val="both"/>
        <w:spacing w:after="0" w:line="268" w:lineRule="auto"/>
        <w:rPr>
          <w:sz w:val="20"/>
          <w:szCs w:val="20"/>
          <w:color w:val="auto"/>
        </w:rPr>
      </w:pPr>
      <w:r>
        <w:rPr>
          <w:rFonts w:ascii="Arial" w:cs="Arial" w:eastAsia="Arial" w:hAnsi="Arial"/>
          <w:sz w:val="17"/>
          <w:szCs w:val="17"/>
          <w:color w:val="auto"/>
        </w:rPr>
        <w:t>issuance or resale of the Warrant Shares or if the Warrant is exercised via cashless exercise, the Warrant Shares issued pursuant to any such exercise shall be issued free of all legends. If at any time following the date hereof the Registration Statement (or any subsequent registration statement registering the sale or resale of the Warrant Shares) is not effective or is not otherwise available for the sale or resale of the Warrant Shares, the Company shall immediately notify the holders of the Warrants in writing that such registration statement is not then effective and thereafter shall promptly notify such holders when the registration statement is effective again and available for the sale or resale of the Warrant Shares (it being understood and agreed that the foregoing shall not limit the ability of the Company to issue, or any Purchaser to sell, any of the Warrant Shares in compliance with applicable federal and state securities laws). The Company shall use best efforts to keep a registration statement (including the Registration Statement) registering the issuance or resale of the Warrant Shares effective during the term of the Warrants.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48"/>
        <w:spacing w:after="0" w:line="263"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Furnishing of Information</w:t>
      </w:r>
      <w:r>
        <w:rPr>
          <w:rFonts w:ascii="Arial" w:cs="Arial" w:eastAsia="Arial" w:hAnsi="Arial"/>
          <w:sz w:val="18"/>
          <w:szCs w:val="18"/>
          <w:color w:val="auto"/>
        </w:rPr>
        <w:t>. Until the time that no Purchaser owns Securities,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Integration</w:t>
      </w:r>
      <w:r>
        <w:rPr>
          <w:rFonts w:ascii="Arial" w:cs="Arial" w:eastAsia="Arial" w:hAnsi="Arial"/>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3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Reservation of Common Stock</w:t>
      </w:r>
      <w:r>
        <w:rPr>
          <w:rFonts w:ascii="Arial" w:cs="Arial" w:eastAsia="Arial" w:hAnsi="Arial"/>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Listing of Common Stock</w:t>
      </w:r>
      <w:r>
        <w:rPr>
          <w:rFonts w:ascii="Arial" w:cs="Arial" w:eastAsia="Arial" w:hAnsi="Arial"/>
          <w:sz w:val="17"/>
          <w:szCs w:val="17"/>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ind w:left="660"/>
        <w:spacing w:after="0"/>
        <w:tabs>
          <w:tab w:leader="none" w:pos="134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u w:val="single" w:color="auto"/>
          <w:color w:val="auto"/>
        </w:rPr>
        <w:t>Subsequent Equity Sales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7" w:lineRule="auto"/>
        <w:tabs>
          <w:tab w:leader="none" w:pos="2169" w:val="left"/>
        </w:tabs>
        <w:numPr>
          <w:ilvl w:val="1"/>
          <w:numId w:val="98"/>
        </w:numPr>
        <w:rPr>
          <w:rFonts w:ascii="Arial" w:cs="Arial" w:eastAsia="Arial" w:hAnsi="Arial"/>
          <w:sz w:val="18"/>
          <w:szCs w:val="18"/>
          <w:color w:val="auto"/>
        </w:rPr>
      </w:pPr>
      <w:r>
        <w:rPr>
          <w:rFonts w:ascii="Arial" w:cs="Arial" w:eastAsia="Arial" w:hAnsi="Arial"/>
          <w:sz w:val="18"/>
          <w:szCs w:val="18"/>
          <w:color w:val="auto"/>
        </w:rPr>
        <w:t>From the date hereof until the later of (i) 30 days after the Closing Date and (ii) the earlier of (A) 60 days after the Closing Date and (B) the day following the date that the Closing Price on five consecutive Trading Days equals or exceeds $3.50, subject to adjustment for reverse and forward stock splits, stock dividends, stock combinations and other similar transactions of the Common Stock that occur after the date of this Agreement, neither the Company nor any Subsidiary shall issue, enter into any agreement to issue or announce the issuance or proposed issuance of any shares of Common Stock or Common Stock Equivalents.</w:t>
      </w:r>
    </w:p>
    <w:p>
      <w:pPr>
        <w:spacing w:after="0" w:line="187" w:lineRule="exact"/>
        <w:rPr>
          <w:rFonts w:ascii="Arial" w:cs="Arial" w:eastAsia="Arial" w:hAnsi="Arial"/>
          <w:sz w:val="18"/>
          <w:szCs w:val="18"/>
          <w:color w:val="auto"/>
        </w:rPr>
      </w:pPr>
    </w:p>
    <w:p>
      <w:pPr>
        <w:jc w:val="both"/>
        <w:ind w:left="660" w:right="20" w:firstLine="644"/>
        <w:spacing w:after="0" w:line="287" w:lineRule="auto"/>
        <w:tabs>
          <w:tab w:leader="none" w:pos="2147" w:val="left"/>
        </w:tabs>
        <w:numPr>
          <w:ilvl w:val="1"/>
          <w:numId w:val="98"/>
        </w:numPr>
        <w:rPr>
          <w:rFonts w:ascii="Arial" w:cs="Arial" w:eastAsia="Arial" w:hAnsi="Arial"/>
          <w:sz w:val="16"/>
          <w:szCs w:val="16"/>
          <w:color w:val="auto"/>
        </w:rPr>
      </w:pPr>
      <w:r>
        <w:rPr>
          <w:rFonts w:ascii="Arial" w:cs="Arial" w:eastAsia="Arial" w:hAnsi="Arial"/>
          <w:sz w:val="16"/>
          <w:szCs w:val="16"/>
          <w:color w:val="auto"/>
        </w:rPr>
        <w:t>From the date hereof until the 6-month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means a transaction in which the Company</w:t>
      </w:r>
    </w:p>
    <w:p>
      <w:pPr>
        <w:spacing w:after="0" w:line="2" w:lineRule="exact"/>
        <w:rPr>
          <w:rFonts w:ascii="Arial" w:cs="Arial" w:eastAsia="Arial" w:hAnsi="Arial"/>
          <w:sz w:val="16"/>
          <w:szCs w:val="16"/>
          <w:color w:val="auto"/>
        </w:rPr>
      </w:pPr>
    </w:p>
    <w:p>
      <w:pPr>
        <w:jc w:val="both"/>
        <w:ind w:left="660" w:hanging="4"/>
        <w:spacing w:after="0" w:line="268" w:lineRule="auto"/>
        <w:tabs>
          <w:tab w:leader="none" w:pos="884" w:val="left"/>
        </w:tabs>
        <w:numPr>
          <w:ilvl w:val="0"/>
          <w:numId w:val="99"/>
        </w:numPr>
        <w:rPr>
          <w:rFonts w:ascii="Arial" w:cs="Arial" w:eastAsia="Arial" w:hAnsi="Arial"/>
          <w:sz w:val="17"/>
          <w:szCs w:val="17"/>
          <w:color w:val="auto"/>
        </w:rPr>
      </w:pPr>
      <w:r>
        <w:rPr>
          <w:rFonts w:ascii="Arial" w:cs="Arial" w:eastAsia="Arial" w:hAnsi="Arial"/>
          <w:sz w:val="17"/>
          <w:szCs w:val="17"/>
          <w:color w:val="auto"/>
        </w:rPr>
        <w:t>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183" w:lineRule="exact"/>
        <w:rPr>
          <w:rFonts w:ascii="Arial" w:cs="Arial" w:eastAsia="Arial" w:hAnsi="Arial"/>
          <w:sz w:val="17"/>
          <w:szCs w:val="17"/>
          <w:color w:val="auto"/>
        </w:rPr>
      </w:pPr>
    </w:p>
    <w:p>
      <w:pPr>
        <w:ind w:left="660" w:firstLine="644"/>
        <w:spacing w:after="0" w:line="277" w:lineRule="auto"/>
        <w:tabs>
          <w:tab w:leader="none" w:pos="2029" w:val="left"/>
        </w:tabs>
        <w:numPr>
          <w:ilvl w:val="1"/>
          <w:numId w:val="99"/>
        </w:numPr>
        <w:rPr>
          <w:rFonts w:ascii="Arial" w:cs="Arial" w:eastAsia="Arial" w:hAnsi="Arial"/>
          <w:sz w:val="18"/>
          <w:szCs w:val="18"/>
          <w:color w:val="auto"/>
        </w:rPr>
      </w:pPr>
      <w:r>
        <w:rPr>
          <w:rFonts w:ascii="Arial" w:cs="Arial" w:eastAsia="Arial" w:hAnsi="Arial"/>
          <w:sz w:val="18"/>
          <w:szCs w:val="18"/>
          <w:color w:val="auto"/>
        </w:rPr>
        <w:t>Notwithstanding the foregoing, this Section 4.12 shall not apply in respect of an Exempt Issuance, except that no Variable Rate Transaction shall be an Exempt Issuance.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4.12 </w:t>
      </w:r>
      <w:r>
        <w:rPr>
          <w:rFonts w:ascii="Arial" w:cs="Arial" w:eastAsia="Arial" w:hAnsi="Arial"/>
          <w:sz w:val="17"/>
          <w:szCs w:val="17"/>
          <w:u w:val="single" w:color="auto"/>
          <w:color w:val="auto"/>
        </w:rPr>
        <w:t>Equal Treatment of Purchasers</w:t>
      </w:r>
      <w:r>
        <w:rPr>
          <w:rFonts w:ascii="Arial" w:cs="Arial" w:eastAsia="Arial" w:hAnsi="Arial"/>
          <w:sz w:val="17"/>
          <w:szCs w:val="17"/>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Shares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Exercise Procedures</w:t>
      </w:r>
      <w:r>
        <w:rPr>
          <w:rFonts w:ascii="Arial" w:cs="Arial" w:eastAsia="Arial" w:hAnsi="Arial"/>
          <w:sz w:val="16"/>
          <w:szCs w:val="16"/>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holding at least 50.1% in interest of the component of the affected Shares and Warrant Shares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7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for convenience only, do not constitute a part of this Agreement and shall not be deemed to limit or affect any of the provisions 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Placement Agent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Equitable Adjustment</w:t>
      </w:r>
      <w:r>
        <w:rPr>
          <w:rFonts w:ascii="Arial" w:cs="Arial" w:eastAsia="Arial" w:hAnsi="Arial"/>
          <w:sz w:val="18"/>
          <w:szCs w:val="18"/>
          <w:color w:val="auto"/>
        </w:rPr>
        <w:t>. Trading volume amounts, price/volume amounts, the amount of shares of Common Stock identified in this Agreement and similar figures in the Transaction Documents shall be equitably adjusted (but without duplication) to offset the effect of stock splits, similar events and as otherwise described in the Transaction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460" w:type="dxa"/>
            <w:vAlign w:val="bottom"/>
          </w:tcPr>
          <w:p>
            <w:pPr>
              <w:spacing w:after="0"/>
              <w:rPr>
                <w:sz w:val="17"/>
                <w:szCs w:val="17"/>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ADDRESS FOR NOTICE:</w:t>
            </w:r>
          </w:p>
        </w:tc>
      </w:tr>
      <w:tr>
        <w:trPr>
          <w:trHeight w:val="453"/>
        </w:trPr>
        <w:tc>
          <w:tcPr>
            <w:tcW w:w="5400" w:type="dxa"/>
            <w:vAlign w:val="bottom"/>
            <w:gridSpan w:val="2"/>
          </w:tcPr>
          <w:p>
            <w:pPr>
              <w:spacing w:after="0"/>
              <w:rPr>
                <w:sz w:val="20"/>
                <w:szCs w:val="20"/>
                <w:color w:val="auto"/>
              </w:rPr>
            </w:pPr>
            <w:r>
              <w:rPr>
                <w:rFonts w:ascii="Arial" w:cs="Arial" w:eastAsia="Arial" w:hAnsi="Arial"/>
                <w:sz w:val="18"/>
                <w:szCs w:val="18"/>
                <w:color w:val="auto"/>
              </w:rPr>
              <w:t>By:</w:t>
            </w:r>
          </w:p>
        </w:tc>
        <w:tc>
          <w:tcPr>
            <w:tcW w:w="460" w:type="dxa"/>
            <w:vAlign w:val="bottom"/>
          </w:tcPr>
          <w:p>
            <w:pPr>
              <w:spacing w:after="0"/>
              <w:rPr>
                <w:sz w:val="24"/>
                <w:szCs w:val="24"/>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E-Mail:</w:t>
            </w:r>
          </w:p>
        </w:tc>
      </w:tr>
      <w:tr>
        <w:trPr>
          <w:trHeight w:val="195"/>
        </w:trPr>
        <w:tc>
          <w:tcPr>
            <w:tcW w:w="340" w:type="dxa"/>
            <w:vAlign w:val="bottom"/>
          </w:tcPr>
          <w:p>
            <w:pPr>
              <w:spacing w:after="0"/>
              <w:rPr>
                <w:sz w:val="16"/>
                <w:szCs w:val="16"/>
                <w:color w:val="auto"/>
              </w:rPr>
            </w:pPr>
          </w:p>
        </w:tc>
        <w:tc>
          <w:tcPr>
            <w:tcW w:w="50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0" w:type="dxa"/>
            <w:vAlign w:val="bottom"/>
          </w:tcPr>
          <w:p>
            <w:pPr>
              <w:spacing w:after="0"/>
              <w:rPr>
                <w:sz w:val="16"/>
                <w:szCs w:val="16"/>
                <w:color w:val="auto"/>
              </w:rPr>
            </w:pPr>
          </w:p>
        </w:tc>
        <w:tc>
          <w:tcPr>
            <w:tcW w:w="1960" w:type="dxa"/>
            <w:vAlign w:val="bottom"/>
          </w:tcPr>
          <w:p>
            <w:pPr>
              <w:spacing w:after="0" w:line="195" w:lineRule="exact"/>
              <w:rPr>
                <w:sz w:val="20"/>
                <w:szCs w:val="20"/>
                <w:color w:val="auto"/>
              </w:rPr>
            </w:pPr>
            <w:r>
              <w:rPr>
                <w:rFonts w:ascii="Arial" w:cs="Arial" w:eastAsia="Arial" w:hAnsi="Arial"/>
                <w:sz w:val="18"/>
                <w:szCs w:val="18"/>
                <w:color w:val="auto"/>
              </w:rPr>
              <w:t>Fax:</w:t>
            </w:r>
          </w:p>
        </w:tc>
      </w:tr>
      <w:tr>
        <w:trPr>
          <w:trHeight w:val="216"/>
        </w:trPr>
        <w:tc>
          <w:tcPr>
            <w:tcW w:w="5400" w:type="dxa"/>
            <w:vAlign w:val="bottom"/>
            <w:gridSpan w:val="2"/>
          </w:tcPr>
          <w:p>
            <w:pPr>
              <w:ind w:left="340"/>
              <w:spacing w:after="0"/>
              <w:rPr>
                <w:sz w:val="20"/>
                <w:szCs w:val="20"/>
                <w:color w:val="auto"/>
              </w:rPr>
            </w:pPr>
            <w:r>
              <w:rPr>
                <w:rFonts w:ascii="Arial" w:cs="Arial" w:eastAsia="Arial" w:hAnsi="Arial"/>
                <w:sz w:val="18"/>
                <w:szCs w:val="18"/>
                <w:color w:val="auto"/>
              </w:rPr>
              <w:t>Title:</w:t>
            </w:r>
          </w:p>
        </w:tc>
        <w:tc>
          <w:tcPr>
            <w:tcW w:w="4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460" w:type="dxa"/>
            <w:vAlign w:val="bottom"/>
          </w:tcPr>
          <w:p>
            <w:pPr>
              <w:spacing w:after="0"/>
              <w:rPr>
                <w:sz w:val="20"/>
                <w:szCs w:val="20"/>
                <w:color w:val="auto"/>
              </w:rPr>
            </w:pPr>
          </w:p>
        </w:tc>
        <w:tc>
          <w:tcPr>
            <w:tcW w:w="1960" w:type="dxa"/>
            <w:vAlign w:val="bottom"/>
          </w:tcPr>
          <w:p>
            <w:pPr>
              <w:spacing w:after="0"/>
              <w:rPr>
                <w:sz w:val="20"/>
                <w:szCs w:val="20"/>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 SIGNATURE PAGE FOR PURCHASER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Name of Purchaser: 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 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Authorized Signatory: 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Title of Authorized Signatory: 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Email Address of Authorized Signatory:____________________________________________________________________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 of Authorized Signatory: 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Warrants: 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EIN Number: ____________________</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1)"/>
      <w:numFmt w:val="lowerLetter"/>
      <w:start w:val="4"/>
    </w:lvl>
  </w:abstractNum>
  <w:abstractNum w:abstractNumId="2">
    <w:nsid w:val="1BA026FA"/>
    <w:multiLevelType w:val="hybridMultilevel"/>
    <w:lvl w:ilvl="0">
      <w:lvlJc w:val="left"/>
      <w:lvlText w:val="%1)"/>
      <w:numFmt w:val="lowerLetter"/>
      <w:start w:val="1"/>
    </w:lvl>
  </w:abstractNum>
  <w:abstractNum w:abstractNumId="3">
    <w:nsid w:val="79A1DEAA"/>
    <w:multiLevelType w:val="hybridMultilevel"/>
    <w:lvl w:ilvl="0">
      <w:lvlJc w:val="left"/>
      <w:lvlText w:val="%1)"/>
      <w:numFmt w:val="lowerLetter"/>
      <w:start w:val="2"/>
    </w:lvl>
  </w:abstractNum>
  <w:abstractNum w:abstractNumId="4">
    <w:nsid w:val="75C6C33A"/>
    <w:multiLevelType w:val="hybridMultilevel"/>
    <w:lvl w:ilvl="0">
      <w:lvlJc w:val="left"/>
      <w:lvlText w:val="(%1)"/>
      <w:numFmt w:val="upperLetter"/>
      <w:start w:val="1"/>
    </w:lvl>
    <w:lvl w:ilvl="1">
      <w:lvlJc w:val="left"/>
      <w:lvlText w:val="(%2)"/>
      <w:numFmt w:val="decimal"/>
      <w:start w:val="2"/>
    </w:lvl>
  </w:abstractNum>
  <w:abstractNum w:abstractNumId="5">
    <w:nsid w:val="12E685FB"/>
    <w:multiLevelType w:val="hybridMultilevel"/>
    <w:lvl w:ilvl="0">
      <w:lvlJc w:val="left"/>
      <w:lvlText w:val="(%1)"/>
      <w:numFmt w:val="upperLetter"/>
      <w:start w:val="24"/>
    </w:lvl>
  </w:abstractNum>
  <w:abstractNum w:abstractNumId="6">
    <w:nsid w:val="70C6A529"/>
    <w:multiLevelType w:val="hybridMultilevel"/>
    <w:lvl w:ilvl="0">
      <w:lvlJc w:val="left"/>
      <w:lvlText w:val="(%1)"/>
      <w:numFmt w:val="lowerLetter"/>
      <w:start w:val="4"/>
    </w:lvl>
  </w:abstractNum>
  <w:abstractNum w:abstractNumId="7">
    <w:nsid w:val="520EEDD1"/>
    <w:multiLevelType w:val="hybridMultilevel"/>
    <w:lvl w:ilvl="0">
      <w:lvlJc w:val="left"/>
      <w:lvlText w:val="%1)"/>
      <w:numFmt w:val="lowerLetter"/>
      <w:start w:val="4"/>
    </w:lvl>
    <w:lvl w:ilvl="1">
      <w:lvlJc w:val="left"/>
      <w:lvlText w:val="%2."/>
      <w:numFmt w:val="lowerRoman"/>
      <w:start w:val="1"/>
    </w:lvl>
  </w:abstractNum>
  <w:abstractNum w:abstractNumId="8">
    <w:nsid w:val="374A3FE6"/>
    <w:multiLevelType w:val="hybridMultilevel"/>
    <w:lvl w:ilvl="0">
      <w:lvlJc w:val="left"/>
      <w:lvlText w:val="%1."/>
      <w:numFmt w:val="lowerRoman"/>
      <w:start w:val="4"/>
    </w:lvl>
  </w:abstractNum>
  <w:abstractNum w:abstractNumId="9">
    <w:nsid w:val="4F4EF005"/>
    <w:multiLevelType w:val="hybridMultilevel"/>
    <w:lvl w:ilvl="0">
      <w:lvlJc w:val="left"/>
      <w:lvlText w:val="%1."/>
      <w:numFmt w:val="lowerRoman"/>
      <w:start w:val="6"/>
    </w:lvl>
  </w:abstractNum>
  <w:abstractNum w:abstractNumId="10">
    <w:nsid w:val="23F9C13C"/>
    <w:multiLevelType w:val="hybridMultilevel"/>
    <w:lvl w:ilvl="0">
      <w:lvlJc w:val="left"/>
      <w:lvlText w:val="%1)"/>
      <w:numFmt w:val="lowerLetter"/>
      <w:start w:val="5"/>
    </w:lvl>
  </w:abstractNum>
  <w:abstractNum w:abstractNumId="11">
    <w:nsid w:val="649BB77C"/>
    <w:multiLevelType w:val="hybridMultilevel"/>
    <w:lvl w:ilvl="0">
      <w:lvlJc w:val="left"/>
      <w:lvlText w:val="%1)"/>
      <w:numFmt w:val="lowerLetter"/>
      <w:start w:val="1"/>
    </w:lvl>
  </w:abstractNum>
  <w:abstractNum w:abstractNumId="12">
    <w:nsid w:val="275AC794"/>
    <w:multiLevelType w:val="hybridMultilevel"/>
    <w:lvl w:ilvl="0">
      <w:lvlJc w:val="left"/>
      <w:lvlText w:val="%1)"/>
      <w:numFmt w:val="lowerLetter"/>
      <w:start w:val="3"/>
    </w:lvl>
  </w:abstractNum>
  <w:abstractNum w:abstractNumId="13">
    <w:nsid w:val="39386575"/>
    <w:multiLevelType w:val="hybridMultilevel"/>
    <w:lvl w:ilvl="0">
      <w:lvlJc w:val="left"/>
      <w:lvlText w:val="%1"/>
      <w:numFmt w:val="lowerRoman"/>
      <w:start w:val="1"/>
    </w:lvl>
    <w:lvl w:ilvl="1">
      <w:lvlJc w:val="left"/>
      <w:lvlText w:val="%2)"/>
      <w:numFmt w:val="lowerLetter"/>
      <w:start w:val="4"/>
    </w:lvl>
  </w:abstractNum>
  <w:abstractNum w:abstractNumId="14">
    <w:nsid w:val="1CF10FD8"/>
    <w:multiLevelType w:val="hybridMultilevel"/>
    <w:lvl w:ilvl="0">
      <w:lvlJc w:val="left"/>
      <w:lvlText w:val="(%1)"/>
      <w:numFmt w:val="lowerRoman"/>
      <w:start w:val="2"/>
    </w:lvl>
    <w:lvl w:ilvl="1">
      <w:lvlJc w:val="left"/>
      <w:lvlText w:val="%2"/>
      <w:numFmt w:val="lowerLetter"/>
      <w:start w:val="1"/>
    </w:lvl>
  </w:abstractNum>
  <w:abstractNum w:abstractNumId="15">
    <w:nsid w:val="180115BE"/>
    <w:multiLevelType w:val="hybridMultilevel"/>
    <w:lvl w:ilvl="0">
      <w:lvlJc w:val="left"/>
      <w:lvlText w:val="%1)"/>
      <w:numFmt w:val="lowerLetter"/>
      <w:start w:val="5"/>
    </w:lvl>
    <w:lvl w:ilvl="1">
      <w:lvlJc w:val="left"/>
      <w:lvlText w:val="%2."/>
      <w:numFmt w:val="lowerRoman"/>
      <w:start w:val="1"/>
    </w:lvl>
  </w:abstractNum>
  <w:abstractNum w:abstractNumId="16">
    <w:nsid w:val="235BA861"/>
    <w:multiLevelType w:val="hybridMultilevel"/>
    <w:lvl w:ilvl="0">
      <w:lvlJc w:val="left"/>
      <w:lvlText w:val="%1."/>
      <w:numFmt w:val="lowerRoman"/>
      <w:start w:val="2"/>
    </w:lvl>
  </w:abstractNum>
  <w:abstractNum w:abstractNumId="17">
    <w:nsid w:val="47398C89"/>
    <w:multiLevelType w:val="hybridMultilevel"/>
    <w:lvl w:ilvl="0">
      <w:lvlJc w:val="left"/>
      <w:lvlText w:val="%1)"/>
      <w:numFmt w:val="lowerLetter"/>
      <w:start w:val="1"/>
    </w:lvl>
  </w:abstractNum>
  <w:abstractNum w:abstractNumId="18">
    <w:nsid w:val="354FE9F9"/>
    <w:multiLevelType w:val="hybridMultilevel"/>
    <w:lvl w:ilvl="0">
      <w:lvlJc w:val="left"/>
      <w:lvlText w:val="%1)"/>
      <w:numFmt w:val="lowerLetter"/>
      <w:start w:val="2"/>
    </w:lvl>
  </w:abstractNum>
  <w:abstractNum w:abstractNumId="19">
    <w:nsid w:val="15B5AF5C"/>
    <w:multiLevelType w:val="hybridMultilevel"/>
    <w:lvl w:ilvl="0">
      <w:lvlJc w:val="left"/>
      <w:lvlText w:val="%1)"/>
      <w:numFmt w:val="lowerLetter"/>
      <w:start w:val="1"/>
    </w:lvl>
  </w:abstractNum>
  <w:abstractNum w:abstractNumId="20">
    <w:nsid w:val="741226BB"/>
    <w:multiLevelType w:val="hybridMultilevel"/>
    <w:lvl w:ilvl="0">
      <w:lvlJc w:val="left"/>
      <w:lvlText w:val="%1)"/>
      <w:numFmt w:val="lowerLetter"/>
      <w:start w:val="4"/>
    </w:lvl>
  </w:abstractNum>
  <w:abstractNum w:abstractNumId="21">
    <w:nsid w:val="D34B6A8"/>
    <w:multiLevelType w:val="hybridMultilevel"/>
    <w:lvl w:ilvl="0">
      <w:lvlJc w:val="left"/>
      <w:lvlText w:val="%1)"/>
      <w:numFmt w:val="lowerLetter"/>
      <w:start w:val="5"/>
    </w:lvl>
  </w:abstractNum>
  <w:abstractNum w:abstractNumId="22">
    <w:nsid w:val="10233C99"/>
    <w:multiLevelType w:val="hybridMultilevel"/>
    <w:lvl w:ilvl="0">
      <w:lvlJc w:val="left"/>
      <w:lvlText w:val="%1)"/>
      <w:numFmt w:val="lowerLetter"/>
      <w:start w:val="13"/>
    </w:lvl>
  </w:abstractNum>
  <w:abstractNum w:abstractNumId="23">
    <w:nsid w:val="3F6AB60F"/>
    <w:multiLevelType w:val="hybridMultilevel"/>
    <w:lvl w:ilvl="0">
      <w:lvlJc w:val="left"/>
      <w:lvlText w:val="(%1)"/>
      <w:numFmt w:val="decimal"/>
      <w:start w:val="1"/>
    </w:lvl>
  </w:abstractNum>
  <w:abstractNum w:abstractNumId="24">
    <w:nsid w:val="61574095"/>
    <w:multiLevelType w:val="hybridMultilevel"/>
    <w:lvl w:ilvl="0">
      <w:lvlJc w:val="left"/>
      <w:lvlText w:val="(%1)"/>
      <w:numFmt w:val="decimal"/>
      <w:start w:val="3"/>
    </w:lvl>
  </w:abstractNum>
  <w:abstractNum w:abstractNumId="25">
    <w:nsid w:val="7E0C57B1"/>
    <w:multiLevelType w:val="hybridMultilevel"/>
    <w:lvl w:ilvl="0">
      <w:lvlJc w:val="left"/>
      <w:lvlText w:val="%1)"/>
      <w:numFmt w:val="lowerLetter"/>
      <w:start w:val="1"/>
    </w:lvl>
  </w:abstractNum>
  <w:abstractNum w:abstractNumId="26">
    <w:nsid w:val="77AE35EB"/>
    <w:multiLevelType w:val="hybridMultilevel"/>
    <w:lvl w:ilvl="0">
      <w:lvlJc w:val="left"/>
      <w:lvlText w:val="%1)"/>
      <w:numFmt w:val="lowerLetter"/>
      <w:start w:val="2"/>
    </w:lvl>
  </w:abstractNum>
  <w:abstractNum w:abstractNumId="27">
    <w:nsid w:val="579BE4F1"/>
    <w:multiLevelType w:val="hybridMultilevel"/>
    <w:lvl w:ilvl="0">
      <w:lvlJc w:val="left"/>
      <w:lvlText w:val="(%1)"/>
      <w:numFmt w:val="upperLetter"/>
      <w:start w:val="1"/>
    </w:lvl>
    <w:lvl w:ilvl="1">
      <w:lvlJc w:val="left"/>
      <w:lvlText w:val="(%2)"/>
      <w:numFmt w:val="decimal"/>
      <w:start w:val="2"/>
    </w:lvl>
  </w:abstractNum>
  <w:abstractNum w:abstractNumId="28">
    <w:nsid w:val="310C50B3"/>
    <w:multiLevelType w:val="hybridMultilevel"/>
    <w:lvl w:ilvl="0">
      <w:lvlJc w:val="left"/>
      <w:lvlText w:val="(%1)"/>
      <w:numFmt w:val="upperLetter"/>
      <w:start w:val="24"/>
    </w:lvl>
  </w:abstractNum>
  <w:abstractNum w:abstractNumId="29">
    <w:nsid w:val="5FF87E05"/>
    <w:multiLevelType w:val="hybridMultilevel"/>
    <w:lvl w:ilvl="0">
      <w:lvlJc w:val="left"/>
      <w:lvlText w:val="(%1)"/>
      <w:numFmt w:val="lowerLetter"/>
      <w:start w:val="4"/>
    </w:lvl>
  </w:abstractNum>
  <w:abstractNum w:abstractNumId="30">
    <w:nsid w:val="2F305DEF"/>
    <w:multiLevelType w:val="hybridMultilevel"/>
    <w:lvl w:ilvl="0">
      <w:lvlJc w:val="left"/>
      <w:lvlText w:val="%1)"/>
      <w:numFmt w:val="lowerLetter"/>
      <w:start w:val="4"/>
    </w:lvl>
    <w:lvl w:ilvl="1">
      <w:lvlJc w:val="left"/>
      <w:lvlText w:val="%2."/>
      <w:numFmt w:val="lowerRoman"/>
      <w:start w:val="1"/>
    </w:lvl>
  </w:abstractNum>
  <w:abstractNum w:abstractNumId="31">
    <w:nsid w:val="25A70BF7"/>
    <w:multiLevelType w:val="hybridMultilevel"/>
    <w:lvl w:ilvl="0">
      <w:lvlJc w:val="left"/>
      <w:lvlText w:val="%1."/>
      <w:numFmt w:val="lowerRoman"/>
      <w:start w:val="2"/>
    </w:lvl>
  </w:abstractNum>
  <w:abstractNum w:abstractNumId="32">
    <w:nsid w:val="1DBABF00"/>
    <w:multiLevelType w:val="hybridMultilevel"/>
    <w:lvl w:ilvl="0">
      <w:lvlJc w:val="left"/>
      <w:lvlText w:val="%1."/>
      <w:numFmt w:val="lowerRoman"/>
      <w:start w:val="5"/>
    </w:lvl>
  </w:abstractNum>
  <w:abstractNum w:abstractNumId="33">
    <w:nsid w:val="4AD084E9"/>
    <w:multiLevelType w:val="hybridMultilevel"/>
    <w:lvl w:ilvl="0">
      <w:lvlJc w:val="left"/>
      <w:lvlText w:val="%1)"/>
      <w:numFmt w:val="lowerLetter"/>
      <w:start w:val="5"/>
    </w:lvl>
  </w:abstractNum>
  <w:abstractNum w:abstractNumId="34">
    <w:nsid w:val="1F48EAA1"/>
    <w:multiLevelType w:val="hybridMultilevel"/>
    <w:lvl w:ilvl="0">
      <w:lvlJc w:val="left"/>
      <w:lvlText w:val="%1)"/>
      <w:numFmt w:val="lowerLetter"/>
      <w:start w:val="1"/>
    </w:lvl>
  </w:abstractNum>
  <w:abstractNum w:abstractNumId="35">
    <w:nsid w:val="1381823A"/>
    <w:multiLevelType w:val="hybridMultilevel"/>
    <w:lvl w:ilvl="0">
      <w:lvlJc w:val="left"/>
      <w:lvlText w:val="%1)"/>
      <w:numFmt w:val="lowerLetter"/>
      <w:start w:val="3"/>
    </w:lvl>
  </w:abstractNum>
  <w:abstractNum w:abstractNumId="36">
    <w:nsid w:val="5DB70AE5"/>
    <w:multiLevelType w:val="hybridMultilevel"/>
    <w:lvl w:ilvl="0">
      <w:lvlJc w:val="left"/>
      <w:lvlText w:val="%1"/>
      <w:numFmt w:val="lowerRoman"/>
      <w:start w:val="1"/>
    </w:lvl>
    <w:lvl w:ilvl="1">
      <w:lvlJc w:val="left"/>
      <w:lvlText w:val="%2)"/>
      <w:numFmt w:val="lowerLetter"/>
      <w:start w:val="4"/>
    </w:lvl>
  </w:abstractNum>
  <w:abstractNum w:abstractNumId="37">
    <w:nsid w:val="100F8FCA"/>
    <w:multiLevelType w:val="hybridMultilevel"/>
    <w:lvl w:ilvl="0">
      <w:lvlJc w:val="left"/>
      <w:lvlText w:val="(%1)"/>
      <w:numFmt w:val="lowerRoman"/>
      <w:start w:val="2"/>
    </w:lvl>
    <w:lvl w:ilvl="1">
      <w:lvlJc w:val="left"/>
      <w:lvlText w:val="%2"/>
      <w:numFmt w:val="lowerLetter"/>
      <w:start w:val="1"/>
    </w:lvl>
  </w:abstractNum>
  <w:abstractNum w:abstractNumId="38">
    <w:nsid w:val="6590700B"/>
    <w:multiLevelType w:val="hybridMultilevel"/>
    <w:lvl w:ilvl="0">
      <w:lvlJc w:val="left"/>
      <w:lvlText w:val="%1)"/>
      <w:numFmt w:val="lowerLetter"/>
      <w:start w:val="5"/>
    </w:lvl>
    <w:lvl w:ilvl="1">
      <w:lvlJc w:val="left"/>
      <w:lvlText w:val="%2."/>
      <w:numFmt w:val="lowerRoman"/>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lowerLetter"/>
      <w:start w:val="1"/>
    </w:lvl>
  </w:abstractNum>
  <w:abstractNum w:abstractNumId="41">
    <w:nsid w:val="98A3148"/>
    <w:multiLevelType w:val="hybridMultilevel"/>
    <w:lvl w:ilvl="0">
      <w:lvlJc w:val="left"/>
      <w:lvlText w:val="%1)"/>
      <w:numFmt w:val="lowerLetter"/>
      <w:start w:val="2"/>
    </w:lvl>
  </w:abstractNum>
  <w:abstractNum w:abstractNumId="42">
    <w:nsid w:val="799D0247"/>
    <w:multiLevelType w:val="hybridMultilevel"/>
    <w:lvl w:ilvl="0">
      <w:lvlJc w:val="left"/>
      <w:lvlText w:val="%1)"/>
      <w:numFmt w:val="lowerLetter"/>
      <w:start w:val="5"/>
    </w:lvl>
  </w:abstractNum>
  <w:abstractNum w:abstractNumId="43">
    <w:nsid w:val="6B94764"/>
    <w:multiLevelType w:val="hybridMultilevel"/>
    <w:lvl w:ilvl="0">
      <w:lvlJc w:val="left"/>
      <w:lvlText w:val="%1)"/>
      <w:numFmt w:val="lowerLetter"/>
      <w:start w:val="10"/>
    </w:lvl>
  </w:abstractNum>
  <w:abstractNum w:abstractNumId="44">
    <w:nsid w:val="42C296BD"/>
    <w:multiLevelType w:val="hybridMultilevel"/>
    <w:lvl w:ilvl="0">
      <w:lvlJc w:val="left"/>
      <w:lvlText w:val="(%1)"/>
      <w:numFmt w:val="decimal"/>
      <w:start w:val="1"/>
    </w:lvl>
  </w:abstractNum>
  <w:abstractNum w:abstractNumId="45">
    <w:nsid w:val="168E121F"/>
    <w:multiLevelType w:val="hybridMultilevel"/>
    <w:lvl w:ilvl="0">
      <w:lvlJc w:val="left"/>
      <w:lvlText w:val="(%1)"/>
      <w:numFmt w:val="decimal"/>
      <w:start w:val="3"/>
    </w:lvl>
  </w:abstractNum>
  <w:abstractNum w:abstractNumId="46">
    <w:nsid w:val="1EBA5D23"/>
    <w:multiLevelType w:val="hybridMultilevel"/>
    <w:lvl w:ilvl="0">
      <w:lvlJc w:val="left"/>
      <w:lvlText w:val="%1)"/>
      <w:numFmt w:val="lowerLetter"/>
      <w:start w:val="1"/>
    </w:lvl>
  </w:abstractNum>
  <w:abstractNum w:abstractNumId="47">
    <w:nsid w:val="661E3F1E"/>
    <w:multiLevelType w:val="hybridMultilevel"/>
    <w:lvl w:ilvl="0">
      <w:lvlJc w:val="left"/>
      <w:lvlText w:val="%1)"/>
      <w:numFmt w:val="lowerLetter"/>
      <w:start w:val="2"/>
    </w:lvl>
  </w:abstractNum>
  <w:abstractNum w:abstractNumId="48">
    <w:nsid w:val="5DC79EA8"/>
    <w:multiLevelType w:val="hybridMultilevel"/>
    <w:lvl w:ilvl="0">
      <w:lvlJc w:val="left"/>
      <w:lvlText w:val="(%1)"/>
      <w:numFmt w:val="upperLetter"/>
      <w:start w:val="1"/>
    </w:lvl>
  </w:abstractNum>
  <w:abstractNum w:abstractNumId="49">
    <w:nsid w:val="540A471C"/>
    <w:multiLevelType w:val="hybridMultilevel"/>
    <w:lvl w:ilvl="0">
      <w:lvlJc w:val="left"/>
      <w:lvlText w:val="(%1)"/>
      <w:numFmt w:val="upperLetter"/>
      <w:start w:val="24"/>
    </w:lvl>
  </w:abstractNum>
  <w:abstractNum w:abstractNumId="50">
    <w:nsid w:val="7BD3EE7B"/>
    <w:multiLevelType w:val="hybridMultilevel"/>
    <w:lvl w:ilvl="0">
      <w:lvlJc w:val="left"/>
      <w:lvlText w:val="(%1)"/>
      <w:numFmt w:val="lowerLetter"/>
      <w:start w:val="4"/>
    </w:lvl>
  </w:abstractNum>
  <w:abstractNum w:abstractNumId="51">
    <w:nsid w:val="51D9C564"/>
    <w:multiLevelType w:val="hybridMultilevel"/>
    <w:lvl w:ilvl="0">
      <w:lvlJc w:val="left"/>
      <w:lvlText w:val="%1)"/>
      <w:numFmt w:val="lowerLetter"/>
      <w:start w:val="4"/>
    </w:lvl>
    <w:lvl w:ilvl="1">
      <w:lvlJc w:val="left"/>
      <w:lvlText w:val="%2."/>
      <w:numFmt w:val="lowerRoman"/>
      <w:start w:val="1"/>
    </w:lvl>
  </w:abstractNum>
  <w:abstractNum w:abstractNumId="52">
    <w:nsid w:val="613EFDC5"/>
    <w:multiLevelType w:val="hybridMultilevel"/>
    <w:lvl w:ilvl="0">
      <w:lvlJc w:val="left"/>
      <w:lvlText w:val="%1."/>
      <w:numFmt w:val="lowerRoman"/>
      <w:start w:val="3"/>
    </w:lvl>
  </w:abstractNum>
  <w:abstractNum w:abstractNumId="53">
    <w:nsid w:val="BF72B14"/>
    <w:multiLevelType w:val="hybridMultilevel"/>
    <w:lvl w:ilvl="0">
      <w:lvlJc w:val="left"/>
      <w:lvlText w:val="%1."/>
      <w:numFmt w:val="lowerRoman"/>
      <w:start w:val="6"/>
    </w:lvl>
  </w:abstractNum>
  <w:abstractNum w:abstractNumId="54">
    <w:nsid w:val="11447B73"/>
    <w:multiLevelType w:val="hybridMultilevel"/>
    <w:lvl w:ilvl="0">
      <w:lvlJc w:val="left"/>
      <w:lvlText w:val="%1)"/>
      <w:numFmt w:val="lowerLetter"/>
      <w:start w:val="5"/>
    </w:lvl>
  </w:abstractNum>
  <w:abstractNum w:abstractNumId="55">
    <w:nsid w:val="42963E5A"/>
    <w:multiLevelType w:val="hybridMultilevel"/>
    <w:lvl w:ilvl="0">
      <w:lvlJc w:val="left"/>
      <w:lvlText w:val="%1)"/>
      <w:numFmt w:val="lowerLetter"/>
      <w:start w:val="1"/>
    </w:lvl>
  </w:abstractNum>
  <w:abstractNum w:abstractNumId="56">
    <w:nsid w:val="A0382C5"/>
    <w:multiLevelType w:val="hybridMultilevel"/>
    <w:lvl w:ilvl="0">
      <w:lvlJc w:val="left"/>
      <w:lvlText w:val="%1"/>
      <w:numFmt w:val="lowerRoman"/>
      <w:start w:val="1"/>
    </w:lvl>
    <w:lvl w:ilvl="1">
      <w:lvlJc w:val="left"/>
      <w:lvlText w:val="%2)"/>
      <w:numFmt w:val="lowerLetter"/>
      <w:start w:val="4"/>
    </w:lvl>
  </w:abstractNum>
  <w:abstractNum w:abstractNumId="57">
    <w:nsid w:val="8F2B15E"/>
    <w:multiLevelType w:val="hybridMultilevel"/>
    <w:lvl w:ilvl="0">
      <w:lvlJc w:val="left"/>
      <w:lvlText w:val="(%1)"/>
      <w:numFmt w:val="lowerRoman"/>
      <w:start w:val="2"/>
    </w:lvl>
    <w:lvl w:ilvl="1">
      <w:lvlJc w:val="left"/>
      <w:lvlText w:val="%2"/>
      <w:numFmt w:val="lowerLetter"/>
      <w:start w:val="1"/>
    </w:lvl>
  </w:abstractNum>
  <w:abstractNum w:abstractNumId="58">
    <w:nsid w:val="1A32234B"/>
    <w:multiLevelType w:val="hybridMultilevel"/>
    <w:lvl w:ilvl="0">
      <w:lvlJc w:val="left"/>
      <w:lvlText w:val="%1)"/>
      <w:numFmt w:val="lowerLetter"/>
      <w:start w:val="5"/>
    </w:lvl>
    <w:lvl w:ilvl="1">
      <w:lvlJc w:val="left"/>
      <w:lvlText w:val="%2."/>
      <w:numFmt w:val="lowerRoman"/>
      <w:start w:val="1"/>
    </w:lvl>
  </w:abstractNum>
  <w:abstractNum w:abstractNumId="59">
    <w:nsid w:val="3B0FD379"/>
    <w:multiLevelType w:val="hybridMultilevel"/>
    <w:lvl w:ilvl="0">
      <w:lvlJc w:val="left"/>
      <w:lvlText w:val="%1)"/>
      <w:numFmt w:val="lowerLetter"/>
      <w:start w:val="1"/>
    </w:lvl>
  </w:abstractNum>
  <w:abstractNum w:abstractNumId="60">
    <w:nsid w:val="68EB2F63"/>
    <w:multiLevelType w:val="hybridMultilevel"/>
    <w:lvl w:ilvl="0">
      <w:lvlJc w:val="left"/>
      <w:lvlText w:val="%1)"/>
      <w:numFmt w:val="lowerLetter"/>
      <w:start w:val="2"/>
    </w:lvl>
  </w:abstractNum>
  <w:abstractNum w:abstractNumId="61">
    <w:nsid w:val="4962813B"/>
    <w:multiLevelType w:val="hybridMultilevel"/>
    <w:lvl w:ilvl="0">
      <w:lvlJc w:val="left"/>
      <w:lvlText w:val="%1)"/>
      <w:numFmt w:val="lowerLetter"/>
      <w:start w:val="1"/>
    </w:lvl>
  </w:abstractNum>
  <w:abstractNum w:abstractNumId="62">
    <w:nsid w:val="60B6DF70"/>
    <w:multiLevelType w:val="hybridMultilevel"/>
    <w:lvl w:ilvl="0">
      <w:lvlJc w:val="left"/>
      <w:lvlText w:val="%1)"/>
      <w:numFmt w:val="lowerLetter"/>
      <w:start w:val="3"/>
    </w:lvl>
  </w:abstractNum>
  <w:abstractNum w:abstractNumId="63">
    <w:nsid w:val="6A5EE64"/>
    <w:multiLevelType w:val="hybridMultilevel"/>
    <w:lvl w:ilvl="0">
      <w:lvlJc w:val="left"/>
      <w:lvlText w:val="%1)"/>
      <w:numFmt w:val="lowerLetter"/>
      <w:start w:val="5"/>
    </w:lvl>
  </w:abstractNum>
  <w:abstractNum w:abstractNumId="64">
    <w:nsid w:val="14330624"/>
    <w:multiLevelType w:val="hybridMultilevel"/>
    <w:lvl w:ilvl="0">
      <w:lvlJc w:val="left"/>
      <w:lvlText w:val="%1)"/>
      <w:numFmt w:val="lowerLetter"/>
      <w:start w:val="12"/>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1)"/>
      <w:numFmt w:val="decimal"/>
      <w:start w:val="3"/>
    </w:lvl>
  </w:abstractNum>
  <w:abstractNum w:abstractNumId="67">
    <w:nsid w:val="71EA1109"/>
    <w:multiLevelType w:val="hybridMultilevel"/>
    <w:lvl w:ilvl="0">
      <w:lvlJc w:val="left"/>
      <w:lvlText w:val="(%1)"/>
      <w:numFmt w:val="decimal"/>
      <w:start w:val="1"/>
    </w:lvl>
  </w:abstractNum>
  <w:abstractNum w:abstractNumId="68">
    <w:nsid w:val="100F59DC"/>
    <w:multiLevelType w:val="hybridMultilevel"/>
    <w:lvl w:ilvl="0">
      <w:lvlJc w:val="left"/>
      <w:lvlText w:val="%1."/>
      <w:numFmt w:val="decimal"/>
      <w:start w:val="1"/>
    </w:lvl>
  </w:abstractNum>
  <w:abstractNum w:abstractNumId="69">
    <w:nsid w:val="7FB7E0AA"/>
    <w:multiLevelType w:val="hybridMultilevel"/>
    <w:lvl w:ilvl="0">
      <w:lvlJc w:val="left"/>
      <w:lvlText w:val="(%1)"/>
      <w:numFmt w:val="lowerLetter"/>
      <w:start w:val="6"/>
    </w:lvl>
  </w:abstractNum>
  <w:abstractNum w:abstractNumId="70">
    <w:nsid w:val="6EB5BD4"/>
    <w:multiLevelType w:val="hybridMultilevel"/>
    <w:lvl w:ilvl="0">
      <w:lvlJc w:val="left"/>
      <w:lvlText w:val="(%1)"/>
      <w:numFmt w:val="lowerLetter"/>
      <w:start w:val="1"/>
    </w:lvl>
    <w:lvl w:ilvl="1">
      <w:lvlJc w:val="left"/>
      <w:lvlText w:val="(%2)"/>
      <w:numFmt w:val="lowerRoman"/>
      <w:start w:val="1"/>
    </w:lvl>
  </w:abstractNum>
  <w:abstractNum w:abstractNumId="71">
    <w:nsid w:val="6F6DD9AC"/>
    <w:multiLevelType w:val="hybridMultilevel"/>
    <w:lvl w:ilvl="0">
      <w:lvlJc w:val="left"/>
      <w:lvlText w:val="%1"/>
      <w:numFmt w:val="lowerLetter"/>
      <w:start w:val="1"/>
    </w:lvl>
    <w:lvl w:ilvl="1">
      <w:lvlJc w:val="left"/>
      <w:lvlText w:val="(%2)"/>
      <w:numFmt w:val="lowerRoman"/>
      <w:start w:val="6"/>
    </w:lvl>
  </w:abstractNum>
  <w:abstractNum w:abstractNumId="72">
    <w:nsid w:val="94211F2"/>
    <w:multiLevelType w:val="hybridMultilevel"/>
    <w:lvl w:ilvl="0">
      <w:lvlJc w:val="left"/>
      <w:lvlText w:val="(%1)"/>
      <w:numFmt w:val="lowerLetter"/>
      <w:start w:val="2"/>
    </w:lvl>
    <w:lvl w:ilvl="1">
      <w:lvlJc w:val="left"/>
      <w:lvlText w:val="(%2)"/>
      <w:numFmt w:val="lowerRoman"/>
      <w:start w:val="1"/>
    </w:lvl>
  </w:abstractNum>
  <w:abstractNum w:abstractNumId="73">
    <w:nsid w:val="885E1B"/>
    <w:multiLevelType w:val="hybridMultilevel"/>
    <w:lvl w:ilvl="0">
      <w:lvlJc w:val="left"/>
      <w:lvlText w:val="(%1)"/>
      <w:numFmt w:val="lowerLetter"/>
      <w:start w:val="1"/>
    </w:lvl>
    <w:lvl w:ilvl="1">
      <w:lvlJc w:val="left"/>
      <w:lvlText w:val="(%2)"/>
      <w:numFmt w:val="lowerRoman"/>
      <w:start w:val="1"/>
    </w:lvl>
  </w:abstractNum>
  <w:abstractNum w:abstractNumId="74">
    <w:nsid w:val="76272110"/>
    <w:multiLevelType w:val="hybridMultilevel"/>
    <w:lvl w:ilvl="0">
      <w:lvlJc w:val="left"/>
      <w:lvlText w:val="(%1)"/>
      <w:numFmt w:val="lowerRoman"/>
      <w:start w:val="5"/>
    </w:lvl>
  </w:abstractNum>
  <w:abstractNum w:abstractNumId="75">
    <w:nsid w:val="4C04A8AF"/>
    <w:multiLevelType w:val="hybridMultilevel"/>
    <w:lvl w:ilvl="0">
      <w:lvlJc w:val="left"/>
      <w:lvlText w:val="(%1)"/>
      <w:numFmt w:val="lowerLetter"/>
      <w:start w:val="1"/>
    </w:lvl>
  </w:abstractNum>
  <w:abstractNum w:abstractNumId="76">
    <w:nsid w:val="1716703B"/>
    <w:multiLevelType w:val="hybridMultilevel"/>
    <w:lvl w:ilvl="0">
      <w:lvlJc w:val="left"/>
      <w:lvlText w:val="(%1)"/>
      <w:numFmt w:val="lowerLetter"/>
      <w:start w:val="4"/>
    </w:lvl>
  </w:abstractNum>
  <w:abstractNum w:abstractNumId="77">
    <w:nsid w:val="14E17E33"/>
    <w:multiLevelType w:val="hybridMultilevel"/>
    <w:lvl w:ilvl="0">
      <w:lvlJc w:val="left"/>
      <w:lvlText w:val="(%1)"/>
      <w:numFmt w:val="lowerLetter"/>
      <w:start w:val="6"/>
    </w:lvl>
  </w:abstractNum>
  <w:abstractNum w:abstractNumId="78">
    <w:nsid w:val="3222E7CD"/>
    <w:multiLevelType w:val="hybridMultilevel"/>
    <w:lvl w:ilvl="0">
      <w:lvlJc w:val="left"/>
      <w:lvlText w:val="(%1)"/>
      <w:numFmt w:val="lowerLetter"/>
      <w:start w:val="8"/>
    </w:lvl>
  </w:abstractNum>
  <w:abstractNum w:abstractNumId="79">
    <w:nsid w:val="74DE0EE3"/>
    <w:multiLevelType w:val="hybridMultilevel"/>
    <w:lvl w:ilvl="0">
      <w:lvlJc w:val="left"/>
      <w:lvlText w:val="%1"/>
      <w:numFmt w:val="upperLetter"/>
      <w:start w:val="1"/>
    </w:lvl>
    <w:lvl w:ilvl="1">
      <w:lvlJc w:val="left"/>
      <w:lvlText w:val="(%2)"/>
      <w:numFmt w:val="lowerLetter"/>
      <w:start w:val="9"/>
    </w:lvl>
  </w:abstractNum>
  <w:abstractNum w:abstractNumId="80">
    <w:nsid w:val="68EBC550"/>
    <w:multiLevelType w:val="hybridMultilevel"/>
    <w:lvl w:ilvl="0">
      <w:lvlJc w:val="left"/>
      <w:lvlText w:val="(%1)"/>
      <w:numFmt w:val="upperLetter"/>
      <w:start w:val="2"/>
    </w:lvl>
    <w:lvl w:ilvl="1">
      <w:lvlJc w:val="left"/>
      <w:lvlText w:val="(%2)"/>
      <w:numFmt w:val="lowerLetter"/>
      <w:start w:val="10"/>
    </w:lvl>
  </w:abstractNum>
  <w:abstractNum w:abstractNumId="81">
    <w:nsid w:val="2DF6D648"/>
    <w:multiLevelType w:val="hybridMultilevel"/>
    <w:lvl w:ilvl="0">
      <w:lvlJc w:val="left"/>
      <w:lvlText w:val="(%1)"/>
      <w:numFmt w:val="lowerRoman"/>
      <w:start w:val="1"/>
    </w:lvl>
  </w:abstractNum>
  <w:abstractNum w:abstractNumId="82">
    <w:nsid w:val="46B7D447"/>
    <w:multiLevelType w:val="hybridMultilevel"/>
    <w:lvl w:ilvl="0">
      <w:lvlJc w:val="left"/>
      <w:lvlText w:val="%1"/>
      <w:numFmt w:val="lowerLetter"/>
      <w:start w:val="1"/>
    </w:lvl>
    <w:lvl w:ilvl="1">
      <w:lvlJc w:val="left"/>
      <w:lvlText w:val="(%2)"/>
      <w:numFmt w:val="lowerLetter"/>
      <w:start w:val="11"/>
    </w:lvl>
  </w:abstractNum>
  <w:abstractNum w:abstractNumId="83">
    <w:nsid w:val="4A2AC315"/>
    <w:multiLevelType w:val="hybridMultilevel"/>
    <w:lvl w:ilvl="0">
      <w:lvlJc w:val="left"/>
      <w:lvlText w:val="(%1)"/>
      <w:numFmt w:val="lowerLetter"/>
      <w:start w:val="9"/>
    </w:lvl>
    <w:lvl w:ilvl="1">
      <w:lvlJc w:val="left"/>
      <w:lvlText w:val="(%2)"/>
      <w:numFmt w:val="lowerLetter"/>
      <w:start w:val="13"/>
    </w:lvl>
  </w:abstractNum>
  <w:abstractNum w:abstractNumId="84">
    <w:nsid w:val="39EE015C"/>
    <w:multiLevelType w:val="hybridMultilevel"/>
    <w:lvl w:ilvl="0">
      <w:lvlJc w:val="left"/>
      <w:lvlText w:val="%1"/>
      <w:numFmt w:val="lowerLetter"/>
      <w:start w:val="1"/>
    </w:lvl>
    <w:lvl w:ilvl="1">
      <w:lvlJc w:val="left"/>
      <w:lvlText w:val="(%2)"/>
      <w:numFmt w:val="lowerLetter"/>
      <w:start w:val="14"/>
    </w:lvl>
  </w:abstractNum>
  <w:abstractNum w:abstractNumId="85">
    <w:nsid w:val="57FC4FBB"/>
    <w:multiLevelType w:val="hybridMultilevel"/>
    <w:lvl w:ilvl="0">
      <w:lvlJc w:val="left"/>
      <w:lvlText w:val="(%1)"/>
      <w:numFmt w:val="lowerLetter"/>
      <w:start w:val="35"/>
    </w:lvl>
    <w:lvl w:ilvl="1">
      <w:lvlJc w:val="left"/>
      <w:lvlText w:val="(%2)"/>
      <w:numFmt w:val="lowerLetter"/>
      <w:start w:val="16"/>
    </w:lvl>
  </w:abstractNum>
  <w:abstractNum w:abstractNumId="86">
    <w:nsid w:val="CC1016F"/>
    <w:multiLevelType w:val="hybridMultilevel"/>
    <w:lvl w:ilvl="0">
      <w:lvlJc w:val="left"/>
      <w:lvlText w:val="(%1)"/>
      <w:numFmt w:val="lowerLetter"/>
      <w:start w:val="17"/>
    </w:lvl>
  </w:abstractNum>
  <w:abstractNum w:abstractNumId="87">
    <w:nsid w:val="43F18422"/>
    <w:multiLevelType w:val="hybridMultilevel"/>
    <w:lvl w:ilvl="0">
      <w:lvlJc w:val="left"/>
      <w:lvlText w:val="(%1)"/>
      <w:numFmt w:val="lowerLetter"/>
      <w:start w:val="20"/>
    </w:lvl>
  </w:abstractNum>
  <w:abstractNum w:abstractNumId="88">
    <w:nsid w:val="60EF0119"/>
    <w:multiLevelType w:val="hybridMultilevel"/>
    <w:lvl w:ilvl="0">
      <w:lvlJc w:val="left"/>
      <w:lvlText w:val="(%1)"/>
      <w:numFmt w:val="lowerLetter"/>
      <w:start w:val="24"/>
    </w:lvl>
  </w:abstractNum>
  <w:abstractNum w:abstractNumId="89">
    <w:nsid w:val="26F324BA"/>
    <w:multiLevelType w:val="hybridMultilevel"/>
    <w:lvl w:ilvl="0">
      <w:lvlJc w:val="left"/>
      <w:lvlText w:val="%1"/>
      <w:numFmt w:val="lowerLetter"/>
      <w:start w:val="1"/>
    </w:lvl>
    <w:lvl w:ilvl="1">
      <w:lvlJc w:val="left"/>
      <w:lvlText w:val="(%2)"/>
      <w:numFmt w:val="lowerLetter"/>
      <w:start w:val="27"/>
    </w:lvl>
  </w:abstractNum>
  <w:abstractNum w:abstractNumId="90">
    <w:nsid w:val="7F01579B"/>
    <w:multiLevelType w:val="hybridMultilevel"/>
    <w:lvl w:ilvl="0">
      <w:lvlJc w:val="left"/>
      <w:lvlText w:val="(%1)"/>
      <w:numFmt w:val="lowerLetter"/>
      <w:start w:val="61"/>
    </w:lvl>
    <w:lvl w:ilvl="1">
      <w:lvlJc w:val="left"/>
      <w:lvlText w:val="%2"/>
      <w:numFmt w:val="lowerLetter"/>
      <w:start w:val="1"/>
    </w:lvl>
  </w:abstractNum>
  <w:abstractNum w:abstractNumId="91">
    <w:nsid w:val="49DA307D"/>
    <w:multiLevelType w:val="hybridMultilevel"/>
    <w:lvl w:ilvl="0">
      <w:lvlJc w:val="left"/>
      <w:lvlText w:val="(%1)"/>
      <w:numFmt w:val="lowerLetter"/>
      <w:start w:val="30"/>
    </w:lvl>
  </w:abstractNum>
  <w:abstractNum w:abstractNumId="92">
    <w:nsid w:val="7055A5F5"/>
    <w:multiLevelType w:val="hybridMultilevel"/>
    <w:lvl w:ilvl="0">
      <w:lvlJc w:val="left"/>
      <w:lvlText w:val="%1"/>
      <w:numFmt w:val="lowerLetter"/>
      <w:start w:val="1"/>
    </w:lvl>
    <w:lvl w:ilvl="1">
      <w:lvlJc w:val="left"/>
      <w:lvlText w:val="(%2)"/>
      <w:numFmt w:val="lowerLetter"/>
      <w:start w:val="33"/>
    </w:lvl>
  </w:abstractNum>
  <w:abstractNum w:abstractNumId="93">
    <w:nsid w:val="5FB8370B"/>
    <w:multiLevelType w:val="hybridMultilevel"/>
    <w:lvl w:ilvl="0">
      <w:lvlJc w:val="left"/>
      <w:lvlText w:val="(%1)"/>
      <w:numFmt w:val="lowerLetter"/>
      <w:start w:val="61"/>
    </w:lvl>
    <w:lvl w:ilvl="1">
      <w:lvlJc w:val="left"/>
      <w:lvlText w:val="(%2)"/>
      <w:numFmt w:val="lowerLetter"/>
      <w:start w:val="34"/>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lowerLetter"/>
      <w:start w:val="5"/>
    </w:lvl>
  </w:abstractNum>
  <w:abstractNum w:abstractNumId="96">
    <w:nsid w:val="5FB8011C"/>
    <w:multiLevelType w:val="hybridMultilevel"/>
    <w:lvl w:ilvl="0">
      <w:lvlJc w:val="left"/>
      <w:lvlText w:val="(%1)"/>
      <w:numFmt w:val="lowerLetter"/>
      <w:start w:val="7"/>
    </w:lvl>
  </w:abstractNum>
  <w:abstractNum w:abstractNumId="97">
    <w:nsid w:val="6AA78F7F"/>
    <w:multiLevelType w:val="hybridMultilevel"/>
    <w:lvl w:ilvl="0">
      <w:lvlJc w:val="left"/>
      <w:lvlText w:val="%1"/>
      <w:numFmt w:val="lowerLetter"/>
      <w:start w:val="1"/>
    </w:lvl>
    <w:lvl w:ilvl="1">
      <w:lvlJc w:val="left"/>
      <w:lvlText w:val="(%2)"/>
      <w:numFmt w:val="lowerLetter"/>
      <w:start w:val="1"/>
    </w:lvl>
  </w:abstractNum>
  <w:abstractNum w:abstractNumId="98">
    <w:nsid w:val="7672BD23"/>
    <w:multiLevelType w:val="hybridMultilevel"/>
    <w:lvl w:ilvl="0">
      <w:lvlJc w:val="left"/>
      <w:lvlText w:val="(%1)"/>
      <w:numFmt w:val="lowerLetter"/>
      <w:start w:val="9"/>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2020-08-28T15:12:28Z</dcterms:created>
  <dcterms:modified xsi:type="dcterms:W3CDTF">2020-08-28T15:12:28Z</dcterms:modified>
</cp:coreProperties>
</file>