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ind w:left="8240"/>
        <w:spacing w:after="0"/>
        <w:rPr>
          <w:sz w:val="20"/>
          <w:szCs w:val="20"/>
          <w:color w:val="auto"/>
        </w:rPr>
      </w:pPr>
      <w:r>
        <w:rPr>
          <w:rFonts w:ascii="Arial" w:cs="Arial" w:eastAsia="Arial" w:hAnsi="Arial"/>
          <w:sz w:val="16"/>
          <w:szCs w:val="16"/>
          <w:b w:val="1"/>
          <w:bCs w:val="1"/>
          <w:color w:val="auto"/>
        </w:rPr>
        <w:t>Registration Statement No. 333-232764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30, 2019)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12,418,179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1,445,454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the shares of Common Stock underlying such Pre-Funded Warrants)</w:t>
      </w:r>
    </w:p>
    <w:p>
      <w:pPr>
        <w:spacing w:after="0" w:line="211"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We are offering an aggregate of 12,418,179 shares of our common stock, par value $0.01 per share (the “Common Stock”) at a purchase price equal to $0.22 per share. We are also offering to certain purchasers pre-funded warrants to purchase an aggregate of 1,445,454 shares of Common Stock, in lieu of shares of Common Stock. Each pre-funded warrant is exercisable for one share of our Common Stock. The purchase price of each pre-funded warrant is equal to the price at which a share of Common Stock is sold to the public in this offering, minus $0.01, and the exercise price of each pre-funded warrant is $0.01 per share. The pre-funded warrants are immediately exercisable and may be exercised at any time until all of the pre-funded warrants are exercised in full. This offering also relates to the shares of Common Stock issuable upon exercise of the pre-funded warrants sold in this offering.</w:t>
      </w:r>
    </w:p>
    <w:p>
      <w:pPr>
        <w:spacing w:after="0" w:line="16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April 6, 2020 was $0.26 per share.</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You should read this prospectus supplement and the accompanying prospectus and the documents incorporated by reference in this prospectus supplement carefully before you invest.</w:t>
      </w:r>
    </w:p>
    <w:p>
      <w:pPr>
        <w:spacing w:after="0" w:line="166"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See “Risk Factors” on page S-4 of this prospectus supplement to read about factors you should consider before buying shares of our Common Stock.</w:t>
      </w:r>
    </w:p>
    <w:p>
      <w:pPr>
        <w:spacing w:after="0" w:line="162" w:lineRule="exact"/>
        <w:rPr>
          <w:sz w:val="24"/>
          <w:szCs w:val="24"/>
          <w:color w:val="auto"/>
        </w:rPr>
      </w:pPr>
    </w:p>
    <w:p>
      <w:pPr>
        <w:jc w:val="both"/>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44"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As of April 6, 2020, the aggregate market value of our outstanding Common Stock held by non-affiliates was approximately $66,268,264, based on 62,914,926 shares of outstanding Common Stock, of which 56,159,546 shares were held by non-affiliates, and a per share price of $1.18, which was the last reported sale price of our Common Stock on The Nasdaq Capital Market on February 19, 2020. We have offered and sold $9,386,619 worth of our securities pursuant to General Instruction I.B.6. of Form S-3 during the prior 12 calendar month period that ends on and includes the date of this prospectus supplement and the securities offered hereby.</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Per Pre-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Per Share of</w:t>
            </w: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Funded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Common Stock</w:t>
            </w:r>
          </w:p>
        </w:tc>
        <w:tc>
          <w:tcPr>
            <w:tcW w:w="18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Warrant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3,049,999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Advisory fees(1)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0.0176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0.0168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244,000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0.2024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0.1932</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2,805,999</w:t>
            </w:r>
          </w:p>
        </w:tc>
      </w:tr>
    </w:tbl>
    <w:p>
      <w:pPr>
        <w:spacing w:after="0" w:line="202" w:lineRule="exact"/>
        <w:rPr>
          <w:sz w:val="24"/>
          <w:szCs w:val="24"/>
          <w:color w:val="auto"/>
        </w:rPr>
      </w:pPr>
    </w:p>
    <w:p>
      <w:pPr>
        <w:ind w:right="20" w:firstLine="8"/>
        <w:spacing w:after="0" w:line="277"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pay a certain financial advisory consultant a cash payment equal to 8% of the aggregate gross proceeds raised in the offering. See “Plan of Distribution” for more information.</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Delivery of the shares of our Common Stock and pre-funded warrants being offered pursuant to this prospectus supplement and the accompanying prospectus is expected to be made on or about April 8, 2020.</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April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0" w:type="dxa"/>
            <w:vAlign w:val="bottom"/>
          </w:tcPr>
          <w:p>
            <w:pPr>
              <w:jc w:val="center"/>
              <w:ind w:left="55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2"/>
        </w:trPr>
        <w:tc>
          <w:tcPr>
            <w:tcW w:w="10600" w:type="dxa"/>
            <w:vAlign w:val="bottom"/>
          </w:tcPr>
          <w:p>
            <w:pPr>
              <w:jc w:val="center"/>
              <w:ind w:left="550"/>
              <w:spacing w:after="0"/>
              <w:rPr>
                <w:sz w:val="20"/>
                <w:szCs w:val="20"/>
                <w:color w:val="auto"/>
              </w:rPr>
            </w:pPr>
            <w:r>
              <w:rPr>
                <w:rFonts w:ascii="Arial" w:cs="Arial" w:eastAsia="Arial" w:hAnsi="Arial"/>
                <w:sz w:val="18"/>
                <w:szCs w:val="18"/>
                <w:b w:val="1"/>
                <w:bCs w:val="1"/>
                <w:color w:val="auto"/>
                <w:w w:val="87"/>
              </w:rPr>
              <w:t>Prospectus Supplement</w:t>
            </w:r>
          </w:p>
        </w:tc>
        <w:tc>
          <w:tcPr>
            <w:tcW w:w="640" w:type="dxa"/>
            <w:vAlign w:val="bottom"/>
          </w:tcPr>
          <w:p>
            <w:pPr>
              <w:spacing w:after="0"/>
              <w:rPr>
                <w:sz w:val="24"/>
                <w:szCs w:val="24"/>
                <w:color w:val="auto"/>
              </w:rPr>
            </w:pPr>
          </w:p>
        </w:tc>
      </w:tr>
      <w:tr>
        <w:trPr>
          <w:trHeight w:val="432"/>
        </w:trPr>
        <w:tc>
          <w:tcPr>
            <w:tcW w:w="106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tc>
        <w:tc>
          <w:tcPr>
            <w:tcW w:w="640" w:type="dxa"/>
            <w:vAlign w:val="bottom"/>
          </w:tcPr>
          <w:p>
            <w:pPr>
              <w:jc w:val="cente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s-iii</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SUPPLEMENT SUMMARY</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5"/>
              </w:rPr>
            </w:pPr>
            <w:hyperlink w:anchor="page6">
              <w:r>
                <w:rPr>
                  <w:rFonts w:ascii="Arial" w:cs="Arial" w:eastAsia="Arial" w:hAnsi="Arial"/>
                  <w:sz w:val="18"/>
                  <w:szCs w:val="18"/>
                  <w:u w:val="single" w:color="auto"/>
                  <w:color w:val="0000EE"/>
                  <w:w w:val="85"/>
                </w:rPr>
                <w:t>S-1</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OFFERING</w:t>
              </w:r>
            </w:hyperlink>
          </w:p>
        </w:tc>
        <w:tc>
          <w:tcPr>
            <w:tcW w:w="640" w:type="dxa"/>
            <w:vAlign w:val="bottom"/>
          </w:tcPr>
          <w:p>
            <w:pPr>
              <w:jc w:val="center"/>
              <w:spacing w:after="0"/>
              <w:rPr>
                <w:rFonts w:ascii="Arial" w:cs="Arial" w:eastAsia="Arial" w:hAnsi="Arial"/>
                <w:sz w:val="18"/>
                <w:szCs w:val="18"/>
                <w:u w:val="single" w:color="auto"/>
                <w:color w:val="0000EE"/>
                <w:w w:val="85"/>
              </w:rPr>
            </w:pPr>
            <w:hyperlink w:anchor="page9">
              <w:r>
                <w:rPr>
                  <w:rFonts w:ascii="Arial" w:cs="Arial" w:eastAsia="Arial" w:hAnsi="Arial"/>
                  <w:sz w:val="18"/>
                  <w:szCs w:val="18"/>
                  <w:u w:val="single" w:color="auto"/>
                  <w:color w:val="0000EE"/>
                  <w:w w:val="85"/>
                </w:rPr>
                <w:t>S-3</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5"/>
              </w:rPr>
            </w:pPr>
            <w:hyperlink w:anchor="page10">
              <w:r>
                <w:rPr>
                  <w:rFonts w:ascii="Arial" w:cs="Arial" w:eastAsia="Arial" w:hAnsi="Arial"/>
                  <w:sz w:val="18"/>
                  <w:szCs w:val="18"/>
                  <w:u w:val="single" w:color="auto"/>
                  <w:color w:val="0000EE"/>
                  <w:w w:val="85"/>
                </w:rPr>
                <w:t>S-4</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USE OF PROCEEDS</w:t>
              </w:r>
            </w:hyperlink>
          </w:p>
        </w:tc>
        <w:tc>
          <w:tcPr>
            <w:tcW w:w="640" w:type="dxa"/>
            <w:vAlign w:val="bottom"/>
          </w:tcPr>
          <w:p>
            <w:pPr>
              <w:jc w:val="center"/>
              <w:spacing w:after="0"/>
              <w:rPr>
                <w:rFonts w:ascii="Arial" w:cs="Arial" w:eastAsia="Arial" w:hAnsi="Arial"/>
                <w:sz w:val="18"/>
                <w:szCs w:val="18"/>
                <w:u w:val="single" w:color="auto"/>
                <w:color w:val="0000EE"/>
                <w:w w:val="85"/>
              </w:rPr>
            </w:pPr>
            <w:hyperlink w:anchor="page15">
              <w:r>
                <w:rPr>
                  <w:rFonts w:ascii="Arial" w:cs="Arial" w:eastAsia="Arial" w:hAnsi="Arial"/>
                  <w:sz w:val="18"/>
                  <w:szCs w:val="18"/>
                  <w:u w:val="single" w:color="auto"/>
                  <w:color w:val="0000EE"/>
                  <w:w w:val="85"/>
                </w:rPr>
                <w:t>S-9</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DIVIDEND POLICY</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16">
              <w:r>
                <w:rPr>
                  <w:rFonts w:ascii="Arial" w:cs="Arial" w:eastAsia="Arial" w:hAnsi="Arial"/>
                  <w:sz w:val="18"/>
                  <w:szCs w:val="18"/>
                  <w:u w:val="single" w:color="auto"/>
                  <w:color w:val="0000EE"/>
                  <w:w w:val="89"/>
                </w:rPr>
                <w:t>S-10</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DILUTION</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S-11</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THE SECURITIES WE ARE OFFERING</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S-12</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PLAN OF DISTRIBUTION</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S-14</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MATTERS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S-14</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EXPERTS</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S-14</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WHERE YOU CAN FIND MORE INFORMATION</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S-14</w:t>
              </w:r>
            </w:hyperlink>
          </w:p>
        </w:tc>
      </w:tr>
      <w:tr>
        <w:trPr>
          <w:trHeight w:val="230"/>
        </w:trPr>
        <w:tc>
          <w:tcPr>
            <w:tcW w:w="106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INCORPORATION OF CERTAIN INFORMATION BY REFERENCE</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S-15</w:t>
              </w:r>
            </w:hyperlink>
          </w:p>
        </w:tc>
      </w:tr>
      <w:tr>
        <w:trPr>
          <w:trHeight w:val="418"/>
        </w:trPr>
        <w:tc>
          <w:tcPr>
            <w:tcW w:w="10600" w:type="dxa"/>
            <w:vAlign w:val="bottom"/>
          </w:tcPr>
          <w:p>
            <w:pPr>
              <w:jc w:val="center"/>
              <w:ind w:left="550"/>
              <w:spacing w:after="0"/>
              <w:rPr>
                <w:sz w:val="20"/>
                <w:szCs w:val="20"/>
                <w:color w:val="auto"/>
              </w:rPr>
            </w:pPr>
            <w:r>
              <w:rPr>
                <w:rFonts w:ascii="Arial" w:cs="Arial" w:eastAsia="Arial" w:hAnsi="Arial"/>
                <w:sz w:val="18"/>
                <w:szCs w:val="18"/>
                <w:b w:val="1"/>
                <w:bCs w:val="1"/>
                <w:color w:val="auto"/>
                <w:w w:val="85"/>
              </w:rPr>
              <w:t>Prospectus</w:t>
            </w:r>
          </w:p>
        </w:tc>
        <w:tc>
          <w:tcPr>
            <w:tcW w:w="640" w:type="dxa"/>
            <w:vAlign w:val="bottom"/>
          </w:tcPr>
          <w:p>
            <w:pPr>
              <w:spacing w:after="0"/>
              <w:rPr>
                <w:sz w:val="24"/>
                <w:szCs w:val="24"/>
                <w:color w:val="auto"/>
              </w:rPr>
            </w:pPr>
          </w:p>
        </w:tc>
      </w:tr>
      <w:tr>
        <w:trPr>
          <w:trHeight w:val="216"/>
        </w:trPr>
        <w:tc>
          <w:tcPr>
            <w:tcW w:w="10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ABOUT THIS PROSPECTUS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iv</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PROSPECTUS SUMMARY</w:t>
              </w:r>
            </w:hyperlink>
          </w:p>
        </w:tc>
        <w:tc>
          <w:tcPr>
            <w:tcW w:w="640" w:type="dxa"/>
            <w:vAlign w:val="bottom"/>
          </w:tcPr>
          <w:p>
            <w:pPr>
              <w:jc w:val="center"/>
              <w:spacing w:after="0"/>
              <w:rPr>
                <w:rFonts w:ascii="Arial" w:cs="Arial" w:eastAsia="Arial" w:hAnsi="Arial"/>
                <w:sz w:val="18"/>
                <w:szCs w:val="18"/>
                <w:u w:val="single" w:color="auto"/>
                <w:color w:val="0000EE"/>
                <w:w w:val="79"/>
              </w:rPr>
            </w:pPr>
            <w:hyperlink w:anchor="page27">
              <w:r>
                <w:rPr>
                  <w:rFonts w:ascii="Arial" w:cs="Arial" w:eastAsia="Arial" w:hAnsi="Arial"/>
                  <w:sz w:val="18"/>
                  <w:szCs w:val="18"/>
                  <w:u w:val="single" w:color="auto"/>
                  <w:color w:val="0000EE"/>
                  <w:w w:val="79"/>
                </w:rPr>
                <w:t>1</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28">
              <w:r>
                <w:rPr>
                  <w:rFonts w:ascii="Arial" w:cs="Arial" w:eastAsia="Arial" w:hAnsi="Arial"/>
                  <w:sz w:val="18"/>
                  <w:szCs w:val="18"/>
                  <w:u w:val="single" w:color="auto"/>
                  <w:color w:val="0000EE"/>
                  <w:w w:val="79"/>
                </w:rPr>
                <w:t>2</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SPECIAL NOTE REGARDING FORWARD-LOOKING STATEMENTS</w:t>
              </w:r>
            </w:hyperlink>
          </w:p>
        </w:tc>
        <w:tc>
          <w:tcPr>
            <w:tcW w:w="640" w:type="dxa"/>
            <w:vAlign w:val="bottom"/>
          </w:tcPr>
          <w:p>
            <w:pPr>
              <w:jc w:val="center"/>
              <w:spacing w:after="0"/>
              <w:rPr>
                <w:rFonts w:ascii="Arial" w:cs="Arial" w:eastAsia="Arial" w:hAnsi="Arial"/>
                <w:sz w:val="18"/>
                <w:szCs w:val="18"/>
                <w:u w:val="single" w:color="auto"/>
                <w:color w:val="0000EE"/>
                <w:w w:val="79"/>
              </w:rPr>
            </w:pPr>
            <w:hyperlink w:anchor="page29">
              <w:r>
                <w:rPr>
                  <w:rFonts w:ascii="Arial" w:cs="Arial" w:eastAsia="Arial" w:hAnsi="Arial"/>
                  <w:sz w:val="18"/>
                  <w:szCs w:val="18"/>
                  <w:u w:val="single" w:color="auto"/>
                  <w:color w:val="0000EE"/>
                  <w:w w:val="79"/>
                </w:rPr>
                <w:t>3</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RATIO OF EARNINGS TO FIXED CHARGES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31">
              <w:r>
                <w:rPr>
                  <w:rFonts w:ascii="Arial" w:cs="Arial" w:eastAsia="Arial" w:hAnsi="Arial"/>
                  <w:sz w:val="18"/>
                  <w:szCs w:val="18"/>
                  <w:u w:val="single" w:color="auto"/>
                  <w:color w:val="0000EE"/>
                  <w:w w:val="79"/>
                </w:rPr>
                <w:t>5</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USE OF PROCEEDS</w:t>
              </w:r>
            </w:hyperlink>
          </w:p>
        </w:tc>
        <w:tc>
          <w:tcPr>
            <w:tcW w:w="640" w:type="dxa"/>
            <w:vAlign w:val="bottom"/>
          </w:tcPr>
          <w:p>
            <w:pPr>
              <w:jc w:val="center"/>
              <w:spacing w:after="0"/>
              <w:rPr>
                <w:rFonts w:ascii="Arial" w:cs="Arial" w:eastAsia="Arial" w:hAnsi="Arial"/>
                <w:sz w:val="18"/>
                <w:szCs w:val="18"/>
                <w:u w:val="single" w:color="auto"/>
                <w:color w:val="0000EE"/>
                <w:w w:val="79"/>
              </w:rPr>
            </w:pPr>
            <w:hyperlink w:anchor="page32">
              <w:r>
                <w:rPr>
                  <w:rFonts w:ascii="Arial" w:cs="Arial" w:eastAsia="Arial" w:hAnsi="Arial"/>
                  <w:sz w:val="18"/>
                  <w:szCs w:val="18"/>
                  <w:u w:val="single" w:color="auto"/>
                  <w:color w:val="0000EE"/>
                  <w:w w:val="79"/>
                </w:rPr>
                <w:t>6</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PLAN OF DISTRIBUTION</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33">
              <w:r>
                <w:rPr>
                  <w:rFonts w:ascii="Arial" w:cs="Arial" w:eastAsia="Arial" w:hAnsi="Arial"/>
                  <w:sz w:val="18"/>
                  <w:szCs w:val="18"/>
                  <w:u w:val="single" w:color="auto"/>
                  <w:color w:val="0000EE"/>
                  <w:w w:val="79"/>
                </w:rPr>
                <w:t>7</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DESCRIPTION OF COMMON STOCK</w:t>
              </w:r>
            </w:hyperlink>
          </w:p>
        </w:tc>
        <w:tc>
          <w:tcPr>
            <w:tcW w:w="640" w:type="dxa"/>
            <w:vAlign w:val="bottom"/>
          </w:tcPr>
          <w:p>
            <w:pPr>
              <w:jc w:val="center"/>
              <w:spacing w:after="0"/>
              <w:rPr>
                <w:rFonts w:ascii="Arial" w:cs="Arial" w:eastAsia="Arial" w:hAnsi="Arial"/>
                <w:sz w:val="18"/>
                <w:szCs w:val="18"/>
                <w:u w:val="single" w:color="auto"/>
                <w:color w:val="0000EE"/>
                <w:w w:val="79"/>
              </w:rPr>
            </w:pPr>
            <w:hyperlink w:anchor="page35">
              <w:r>
                <w:rPr>
                  <w:rFonts w:ascii="Arial" w:cs="Arial" w:eastAsia="Arial" w:hAnsi="Arial"/>
                  <w:sz w:val="18"/>
                  <w:szCs w:val="18"/>
                  <w:u w:val="single" w:color="auto"/>
                  <w:color w:val="0000EE"/>
                  <w:w w:val="79"/>
                </w:rPr>
                <w:t>9</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PREFERRED STOCK</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10</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DESCRIPTION OF DEBT SECURITIES</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38">
              <w:r>
                <w:rPr>
                  <w:rFonts w:ascii="Arial" w:cs="Arial" w:eastAsia="Arial" w:hAnsi="Arial"/>
                  <w:sz w:val="18"/>
                  <w:szCs w:val="18"/>
                  <w:u w:val="single" w:color="auto"/>
                  <w:color w:val="0000EE"/>
                  <w:w w:val="89"/>
                </w:rPr>
                <w:t>12</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WARRANTS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18</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RIGHTS</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19</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UNITS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21</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CERTAIN PROVISIONS OF DELAWARE LAW AND OF THE COMPANY’S CERTIFICATE OF INCORPORATION AND BYLAWS</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22</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MATTERS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24</w:t>
              </w:r>
            </w:hyperlink>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EXPERTS</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24</w:t>
              </w:r>
            </w:hyperlink>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WHERE YOU CAN FIND MORE INFORMATION</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24</w:t>
              </w:r>
            </w:hyperlink>
          </w:p>
        </w:tc>
      </w:tr>
      <w:tr>
        <w:trPr>
          <w:trHeight w:val="230"/>
        </w:trPr>
        <w:tc>
          <w:tcPr>
            <w:tcW w:w="106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DOCUMENTS BY REFERENCE</w:t>
              </w:r>
            </w:hyperlink>
          </w:p>
        </w:tc>
        <w:tc>
          <w:tcPr>
            <w:tcW w:w="640" w:type="dxa"/>
            <w:vAlign w:val="bottom"/>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24</w:t>
              </w:r>
            </w:hyperlink>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document consists of two parts. The first part is this prospectus supplement, which describes the specific terms of the offering and other matters relating to us. The second part is the accompanying prospectus, which provides more general information about the securities we may offer from time to time, some of which may not apply to this offering of Common Stock and pre-funded warrants (and the shares of Common Stock underlying such pre-funded warrants).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 “Where You Can Find More Information” in this prospectus supplement and the accompanying prospectus before making an investment decision.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authorized any person to provide you with any information or to make any representation other than as contained in this prospectus supplement or in the accompanying prospectus and the information incorporated by reference herein and therein. We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and pre-funded warrants (and the shares of Common Stock underlying such pre-funded warrants) in certain jurisdictions may be restricted by law. We are not making an offer of the Common Stock and pre-funded warrants (and the shares of Common Stock underlying such pre-funded warrants)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supplement and the base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2018,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base prospectus, as updated and supplemented by the discussion of risks and uncertainties under “Risk Factors” contained in any supplements to this prospectus supplement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and the base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790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t>PROSPECTUS SUPPLEMENT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S-4.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51 locations, consisting of 46 domestic and 5 international locations as of September 30, 2019.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cash, cash equivalents and marketable securities of approximately $2,184,000.</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estimated cash, cash equivalents, and marketable securities as of December 31, 2019 are preliminary and may change, are based on information available to management as of the date of this prospectus supplement, and are subject to completion by management of the financial statements as of and for the year ended December 31, 2019. There can be no assurance that our cash, cash equivalents, and marketable securities as of December 31, 2019 will not differ from these estimates, including as a result of quarter-end closing and any such changes could be material.</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preliminary financial data has been prepared by, and is the responsibility of, our management. This data could change as a result of further review. Complete annual results will be included in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00" w:top="1134" w:right="399" w:bottom="1440" w:gutter="0" w:footer="0" w:header="0"/>
        </w:sectPr>
      </w:pPr>
    </w:p>
    <w:bookmarkStart w:id="6" w:name="page7"/>
    <w:bookmarkEnd w:id="6"/>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10020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00203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Effects of Coronavirus on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March 24, 2020, we had temporarily closed all global spa locations, largely due to the categorization of such spa locations by local jurisdictions as “non-essential services” in connection with the recent outbreak of the novel coronavirus (“COVID-19”). We intend to reopen our spa locations and resume normal operations once such restrictions are lifted and airport traffic returns to sufficient levels to support such operations. On March 25, 2020, we announced that, during such period as we remain unable to reopen our spa locations for normal operations, we were advancing conversations with certain COVID-19 testing partners to develop a model for testing in U.S. airports.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to many businesses in the travel sector, our business has been materially adversely impacted by the recent coronavirus outbreak and associated restrictions on travel that have been implemented.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the coronavirus has spread, we have seen a material decline in demand across all our locations and this has resulted in a materially adverse impact on our cash flows from operations and has caused an immediate liquidity crisis. Accordingly, we are seeking sources of capital to help fund our business operations during the coronavirus crisis. If we are unable to obtain additional funding in the immediate term, we may be required to curtail or terminate some or all of our business operations and cause our Board of Directors to decide to pursue a restructuring, which may include a reorganization or bankruptcy under Federal bankruptcy laws, or a dissolution, liquidation and/or winding up of the Company. Accordingly, holders of our common stock may lose their entire investment in the event of a reorganization, bankruptcy, liquidation, dissolution or winding up of the Company.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exploring sources of capital, including additional indebtedness. We have had discussions with our existing lender, B3D, LLC, and additional lenders regarding potential funding options. If additional indebtedness becomes available from sources other than B3D, LLC, the consent of B3D, LLC as our secured lender will be required and, based on past experience, we expect to be required to pay a consent fee to B3D, LLC as consideration for their consent.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March 19, 2020, we entered into separate Warrant Exchange Agreements (the “Exchange Agreements”) with the holders of certain existing warrants (the “Exchanged Warrants”) to purchase shares of our Common Stock. The Exchanged Warrants were originally issued (i) pursuant to a securities purchase agreement, dated as of May 15, 2018, and in connection with a related consent and (ii) </w:t>
      </w:r>
      <w:r>
        <w:rPr>
          <w:rFonts w:ascii="Arial" w:cs="Arial" w:eastAsia="Arial" w:hAnsi="Arial"/>
          <w:sz w:val="16"/>
          <w:szCs w:val="16"/>
          <w:color w:val="auto"/>
          <w:highlight w:val="white"/>
        </w:rPr>
        <w:t>in connection with that certain Agreement and Plan of</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Merger by and among the Company (formerly known as FORM Holdings Corp.), FHXMS, LLC, XpresSpa Holdings, LLC and Mistral XH Representative, LLC, as representative of the unitholders, dated October 25, 2016, as subsequently amended. </w:t>
      </w:r>
      <w:r>
        <w:rPr>
          <w:rFonts w:ascii="Arial" w:cs="Arial" w:eastAsia="Arial" w:hAnsi="Arial"/>
          <w:sz w:val="16"/>
          <w:szCs w:val="16"/>
          <w:color w:val="auto"/>
        </w:rPr>
        <w:t>The Company has begun discussion with</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Calm.com, Inc. (“Calm”), regarding the potential exchange of warrants held by Calm that were issued pursuant to a securities purchase agreement, dated as of July 8, 2019, by and between the Company and Calm. Pursuant to the Exchange Agreements, on the closing date and subject to (i) the </w:t>
      </w:r>
      <w:r>
        <w:rPr>
          <w:rFonts w:ascii="Arial" w:cs="Arial" w:eastAsia="Arial" w:hAnsi="Arial"/>
          <w:sz w:val="16"/>
          <w:szCs w:val="16"/>
          <w:color w:val="auto"/>
          <w:highlight w:val="white"/>
        </w:rPr>
        <w:t>receipt of</w:t>
      </w:r>
      <w:r>
        <w:rPr>
          <w:rFonts w:ascii="Arial" w:cs="Arial" w:eastAsia="Arial" w:hAnsi="Arial"/>
          <w:sz w:val="16"/>
          <w:szCs w:val="16"/>
          <w:color w:val="auto"/>
        </w:rPr>
        <w:t xml:space="preserve"> </w:t>
      </w:r>
      <w:r>
        <w:rPr>
          <w:rFonts w:ascii="Arial" w:cs="Arial" w:eastAsia="Arial" w:hAnsi="Arial"/>
          <w:sz w:val="16"/>
          <w:szCs w:val="16"/>
          <w:color w:val="auto"/>
          <w:highlight w:val="white"/>
        </w:rPr>
        <w:t>approval of our stockholders as required by the applicable rules and regulations of the Nasdaq Stock Market and (ii) the receipt of approval of our stockholders to increase our authorized shares (collectively, the “Shareholder Approval”)</w:t>
      </w:r>
      <w:r>
        <w:rPr>
          <w:rFonts w:ascii="Arial" w:cs="Arial" w:eastAsia="Arial" w:hAnsi="Arial"/>
          <w:sz w:val="16"/>
          <w:szCs w:val="16"/>
          <w:color w:val="auto"/>
        </w:rPr>
        <w:t>, the holders of Exchanged Warrants would exchange (the</w:t>
      </w:r>
      <w:r>
        <w:rPr>
          <w:rFonts w:ascii="Arial" w:cs="Arial" w:eastAsia="Arial" w:hAnsi="Arial"/>
          <w:sz w:val="16"/>
          <w:szCs w:val="16"/>
          <w:color w:val="auto"/>
          <w:highlight w:val="white"/>
        </w:rPr>
        <w:t xml:space="preserve"> </w:t>
      </w:r>
      <w:r>
        <w:rPr>
          <w:rFonts w:ascii="Arial" w:cs="Arial" w:eastAsia="Arial" w:hAnsi="Arial"/>
          <w:sz w:val="16"/>
          <w:szCs w:val="16"/>
          <w:color w:val="auto"/>
        </w:rPr>
        <w:t>“Exchange”) each Exchanged Warrant for a number of shares of Common Stock equal to the product of (i) the number of shares of Common Stock underlying such Exchanged Warrants and (ii) 1.5 (collectively, the “New Shares”). The closing of the Exchange is expected to take place on the first business day on which the conditions to the closing are satisfied or waived, subject to satisfaction of customary closing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Amendment to Credit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“Credit Agreement Amendment”) to its existing credit agreement with B3D, LLC (“B3D”). In connection with the Credit Agreement Amendment and B3D Note (as defined below), B3D agreed to provide us with $500,000 in additional funding and to submit conversion notices to convert (i) an aggregate of $375,000 in principal under the B3D Note to Common Stock on March 6, 2020 and (ii) an additional aggregate of $375,000 in principal under the B3D Note to Common Stock on or prior to March 27, 2020. Holdings entered into the Credit Agreement Amendment in order to, among other provisions, to (i) amend and restate its existing convertible promissory note (the “B3D Note”) in order to increase the principal amount owed to B3D from $7.15 million to $7.9 million, which additional $750,000 in principal and any interest accrued thereon will be convertible, at B3D’s option, into shares of Common Stock; provided, however, that the additional $750,000 in principal and any interest accrued thereon shall neither be convertible into Common Stock nor interest payable in Common Stock prior to receipt of the approval of the Company’s stockholders in accordance with applicable law and the rules and regulations of the Nasdaq Stock Market and (ii) decrease the conversion rate under the B3D Note from $2.00 per share to $0.56 per share, pursuant to the authority of our Board of Directors to voluntarily reduce the conversion rate in its discretion, which was previously approved by our stockholders on October 2,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19, 2020, we entered into a Securities Purchase Agreement with certain purchasers named therein, pursuant to which we issued and sold, in a registered direct offering, (i) 4,153,383 shares of our Common Stock at an offering price of $0.175 per share and (ii) an aggregate of 2,132,333 pre-funded warrants exercisable for shares of Common Stock at an offering price of $0.165 per pre-funded warrant. We received gross proceeds of approximately $1.1 million in connection with this offering, before deducting financial advisory consultant fees and related offering expenses.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25, 2020, we entered into a Securities Purchase Agreement with certain purchasers named therein, pursuant to which we issued and sold, in a registered direct offering, (i) 7,450,000 shares of Common Stock at an offering price of $0.20 per share and (ii) an aggregate of 1,500,000 pre-funded warrants exercisable for shares of Common Stock at an offering price of $0.19 per pre-funded warrant. We received gross proceeds of approximately $1.79 million in connection with this offering, before deducting financial advisory consultant fees and related offering expenses.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27, 2020, we entered into a Securities Purchase Agreement with certain purchasers named therein, pursuant to which we issued and sold, in a registered direct offering (i) 7,895,000 shares of Common Stock at an offering price of $0.20 per share and (ii) an aggregate of 2,105,000 pre-funded warrants exercisable for shares of Common Stock at an offering price of $0.19 per pre-funded warrant. We received gross proceeds of approximately $2.0 million in connection with this offering, before deducting financial advisory consultant fees and related offering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Departure and Appointment</w:t>
      </w:r>
    </w:p>
    <w:p>
      <w:pPr>
        <w:sectPr>
          <w:pgSz w:w="11900" w:h="16881" w:orient="portrait"/>
          <w:cols w:equalWidth="0" w:num="1">
            <w:col w:w="11100"/>
          </w:cols>
          <w:pgMar w:left="400" w:top="1138" w:right="399" w:bottom="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544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544955"/>
                    </a:xfrm>
                    <a:prstGeom prst="rect">
                      <a:avLst/>
                    </a:prstGeom>
                    <a:noFill/>
                  </pic:spPr>
                </pic:pic>
              </a:graphicData>
            </a:graphic>
          </wp:anchor>
        </w:drawing>
        <w:t>On April 1, 2020, Andrew Heyer resigned as a member of our Board of Directors and from all committees of the Board of Directors on which he serves, effective as of that date. Effective as of April 6, 2020, Michael Lebowitz was appointed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23495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341"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887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t>THE OFFERING</w:t>
      </w:r>
    </w:p>
    <w:p>
      <w:pPr>
        <w:sectPr>
          <w:pgSz w:w="11900" w:h="16838" w:orient="portrait"/>
          <w:cols w:equalWidth="0" w:num="1">
            <w:col w:w="11080"/>
          </w:cols>
          <w:pgMar w:left="400" w:top="1134" w:right="419" w:bottom="1440" w:gutter="0" w:footer="0" w:header="0"/>
        </w:sect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Stock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12,418,179 shares.</w:t>
      </w:r>
    </w:p>
    <w:p>
      <w:pPr>
        <w:spacing w:after="0" w:line="475" w:lineRule="exact"/>
        <w:rPr>
          <w:sz w:val="20"/>
          <w:szCs w:val="20"/>
          <w:color w:val="auto"/>
        </w:rPr>
      </w:pPr>
    </w:p>
    <w:p>
      <w:pPr>
        <w:sectPr>
          <w:pgSz w:w="11900" w:h="16838" w:orient="portrait"/>
          <w:cols w:equalWidth="0" w:num="2">
            <w:col w:w="1120" w:space="320"/>
            <w:col w:w="9640"/>
          </w:cols>
          <w:pgMar w:left="400" w:top="1134" w:right="419" w:bottom="1440" w:gutter="0" w:footer="0" w:header="0"/>
          <w:type w:val="continuous"/>
        </w:sectPr>
      </w:pPr>
    </w:p>
    <w:p>
      <w:pPr>
        <w:spacing w:after="0" w:line="342" w:lineRule="auto"/>
        <w:rPr>
          <w:sz w:val="20"/>
          <w:szCs w:val="20"/>
          <w:color w:val="auto"/>
        </w:rPr>
      </w:pPr>
      <w:r>
        <w:rPr>
          <w:rFonts w:ascii="Arial" w:cs="Arial" w:eastAsia="Arial" w:hAnsi="Arial"/>
          <w:sz w:val="16"/>
          <w:szCs w:val="16"/>
          <w:color w:val="auto"/>
        </w:rPr>
        <w:t>Pre-funded warrants offered</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We are also offering pre-funded warrants to purchase 1,445,454 shares of Common Stock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in lieu of shares of Common Stock that would otherwise result in each such purchaser’s beneficial ownership exceeding 4.99% (or, at the election of the purchaser, 9.99%) of our outstanding Common Stock. Each pre-funded warrant is exercisable for one share of our Common Stock. The purchase price of each pre-funded warrant is equal to the price at which the share of Common Stock is being sold to the public in this offering, minus $0.01, and the exercise price of each pre-funded warrant is $0.01 per share. The pre-funded warrants are exercisable immediately and may be exercised at any time until all of the pre-funded warrants are exercised in full. This offering also relates to the shares of Common Stock issuable upon exercise of the pre-funded warrants sold in this offering.</w:t>
      </w:r>
    </w:p>
    <w:p>
      <w:pPr>
        <w:spacing w:after="0" w:line="185" w:lineRule="exact"/>
        <w:rPr>
          <w:sz w:val="20"/>
          <w:szCs w:val="20"/>
          <w:color w:val="auto"/>
        </w:rPr>
      </w:pPr>
    </w:p>
    <w:p>
      <w:pPr>
        <w:sectPr>
          <w:pgSz w:w="11900" w:h="16838" w:orient="portrait"/>
          <w:cols w:equalWidth="0" w:num="2">
            <w:col w:w="1180" w:space="260"/>
            <w:col w:w="9640"/>
          </w:cols>
          <w:pgMar w:left="400" w:top="1134" w:right="419" w:bottom="1440" w:gutter="0" w:footer="0" w:header="0"/>
          <w:type w:val="continuous"/>
        </w:sectPr>
      </w:pPr>
    </w:p>
    <w:p>
      <w:pPr>
        <w:spacing w:after="0" w:line="311" w:lineRule="auto"/>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75,333,105 shares (assuming no exercise of the pre-funded warrants). Assuming all of the pre-funded warrants were immediately exercised, there would be 76,778,559 shares of our Common Stock outstanding after this offering.</w:t>
      </w:r>
    </w:p>
    <w:p>
      <w:pPr>
        <w:spacing w:after="0" w:line="386" w:lineRule="exact"/>
        <w:rPr>
          <w:sz w:val="20"/>
          <w:szCs w:val="20"/>
          <w:color w:val="auto"/>
        </w:rPr>
      </w:pPr>
    </w:p>
    <w:p>
      <w:pPr>
        <w:sectPr>
          <w:pgSz w:w="11900" w:h="16838" w:orient="portrait"/>
          <w:cols w:equalWidth="0" w:num="2">
            <w:col w:w="1280" w:space="160"/>
            <w:col w:w="9640"/>
          </w:cols>
          <w:pgMar w:left="400" w:top="1134" w:right="41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expect to receive net proceeds of approximately $2,741,545 from this offering, excluding any proceeds that may be received upon the exercise of the pre-funded warrants, after deducting the estimated offering expenses payable by us, including the financial advisory consultant fees. We intend to use the net proceeds from this offering for general corporate purposes. See “Use of Proceeds.”</w:t>
      </w:r>
    </w:p>
    <w:p>
      <w:pPr>
        <w:spacing w:after="0" w:line="187" w:lineRule="exact"/>
        <w:rPr>
          <w:sz w:val="20"/>
          <w:szCs w:val="20"/>
          <w:color w:val="auto"/>
        </w:rPr>
      </w:pPr>
    </w:p>
    <w:p>
      <w:pPr>
        <w:sectPr>
          <w:pgSz w:w="11900" w:h="16838" w:orient="portrait"/>
          <w:cols w:equalWidth="0" w:num="2">
            <w:col w:w="1160" w:space="280"/>
            <w:col w:w="9640"/>
          </w:cols>
          <w:pgMar w:left="400" w:top="1134" w:right="419" w:bottom="1440" w:gutter="0" w:footer="0" w:header="0"/>
          <w:type w:val="continuous"/>
        </w:sectPr>
      </w:pPr>
    </w:p>
    <w:p>
      <w:pPr>
        <w:jc w:val="both"/>
        <w:spacing w:after="0" w:line="342" w:lineRule="auto"/>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Our Common Stock is listed on Nasdaq under the symbol “XSPA”. We do not intend to list the pre-funded warrants on any securities exchange or nationally recognized trading system.</w:t>
      </w:r>
    </w:p>
    <w:p>
      <w:pPr>
        <w:spacing w:after="0" w:line="170" w:lineRule="exact"/>
        <w:rPr>
          <w:sz w:val="20"/>
          <w:szCs w:val="20"/>
          <w:color w:val="auto"/>
        </w:rPr>
      </w:pPr>
    </w:p>
    <w:p>
      <w:pPr>
        <w:sectPr>
          <w:pgSz w:w="11900" w:h="16838" w:orient="portrait"/>
          <w:cols w:equalWidth="0" w:num="2">
            <w:col w:w="1100" w:space="340"/>
            <w:col w:w="9640"/>
          </w:cols>
          <w:pgMar w:left="400" w:top="1134" w:right="4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Investing in our securities involves a high degree of risk. See “Risk Factors” on page S-4 of this prospectus supplement to read about factors you should consider carefully before buying shares of our Common Stock.</w:t>
      </w:r>
    </w:p>
    <w:p>
      <w:pPr>
        <w:spacing w:after="0" w:line="170" w:lineRule="exact"/>
        <w:rPr>
          <w:sz w:val="20"/>
          <w:szCs w:val="20"/>
          <w:color w:val="auto"/>
        </w:rPr>
      </w:pPr>
    </w:p>
    <w:p>
      <w:pPr>
        <w:sectPr>
          <w:pgSz w:w="11900" w:h="16838" w:orient="portrait"/>
          <w:cols w:equalWidth="0" w:num="2">
            <w:col w:w="860" w:space="580"/>
            <w:col w:w="9640"/>
          </w:cols>
          <w:pgMar w:left="400" w:top="1134" w:right="4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Common Stock that will be outstanding after this offering is based on 62,914,926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6, 2020, and also excludes:</w:t>
      </w:r>
    </w:p>
    <w:p>
      <w:pPr>
        <w:spacing w:after="0" w:line="211" w:lineRule="exact"/>
        <w:rPr>
          <w:sz w:val="20"/>
          <w:szCs w:val="20"/>
          <w:color w:val="auto"/>
        </w:rPr>
      </w:pPr>
    </w:p>
    <w:p>
      <w:pPr>
        <w:ind w:left="660" w:hanging="33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2,406,239 shares of Common Stock issuable as of the date hereof upon the conversion of preferred stock outstanding as of April 6, 2020;</w:t>
      </w:r>
    </w:p>
    <w:p>
      <w:pPr>
        <w:spacing w:after="0" w:line="236" w:lineRule="exact"/>
        <w:rPr>
          <w:rFonts w:ascii="Arial" w:cs="Arial" w:eastAsia="Arial" w:hAnsi="Arial"/>
          <w:sz w:val="17"/>
          <w:szCs w:val="17"/>
          <w:color w:val="auto"/>
        </w:rPr>
      </w:pPr>
    </w:p>
    <w:p>
      <w:pPr>
        <w:ind w:left="660" w:hanging="33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40,414,493 shares of Common Stock issuable as of the date hereof upon the conversion of indebtedness outstanding as of April 6, 2020;</w:t>
      </w:r>
    </w:p>
    <w:p>
      <w:pPr>
        <w:spacing w:after="0" w:line="236" w:lineRule="exact"/>
        <w:rPr>
          <w:rFonts w:ascii="Arial" w:cs="Arial" w:eastAsia="Arial" w:hAnsi="Arial"/>
          <w:sz w:val="17"/>
          <w:szCs w:val="17"/>
          <w:color w:val="auto"/>
        </w:rPr>
      </w:pPr>
    </w:p>
    <w:p>
      <w:pPr>
        <w:ind w:left="660" w:right="20" w:hanging="33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25,863,878 shares of Common Stock issuable as of the date hereof upon the exercise of common stock warrants outstanding as of April 6, 2020 at a weighted average exercise price of $0.175 per share;</w:t>
      </w:r>
    </w:p>
    <w:p>
      <w:pPr>
        <w:spacing w:after="0" w:line="170" w:lineRule="exact"/>
        <w:rPr>
          <w:rFonts w:ascii="Arial" w:cs="Arial" w:eastAsia="Arial" w:hAnsi="Arial"/>
          <w:sz w:val="18"/>
          <w:szCs w:val="18"/>
          <w:color w:val="auto"/>
        </w:rPr>
      </w:pPr>
    </w:p>
    <w:p>
      <w:pPr>
        <w:ind w:left="660" w:right="20" w:hanging="33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162,250 shares of Common Stock issuable as of the date hereof upon the exercise of stock options outstanding as of April 6, 2020 at a weighted average exercise price of $16.40 per share; and</w:t>
      </w:r>
    </w:p>
    <w:p>
      <w:pPr>
        <w:spacing w:after="0" w:line="170" w:lineRule="exact"/>
        <w:rPr>
          <w:rFonts w:ascii="Arial" w:cs="Arial" w:eastAsia="Arial" w:hAnsi="Arial"/>
          <w:sz w:val="18"/>
          <w:szCs w:val="18"/>
          <w:color w:val="auto"/>
        </w:rPr>
      </w:pPr>
    </w:p>
    <w:p>
      <w:pPr>
        <w:ind w:left="660" w:hanging="33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2,249,069 shares of Common Stock available for future issuance under the 2012 Employee, Director and Consultant Equity Incentive Plan, as amended, as of April 6,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this prospectus supplement assumes no exercise of the pre-funded warrants.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00" w:top="1134" w:right="41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and discussed under the section entitled “Risk Factors” contained in our Annual Report on Form 10-K for the year ended December 31, 2018, which is incorporated by reference in this prospectus supplement, together with all of the other information contained in, or incorporated by reference, in this prospectus supplement and the accompanying prospectus, before purchasing any of our securities. These risks and uncertainties are not the only ones facing us. Additional risks and uncertainties that we are unaware of, or that we currently deem immaterial, also may become important factors that affect us. If any of these risks actually occur, our business, financial condition, results of operations and future prospects could be materially and adversely affected. In that case, the trading price of our Common Stock could decline, and you may lose some or all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need additional financing to fund our operations in the future. If we are unable to obtain additional financing on acceptable terms, we will need to curtail or cease our business plans and operations.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have sufficient capital to fund our operations in the long term. As a result, we will need to raise additional capital and/or complete a strategic combination. Additional funds may be raised through the issuance of equity securities and/or debt financing, there being no assurance that any type of financing on terms acceptable to us will be available or otherwise occur. Debt financing must be repaid regardless of whether we generate revenues or cash flows from operations and may be secured by substantially all of our assets. Any equity financing or debt financing that requires the issuance of warrants or other equity securities to the lender would cause the percentage ownership by our current stockholders to be diluted, which dilution may be substantial. Also, any additional equity securities issued may have rights, preferences or privileges senior to those of existing stockholders. If such financing is not available when required or is not available on acceptable terms, we may be required to reduce or eliminate certain business activities, and it may ultimately require us to suspend or cease operations, which could cause investors to lose the entire amount of their investment.</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process to identify and evaluate potential business alternatives is not successful, our Board of Directors may decide to pursue a restructuring, which may include a reorganization or bankruptcy under Federal bankruptcy laws, or a dissolution, liquidation and/or winding up of the Company.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the process to identify and evaluate potential business alternatives will result in a successful alternative for our business. If no transactions with respect to potential business alternatives are identified and completed, our Board of Directors may decide to pursue a restructuring, which may include a reorganization or bankruptcy under Federal bankruptcy laws, or a dissolution, liquidation and/or winding up of the Company. If our Board of Directors were to approve and recommend, and our stockholders were to approve, a dissolution and liquidation of our company, we would be required under Delaware corporate law to pay our outstanding obligations, as well as to make reasonable provisions for contingent and unknown obligations, prior to making any distributions in liquidation to our stockholders. Our commitments and contingent liabilities may include (i) obligations under our employment agreements with certain members of management that provide for severance and other payments following a termination of employment occurring for various reasons, including a change in control of our Company, (ii) various claims and legal actions arising in the ordinary course of business and (iii) non-cancelable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may lose their entire investment in the event of a reorganization, bankruptcy, liquidation, dissolution or winding up of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has been and may continue to be materially adversely impacted by public health epidemics, including the recent coronavirus outbreak.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will experience immediate and substantial dilution in the net tangible book value per share of the Common Stock you purchase.</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As of September 30, 2019, our net tangible book value was approximately $(2,821,000), or $(0.967) per share. As discussed in greater detail in the “Dilution” section of this prospectus supplement, based on a weighted average offering price of $0.219 per share of Common Stock and Pre-Funded Warrant, and our pro forma net tangible book value as of September 30, 2019, if you purchase securities in this offering, you will suffer immediate and substantial dilution of $0.165 per share with respect to the net tangible book value of our Common Stock and, assuming all of the pre-funded warrants to purchase 1,445,454 shares of our Common Stock were immediately exercised for cash at an exercise price of $0.01 per share, you would suffer immediate and substantial dilution of $0.165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public market for the pre-funded warrants being offered in this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Nasdaq. Without an active market, the liquidity of the pre-funded warrants will be limited.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Holders of pre-funded warrants purchased in this offering will have no rights as common stockholders until such holders exercise such pre-funded warrants and acquire our Common Stock.</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Until holders of pre-funded warrants acquire shares of our Common Stock upon exercise of such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have a significant number of outstanding warrants, some of which contain full-ratchet anti-dilution protection, which may cause significant dilution to our stockholders, have a material adverse impact on the market price of our Common Stock and make it more difficult for us to raise funds through future equity offerings.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6, 2020, we had 62,914,926 shares of Common Stock outstanding. In addition, as of that date we had outstanding warrants to acquire up to 25,863,878 shares of Common Stock. The issuance of shares of Common Stock upon the exercise of warrants would dilute the percentage ownership interest of all stockholders, might dilute the book value per share of our Common Stock and would increase the number of our publicly traded shares, which could depress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7"/>
          <w:szCs w:val="17"/>
          <w:color w:val="auto"/>
        </w:rPr>
        <w:t>Historically, certain of our outstanding warrants contain full-ratchet anti-dilution provisions which, subject to limited exceptions, would reduce the exercise price of the warrants (and increase the number of shares issuable) in the event that we in the future issue Common Stock, or securities convertible into or exercisable to purchase Common Stock at a price per share lower than the exercise price then in effect, to such lower price. The offering of our securities in connection with a prospectus supplement dated March 19, 2020, triggered such full-ratchet anti-dilution provisions in the instruments listed below and reduced the exercise price or conversion price, as the case may be, of each such warrant, convertible note or convertible preferred stock, as the case may be, to $0.175 per share. Because this offering relates to the sale of Common Stock at a purchase price per share that is above the current exercise price of each of the warrants described below, this offering does not trigger the full-ratchet anti-dilution provisions contained in such instruments; however, such full-ratchet anti-dilution provisions could be triggered in connection with future offerings.</w:t>
      </w:r>
    </w:p>
    <w:p>
      <w:pPr>
        <w:spacing w:after="0" w:line="178" w:lineRule="exact"/>
        <w:rPr>
          <w:sz w:val="20"/>
          <w:szCs w:val="20"/>
          <w:color w:val="auto"/>
        </w:rPr>
      </w:pPr>
    </w:p>
    <w:p>
      <w:pPr>
        <w:jc w:val="both"/>
        <w:ind w:left="680" w:right="2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May 15, 2018, we entered into a securities purchase agreement with certain purchasers, pursuant to which we agreed to issue Class A Warrants to purchase shares of Common Stock, at an exercise price that was subsequently reduced to $0.175 per share (the “Class A Warrants”). The Class A Warrants contain anti-dilution price protection.</w:t>
      </w:r>
    </w:p>
    <w:p>
      <w:pPr>
        <w:spacing w:after="0" w:line="183" w:lineRule="exact"/>
        <w:rPr>
          <w:rFonts w:ascii="Arial" w:cs="Arial" w:eastAsia="Arial" w:hAnsi="Arial"/>
          <w:sz w:val="18"/>
          <w:szCs w:val="18"/>
          <w:color w:val="auto"/>
        </w:rPr>
      </w:pPr>
    </w:p>
    <w:p>
      <w:pPr>
        <w:jc w:val="both"/>
        <w:ind w:left="680" w:right="20" w:hanging="335"/>
        <w:spacing w:after="0" w:line="254"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July 8, 2019, we entered into a securities purchase agreement with Calm.com, Inc., pursuant to which we agreed to sell (i) an aggregate principal amount of $2,500,000 in 5.00% unsecured convertible Notes due 2022 (the “Calm Note”), which are convertible into shares of Series E Convertible Preferred Stock, which shares of Series E Convertible Preferred Stock are convertible into Common Stock and (ii) warrants to purchase 937,500 shares of the Common Stock at an exercise price that was subsequently reduced to $0.175 per share (the “Calm Warrants”). The Calm Note is currently convertible into shares of Series E Convertible Preferred Stock that are convertible into 14,285,715 shares of Common Stock, and the Calm Warrants are currently convertible into 10,714,286 shares of Common Stock. The Calm Note and Calm Warrants contain anti-dilution price protection.</w:t>
      </w:r>
    </w:p>
    <w:p>
      <w:pPr>
        <w:spacing w:after="0" w:line="194"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July 8, 2019, we entered into an amendment to certain outstanding warrants issued in December 2016 (the “December 2016 Warrants”), in order to, among other things, reduce the exercise price of such warrants, which exercise price was subsequently reduced to $0.175 per share. The December 2016 Warrants contain anti-dilution price protection.</w:t>
      </w:r>
    </w:p>
    <w:p>
      <w:pPr>
        <w:spacing w:after="0" w:line="183" w:lineRule="exact"/>
        <w:rPr>
          <w:rFonts w:ascii="Arial" w:cs="Arial" w:eastAsia="Arial" w:hAnsi="Arial"/>
          <w:sz w:val="18"/>
          <w:szCs w:val="18"/>
          <w:color w:val="auto"/>
        </w:rPr>
      </w:pPr>
    </w:p>
    <w:p>
      <w:pPr>
        <w:jc w:val="both"/>
        <w:ind w:left="680" w:right="20" w:hanging="335"/>
        <w:spacing w:after="0" w:line="257"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March 6, 2020, we entered into a sixth amendment to our existing credit agreement with B3D, LLC (“B3D”) in order to, among other provisions, amend and restate our existing convertible promissory note (the “B3D Note”) in order to increase the principal amount owed to B3D to $7.9 million. B3D may convert up to $7.0 million in principal and the interest accrued thereon into shares of Common Stock at its option at a conversion price that was subsequently reduced to $0.175 per share. The B3D Note is currently convertible into 26,128,778 shares of Common Stock. The B3D Note contains anti-dilution price protection.</w:t>
      </w:r>
    </w:p>
    <w:p>
      <w:pPr>
        <w:spacing w:after="0" w:line="187"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8, 2019, we issued shares of Series F Convertible Preferred Stock, which features a conversion price that was subsequently reduced to $0.175. The shares of Series F Convertible Preferred Stock currently outstanding are convertible into an aggregate of 874,858 shares of Common Stock. The Series F Convertible Preferred Stock contains anti-dilution price protection.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dilutive effects described above, the perceived risk of dilution as a result of the significant number of outstanding warrants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stockholders and warrant holders can sell substantial amounts of our Common Stock in the public market, whether or not sales have occurred or are occurring, as well as the existence of full-ratchet anti-dilution provisions in our warrants, could make it more difficult for us to raise additional funds through the sale of equity or equity-related securities in the future at a time and price that we deem reasonable or appropriate, or at all.</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sell shares of our Common Stock in future financings, stockholders may experience immediate dilution and, as a result, our stock price may decline.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right="20"/>
        <w:spacing w:after="0" w:line="282" w:lineRule="auto"/>
        <w:rPr>
          <w:sz w:val="20"/>
          <w:szCs w:val="20"/>
          <w:color w:val="auto"/>
        </w:rPr>
      </w:pPr>
      <w:r>
        <w:rPr>
          <w:rFonts w:ascii="Arial" w:cs="Arial" w:eastAsia="Arial" w:hAnsi="Arial"/>
          <w:sz w:val="18"/>
          <w:szCs w:val="18"/>
          <w:b w:val="1"/>
          <w:bCs w:val="1"/>
          <w:color w:val="auto"/>
        </w:rPr>
        <w:t>We will have broad discretion in how we use the net proceeds of this offering. We may not use these proceeds effectively, which could affect our results of operations and cause our stock price to decline.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have considerable discretion in the application of the net proceeds of this offering, including for any of the purposes described in the section entitled “Use of Proceeds.” We intend to use the net proceeds from this offering for general corporate purposes.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be sustained.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subject to substantial volatility, and stockholders may lose all or a substantial part of their investment.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meet the continued listing requirements of The Nasdaq Capital Market could result in a delisting of our Common Stock.</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January 2, 2020, we received a deficiency letter from The Nasdaq Stock Market which provided us a grace period of 180 calendar days, or until June 30, 2020, to regain compliance with the minimum bid price requirement. If we fail to regain compliance on or prior to June 30, 2020, we may be eligible for an additional 180 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Common Stock becomes subject to the penny stock rules, it may be more difficult to sell our Common Stock.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we do not anticipate paying any cash dividends on our Common Stock in the foreseeable future, capital appreciation, if any, will be your sole source of gain.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earnings, if any, to finance the growth and development of our business and we do not anticipate paying any cash dividends in the foreseeable future. As a result, only appreciation of the price of our Common Stock will provide a return to our stockholders.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receive net proceeds of approximately $2,741,545 from this offering, after deducting estimated offering expenses payable by us, including the financial advisory consultant fees, and excluding the proceeds, if any, from the exercise of the pre-funded warrants issued in this offering. We intend to use the net proceeds from this offering for general corporate purposes.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expect to pay any cash dividends for the foreseeable future. We intend to use future earnings, if any, in the operation and expansion of our business. Any future determination relating to our dividend policy will be made at the discretion of our board of directors, based on our financial condition, results of operations, contractual restrictions, capital requirements, business properties, restrictions imposed by applicable law and other factors our board of directors may deem relevant.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2019, our net tangible book value was approximately $(2,821,000), or $(0.967) per share of our Common Stock. Net tangible book value per share represents the amount of our total tangible assets less our total liabilities, divided by the total number of shares of our Common Stock outstanding as of September 30, 2019.</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 forma net tangible book value as of September 30, 2019 was $1,388,769, or $0.022 per share of our Common Stock. Pro forma net tangible book value per share represents total tangible assets less total liabilities, divided by the number of shares of our Common Stock outstanding as of September 30, 2019, after giving effect to the issuance of an aggregate of (i) 34,761,041 shares of Common Stock upon conversion or exercise of existing preferred stock or indebtedness or warrants, as the case may be, and (ii) 25,235,716 shares of Common Stock issued in connection with our registered direct offerings on March 19, 2020, March 25, 2020 and March 27, 2020, in each case subsequent to September 30, 2019.</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giving effect to the issuance of (i) and (ii) in the foregoing paragraph, as well as the sale of 12,418,179 shares of our Common Stock and pre-funded warrants to purchase up to 1,445,454 shares of Common Stock in this offering at an offering price of $0.22 per share of Common Stock and $0.21 per pre-funded warrant, and after deducting estimated offering expenses payable by us, and excluding the proceeds, if any, from the exercise of the pre-funded warrants issued in this offering, our pro forma as adjusted net tangible book value as of September 30, 2019 would have been approximately $4,130,313, or $0.054 per share of Common Stock. This represents an immediate increase in pro forma as adjusted net tangible book value of $1.021 per share to our existing stockholders and immediate dilution in pro forma as adjusted net tangible book value of $0.165 per share to investors participating in this offering. The following table illustrates this dilution per share of Common Stock to investors participating in this offering: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public offering price per share and pre-funded warrant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0.219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2019</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70"/>
              <w:spacing w:after="0"/>
              <w:rPr>
                <w:sz w:val="20"/>
                <w:szCs w:val="20"/>
                <w:color w:val="auto"/>
              </w:rPr>
            </w:pPr>
            <w:r>
              <w:rPr>
                <w:rFonts w:ascii="Arial" w:cs="Arial" w:eastAsia="Arial" w:hAnsi="Arial"/>
                <w:sz w:val="18"/>
                <w:szCs w:val="18"/>
                <w:color w:val="auto"/>
              </w:rPr>
              <w:t>(0.967)</w:t>
            </w:r>
          </w:p>
        </w:tc>
        <w:tc>
          <w:tcPr>
            <w:tcW w:w="8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pro forma adjustments</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0.989</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Pro forma net tangible book value per share as of September 30, 2019</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0.022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the offering</w:t>
            </w:r>
          </w:p>
        </w:tc>
        <w:tc>
          <w:tcPr>
            <w:tcW w:w="360" w:type="dxa"/>
            <w:vAlign w:val="bottom"/>
          </w:tcPr>
          <w:p>
            <w:pPr>
              <w:spacing w:after="0"/>
              <w:rPr>
                <w:sz w:val="18"/>
                <w:szCs w:val="18"/>
                <w:color w:val="auto"/>
              </w:rPr>
            </w:pP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0.054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0.165</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illustration does not reflect the potential dilution from (i) the exercise of pre-funded warrants to purchase up to 1,445,454 shares of Common Stock and (ii) the exercise of outstanding options or warrants to purchase shares of our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all of the pre-funded warrants to purchase up to 1,445,454 shares of Common Stock were immediately exercised for cash at an exercise price of $0.01 per share, our as adjusted net tangible book value as of September 30, 2019 would be $4,144,768, or $0.054 per share of Common Stock. This amount represents an immediate increase in as adjusted net tangible book value of $0.0002 per share to our existing stockholders and an immediate dilution of $0.165 per share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offering shares of our Common Stock and pre-funded warrants. The following description of our Common Stock and pre-funded warrants summarizes the material terms and provisions thereof, including the material terms of the Common Stock and pre-funded warrants we are offering under this prospectus supplement and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Common Stock” on page 9 of the accompanying prospectus for a description of the material terms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our Current Report on Form 8-K filed with the SEC on April 6, 2020.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Each pre-funded warrant offered hereby has an initial exercise price per share equal to $0.01. The pre-funded warrants are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pre-funded warrants are exercisable, at the option of each holder, in whole or in part, by delivering to us a duly executed exercise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accompanied by payment in full for the number of shares of our Common Stock purchased upon such exercise (except in the case of a cashless exercise as discussed below). Purchasers of the pre-funded warrants in this offering may elect to deliver their exercise notice following the pricing of the offering and prior to the issuance of the pre-funded warrants at closing to have their pre-funded warrants exercised immediately upon issuance and receive shares of Common Stock underlying the pre-funded warrants upon closing of this offering.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Common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round down to the next whole share.</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pre-funded warrants, a registration statement registering the issuance of the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 pre-funded warrant may be transferred at the option of the holder upon surrender of the pre-funded warrant to</w:t>
      </w:r>
      <w:r>
        <w:rPr>
          <w:rFonts w:ascii="Arial" w:cs="Arial" w:eastAsia="Arial" w:hAnsi="Arial"/>
          <w:sz w:val="18"/>
          <w:szCs w:val="18"/>
          <w:i w:val="1"/>
          <w:iCs w:val="1"/>
          <w:color w:val="auto"/>
        </w:rPr>
        <w:t xml:space="preserve"> </w:t>
      </w:r>
      <w:r>
        <w:rPr>
          <w:rFonts w:ascii="Arial" w:cs="Arial" w:eastAsia="Arial" w:hAnsi="Arial"/>
          <w:sz w:val="18"/>
          <w:szCs w:val="18"/>
          <w:color w:val="auto"/>
        </w:rPr>
        <w:t>us together with the appropriate instruments of transfer.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There is no trading market available for the pre-funded warrants on any securities exchange or nationally recognized trading system.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intend to list the pre-funded warrants on any securities exchange or nationally recognized trading system.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i w:val="1"/>
          <w:iCs w:val="1"/>
          <w:color w:val="auto"/>
        </w:rPr>
        <w:t>Right as a Stockholder</w:t>
      </w:r>
      <w:r>
        <w:rPr>
          <w:rFonts w:ascii="Arial" w:cs="Arial" w:eastAsia="Arial" w:hAnsi="Arial"/>
          <w:sz w:val="18"/>
          <w:szCs w:val="18"/>
          <w:color w:val="auto"/>
        </w:rPr>
        <w:t>. Except as otherwise provided in the pre-funded warrants or by virtue of such holder’s ownership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pre-funded warrants do not have the rights or privileges of holders of our Common Stock, including any voting rights, until they exercise their pre-funded warrants.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Fundamental Transaction. </w:t>
      </w:r>
      <w:r>
        <w:rPr>
          <w:rFonts w:ascii="Arial" w:cs="Arial" w:eastAsia="Arial" w:hAnsi="Arial"/>
          <w:sz w:val="17"/>
          <w:szCs w:val="17"/>
          <w:color w:val="auto"/>
        </w:rPr>
        <w:t>In the event of a fundamental transaction, as described in the pre-funded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engaged Palladium Capital Advisors LLC as a financial advisory consultant in connection with this offering. Palladium Capital Advisors LLC has no commitment to buy any of the securities. We will enter into a securities purchase agreement directly with investors in connection with this offering and we may not sell the entire amount of shares of our Common Stock and pre-funded warrants offered pursuant to this prospectus supplement. We will make offers only to a limited number of qualified institutional buyers and accredited investors.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indemnify the financial advisory consultant against specified liabilities relating to or arising out of the consultant’s activities as financial advisory consultant.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pay the financial advisory consultant a cash fee equal to 8% of the aggregate gross proceeds from the offering. The following table shows the per share and total cash fees we will pay to the financial advisory consultant in connection with the sale of the shares of our Common Stock and Pre-Funded Warrants offered pursuant to this prospectus supplement and the accompanying prospectus, assuming the purchase of all of the shares and Pre-Funded Warrants offered hereby.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Per Share of</w:t>
            </w:r>
          </w:p>
        </w:tc>
        <w:tc>
          <w:tcPr>
            <w:tcW w:w="1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Per Pre-Funded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Warrant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3,049,999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Advisory fees(1)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0.0176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0.0168</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244,000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0.1932</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2,805,999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total expenses of the offering payable by us, excluding the financial advisory consultant fees, will be approximately $50,000.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legal matters relating to the issuance of the securities offered by this prospectus supplement will be passed upon for us by Mintz, Levin, Cohn, Ferris, Glovsky and Popeo, P.C.,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appearing in our Annual Report on </w:t>
      </w:r>
      <w:hyperlink r:id="rId3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have been audited by CohnReznick LLP, an independent registered public accounting firm, as stated in their report, which is incorporated herein by reference. Such consolidated financial statements have been so incorporated in reliance upon the report of such firm (which report expresses an unqualified opinion and includes an explanatory paragraph regarding the Company’s going concern uncertainty) given upon their authority as experts in auditing and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file annual, quarterly and other periodic reports, proxy statements and other information with the SEC. You can read our SEC filings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Internet address is www.xpresspa.com. There we make available free of charge, on or through the investor relations section of our website, annual reports on Form 10-K, quarterly reports on Form 10-Q, current reports on Form 8-K and amendments to those reports filed pursuant to Section 13(a) or 15(d) of the Securities Exchange Act of 1934, as amended (the “Exchange Act”), as soon as reasonably practicable after we electronically file such material with the SEC. The information found on our website is not part of this prospectus supplement or the accompanying prospectus.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“incorporating by reference” specific documents that we file with the SEC, which means that we can disclose important information to you by referring you to those documents that are considered part of this prospectus supplement and the accompanying prospectus. Information that we file subsequently with the SEC will automatically update and supersede this information. We incorporate by reference the documents listed below, and any documents that we file with the SEC under Section 13(a), 13(c), 14 or 15(d) of the Exchange Act, after the date of this prospectus supplement until the termination of the offering of all of the securities registered pursuant to the registration statement of which the accompanying prospectus is a part (excluding any portions of such documents that have been “furnished” but not “filed” for purposes of the Exchange Act):</w:t>
      </w:r>
    </w:p>
    <w:p>
      <w:pPr>
        <w:spacing w:after="0" w:line="178"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0000EE"/>
        </w:rPr>
      </w:pPr>
      <w:hyperlink r:id="rId32">
        <w:r>
          <w:rPr>
            <w:rFonts w:ascii="Arial" w:cs="Arial" w:eastAsia="Arial" w:hAnsi="Arial"/>
            <w:sz w:val="18"/>
            <w:szCs w:val="18"/>
            <w:color w:val="auto"/>
          </w:rPr>
          <w:t xml:space="preserve">our Annual Report on </w:t>
        </w:r>
        <w:r>
          <w:rPr>
            <w:rFonts w:ascii="Arial" w:cs="Arial" w:eastAsia="Arial" w:hAnsi="Arial"/>
            <w:sz w:val="18"/>
            <w:szCs w:val="18"/>
            <w:u w:val="single" w:color="auto"/>
            <w:color w:val="0000EE"/>
          </w:rPr>
          <w:t>Form 10-K</w:t>
        </w:r>
        <w:r>
          <w:rPr>
            <w:rFonts w:ascii="Arial" w:cs="Arial" w:eastAsia="Arial" w:hAnsi="Arial"/>
            <w:sz w:val="18"/>
            <w:szCs w:val="18"/>
            <w:color w:val="auto"/>
          </w:rPr>
          <w:t xml:space="preserve"> for the year ended December 31, 2018, filed with the SEC on April 1, 2019 and </w:t>
        </w:r>
        <w:r>
          <w:rPr>
            <w:rFonts w:ascii="Arial" w:cs="Arial" w:eastAsia="Arial" w:hAnsi="Arial"/>
            <w:sz w:val="18"/>
            <w:szCs w:val="18"/>
            <w:u w:val="single" w:color="auto"/>
            <w:color w:val="0000EE"/>
          </w:rPr>
          <w:t>Amendment No. 1 to our</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Annual Report on Form 10-K</w:t>
        </w:r>
        <w:r>
          <w:rPr>
            <w:rFonts w:ascii="Arial" w:cs="Arial" w:eastAsia="Arial" w:hAnsi="Arial"/>
            <w:sz w:val="18"/>
            <w:szCs w:val="18"/>
            <w:color w:val="0000EE"/>
          </w:rPr>
          <w:t xml:space="preserve"> </w:t>
        </w:r>
        <w:r>
          <w:rPr>
            <w:rFonts w:ascii="Arial" w:cs="Arial" w:eastAsia="Arial" w:hAnsi="Arial"/>
            <w:sz w:val="18"/>
            <w:szCs w:val="18"/>
            <w:color w:val="000000"/>
          </w:rPr>
          <w:t>for the year ended December 31, 2018 filed with the SEC on April 30, 2019;</w:t>
        </w:r>
      </w:hyperlink>
    </w:p>
    <w:p>
      <w:pPr>
        <w:spacing w:after="0" w:line="170"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33">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5">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 filed on May 15, 2019, August 14, 2019 and November 14,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definitive </w:t>
      </w:r>
      <w:hyperlink r:id="rId36">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to our 2019 annual meeting of stockholders filed on August 12, 2019;</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u w:val="single" w:color="auto"/>
          <w:color w:val="0000EE"/>
        </w:rPr>
      </w:pPr>
      <w:r>
        <w:rPr>
          <w:rFonts w:ascii="Arial" w:cs="Arial" w:eastAsia="Arial" w:hAnsi="Arial"/>
          <w:sz w:val="17"/>
          <w:szCs w:val="17"/>
          <w:color w:val="auto"/>
        </w:rPr>
        <w:t xml:space="preserve">our Current Reports on Form 8-K, filed with the SEC on </w:t>
      </w:r>
      <w:hyperlink r:id="rId37">
        <w:r>
          <w:rPr>
            <w:rFonts w:ascii="Arial" w:cs="Arial" w:eastAsia="Arial" w:hAnsi="Arial"/>
            <w:sz w:val="17"/>
            <w:szCs w:val="17"/>
            <w:u w:val="single" w:color="auto"/>
            <w:color w:val="0000EE"/>
          </w:rPr>
          <w:t>February 13, 2019</w:t>
        </w:r>
      </w:hyperlink>
      <w:r>
        <w:rPr>
          <w:rFonts w:ascii="Arial" w:cs="Arial" w:eastAsia="Arial" w:hAnsi="Arial"/>
          <w:sz w:val="17"/>
          <w:szCs w:val="17"/>
          <w:color w:val="auto"/>
        </w:rPr>
        <w:t xml:space="preserve">, </w:t>
      </w:r>
      <w:hyperlink r:id="rId38">
        <w:r>
          <w:rPr>
            <w:rFonts w:ascii="Arial" w:cs="Arial" w:eastAsia="Arial" w:hAnsi="Arial"/>
            <w:sz w:val="17"/>
            <w:szCs w:val="17"/>
            <w:u w:val="single" w:color="auto"/>
            <w:color w:val="0000EE"/>
          </w:rPr>
          <w:t>February 22, 2019</w:t>
        </w:r>
      </w:hyperlink>
      <w:r>
        <w:rPr>
          <w:rFonts w:ascii="Arial" w:cs="Arial" w:eastAsia="Arial" w:hAnsi="Arial"/>
          <w:sz w:val="17"/>
          <w:szCs w:val="17"/>
          <w:color w:val="auto"/>
        </w:rPr>
        <w:t xml:space="preserve">, </w:t>
      </w:r>
      <w:hyperlink r:id="rId39">
        <w:r>
          <w:rPr>
            <w:rFonts w:ascii="Arial" w:cs="Arial" w:eastAsia="Arial" w:hAnsi="Arial"/>
            <w:sz w:val="17"/>
            <w:szCs w:val="17"/>
            <w:u w:val="single" w:color="auto"/>
            <w:color w:val="0000EE"/>
          </w:rPr>
          <w:t>March 15, 2019</w:t>
        </w:r>
      </w:hyperlink>
      <w:r>
        <w:rPr>
          <w:rFonts w:ascii="Arial" w:cs="Arial" w:eastAsia="Arial" w:hAnsi="Arial"/>
          <w:sz w:val="17"/>
          <w:szCs w:val="17"/>
          <w:color w:val="auto"/>
        </w:rPr>
        <w:t xml:space="preserve">, </w:t>
      </w:r>
      <w:hyperlink r:id="rId40">
        <w:r>
          <w:rPr>
            <w:rFonts w:ascii="Arial" w:cs="Arial" w:eastAsia="Arial" w:hAnsi="Arial"/>
            <w:sz w:val="17"/>
            <w:szCs w:val="17"/>
            <w:u w:val="single" w:color="auto"/>
            <w:color w:val="0000EE"/>
          </w:rPr>
          <w:t>March 22, 2019</w:t>
        </w:r>
      </w:hyperlink>
      <w:r>
        <w:rPr>
          <w:rFonts w:ascii="Arial" w:cs="Arial" w:eastAsia="Arial" w:hAnsi="Arial"/>
          <w:sz w:val="17"/>
          <w:szCs w:val="17"/>
          <w:color w:val="auto"/>
        </w:rPr>
        <w:t xml:space="preserve">, </w:t>
      </w:r>
      <w:hyperlink r:id="rId41">
        <w:r>
          <w:rPr>
            <w:rFonts w:ascii="Arial" w:cs="Arial" w:eastAsia="Arial" w:hAnsi="Arial"/>
            <w:sz w:val="17"/>
            <w:szCs w:val="17"/>
            <w:u w:val="single" w:color="auto"/>
            <w:color w:val="0000EE"/>
          </w:rPr>
          <w:t>April 30, 2019</w:t>
        </w:r>
      </w:hyperlink>
      <w:r>
        <w:rPr>
          <w:rFonts w:ascii="Arial" w:cs="Arial" w:eastAsia="Arial" w:hAnsi="Arial"/>
          <w:sz w:val="17"/>
          <w:szCs w:val="17"/>
          <w:color w:val="auto"/>
        </w:rPr>
        <w:t xml:space="preserve">, </w:t>
      </w:r>
      <w:hyperlink r:id="rId42">
        <w:r>
          <w:rPr>
            <w:rFonts w:ascii="Arial" w:cs="Arial" w:eastAsia="Arial" w:hAnsi="Arial"/>
            <w:sz w:val="17"/>
            <w:szCs w:val="17"/>
            <w:u w:val="single" w:color="auto"/>
            <w:color w:val="0000EE"/>
          </w:rPr>
          <w:t>May 17, 2019</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June 17, 2019</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June 27, 2019</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July 8, 2019</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August 26, 2019</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September 6, 2019</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October 3, 2019</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January 3, 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January 14,</w:t>
        </w:r>
      </w:hyperlink>
      <w:r>
        <w:rPr>
          <w:rFonts w:ascii="Arial" w:cs="Arial" w:eastAsia="Arial" w:hAnsi="Arial"/>
          <w:sz w:val="17"/>
          <w:szCs w:val="17"/>
          <w:u w:val="single" w:color="auto"/>
          <w:color w:val="0000EE"/>
        </w:rPr>
        <w:t xml:space="preserve"> </w:t>
      </w:r>
      <w:hyperlink r:id="rId42">
        <w:r>
          <w:rPr>
            <w:rFonts w:ascii="Arial" w:cs="Arial" w:eastAsia="Arial" w:hAnsi="Arial"/>
            <w:sz w:val="17"/>
            <w:szCs w:val="17"/>
            <w:u w:val="single" w:color="auto"/>
            <w:color w:val="0000EE"/>
          </w:rPr>
          <w:t>2020</w:t>
        </w:r>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w:t>
        </w:r>
      </w:hyperlink>
      <w:hyperlink r:id="rId43">
        <w:r>
          <w:rPr>
            <w:rFonts w:ascii="Arial" w:cs="Arial" w:eastAsia="Arial" w:hAnsi="Arial"/>
            <w:sz w:val="17"/>
            <w:szCs w:val="17"/>
            <w:u w:val="single" w:color="auto"/>
            <w:color w:val="0000EE"/>
          </w:rPr>
          <w:t>February 3, 2020</w:t>
        </w:r>
      </w:hyperlink>
      <w:hyperlink r:id="rId42">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w:t>
        </w:r>
      </w:hyperlink>
      <w:hyperlink r:id="rId44">
        <w:r>
          <w:rPr>
            <w:rFonts w:ascii="Arial" w:cs="Arial" w:eastAsia="Arial" w:hAnsi="Arial"/>
            <w:sz w:val="17"/>
            <w:szCs w:val="17"/>
            <w:u w:val="single" w:color="auto"/>
            <w:color w:val="0000EE"/>
          </w:rPr>
          <w:t>March 6, 2020</w:t>
        </w:r>
      </w:hyperlink>
      <w:hyperlink r:id="rId42">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w:t>
        </w:r>
      </w:hyperlink>
      <w:hyperlink r:id="rId45">
        <w:r>
          <w:rPr>
            <w:rFonts w:ascii="Arial" w:cs="Arial" w:eastAsia="Arial" w:hAnsi="Arial"/>
            <w:sz w:val="17"/>
            <w:szCs w:val="17"/>
            <w:u w:val="single" w:color="auto"/>
            <w:color w:val="0000EE"/>
          </w:rPr>
          <w:t xml:space="preserve">March 19, 2020, </w:t>
        </w:r>
      </w:hyperlink>
      <w:hyperlink r:id="rId46">
        <w:r>
          <w:rPr>
            <w:rFonts w:ascii="Arial" w:cs="Arial" w:eastAsia="Arial" w:hAnsi="Arial"/>
            <w:sz w:val="17"/>
            <w:szCs w:val="17"/>
            <w:u w:val="single" w:color="auto"/>
            <w:color w:val="0000EE"/>
          </w:rPr>
          <w:t xml:space="preserve">March 26, 2020, </w:t>
        </w:r>
      </w:hyperlink>
      <w:hyperlink r:id="rId47">
        <w:r>
          <w:rPr>
            <w:rFonts w:ascii="Arial" w:cs="Arial" w:eastAsia="Arial" w:hAnsi="Arial"/>
            <w:sz w:val="17"/>
            <w:szCs w:val="17"/>
            <w:u w:val="single" w:color="auto"/>
            <w:color w:val="0000EE"/>
          </w:rPr>
          <w:t xml:space="preserve">March 30, 2020 </w:t>
        </w:r>
      </w:hyperlink>
      <w:hyperlink r:id="rId42">
        <w:r>
          <w:rPr>
            <w:rFonts w:ascii="Arial" w:cs="Arial" w:eastAsia="Arial" w:hAnsi="Arial"/>
            <w:sz w:val="17"/>
            <w:szCs w:val="17"/>
            <w:u w:val="single" w:color="auto"/>
            <w:color w:val="000000"/>
          </w:rPr>
          <w:t>(</w:t>
        </w:r>
      </w:hyperlink>
      <w:hyperlink r:id="rId48">
        <w:r>
          <w:rPr>
            <w:rFonts w:ascii="Arial" w:cs="Arial" w:eastAsia="Arial" w:hAnsi="Arial"/>
            <w:sz w:val="17"/>
            <w:szCs w:val="17"/>
            <w:u w:val="single" w:color="auto"/>
            <w:color w:val="0000EE"/>
          </w:rPr>
          <w:t>two reports</w:t>
        </w:r>
      </w:hyperlink>
      <w:hyperlink r:id="rId42">
        <w:r>
          <w:rPr>
            <w:rFonts w:ascii="Arial" w:cs="Arial" w:eastAsia="Arial" w:hAnsi="Arial"/>
            <w:sz w:val="17"/>
            <w:szCs w:val="17"/>
            <w:u w:val="single" w:color="auto"/>
            <w:color w:val="000000"/>
          </w:rPr>
          <w:t>),</w:t>
        </w:r>
        <w:r>
          <w:rPr>
            <w:rFonts w:ascii="Arial" w:cs="Arial" w:eastAsia="Arial" w:hAnsi="Arial"/>
            <w:sz w:val="17"/>
            <w:szCs w:val="17"/>
            <w:u w:val="single" w:color="auto"/>
            <w:color w:val="0000EE"/>
          </w:rPr>
          <w:t xml:space="preserve"> </w:t>
        </w:r>
      </w:hyperlink>
      <w:hyperlink r:id="rId49">
        <w:r>
          <w:rPr>
            <w:rFonts w:ascii="Arial" w:cs="Arial" w:eastAsia="Arial" w:hAnsi="Arial"/>
            <w:sz w:val="17"/>
            <w:szCs w:val="17"/>
            <w:u w:val="single" w:color="auto"/>
            <w:color w:val="0000EE"/>
          </w:rPr>
          <w:t xml:space="preserve">April 6, 2020 </w:t>
        </w:r>
      </w:hyperlink>
      <w:hyperlink r:id="rId42">
        <w:r>
          <w:rPr>
            <w:rFonts w:ascii="Arial" w:cs="Arial" w:eastAsia="Arial" w:hAnsi="Arial"/>
            <w:sz w:val="17"/>
            <w:szCs w:val="17"/>
            <w:u w:val="single" w:color="auto"/>
            <w:color w:val="000000"/>
          </w:rPr>
          <w:t>and</w:t>
        </w:r>
        <w:r>
          <w:rPr>
            <w:rFonts w:ascii="Arial" w:cs="Arial" w:eastAsia="Arial" w:hAnsi="Arial"/>
            <w:sz w:val="17"/>
            <w:szCs w:val="17"/>
            <w:u w:val="single" w:color="auto"/>
            <w:color w:val="0000EE"/>
          </w:rPr>
          <w:t xml:space="preserve"> </w:t>
        </w:r>
      </w:hyperlink>
      <w:hyperlink r:id="rId50">
        <w:r>
          <w:rPr>
            <w:rFonts w:ascii="Arial" w:cs="Arial" w:eastAsia="Arial" w:hAnsi="Arial"/>
            <w:sz w:val="17"/>
            <w:szCs w:val="17"/>
            <w:u w:val="single" w:color="auto"/>
            <w:color w:val="0000EE"/>
          </w:rPr>
          <w:t xml:space="preserve">April 7, 2020 </w:t>
        </w:r>
      </w:hyperlink>
      <w:hyperlink r:id="rId42">
        <w:r>
          <w:rPr>
            <w:rFonts w:ascii="Arial" w:cs="Arial" w:eastAsia="Arial" w:hAnsi="Arial"/>
            <w:sz w:val="17"/>
            <w:szCs w:val="17"/>
            <w:u w:val="single" w:color="auto"/>
            <w:color w:val="000000"/>
          </w:rPr>
          <w:t>(except</w:t>
        </w:r>
      </w:hyperlink>
      <w:r>
        <w:rPr>
          <w:rFonts w:ascii="Arial" w:cs="Arial" w:eastAsia="Arial" w:hAnsi="Arial"/>
          <w:sz w:val="17"/>
          <w:szCs w:val="17"/>
          <w:u w:val="single" w:color="auto"/>
          <w:color w:val="0000EE"/>
        </w:rPr>
        <w:t xml:space="preserve"> </w:t>
      </w:r>
      <w:r>
        <w:rPr>
          <w:rFonts w:ascii="Arial" w:cs="Arial" w:eastAsia="Arial" w:hAnsi="Arial"/>
          <w:sz w:val="17"/>
          <w:szCs w:val="17"/>
          <w:color w:val="000000"/>
        </w:rPr>
        <w:t>for the information furnished under Items 2.02 or 7.01 and the exhibits furnished thereto); and</w:t>
      </w:r>
    </w:p>
    <w:p>
      <w:pPr>
        <w:spacing w:after="0" w:line="171" w:lineRule="exact"/>
        <w:rPr>
          <w:rFonts w:ascii="Arial" w:cs="Arial" w:eastAsia="Arial" w:hAnsi="Arial"/>
          <w:sz w:val="17"/>
          <w:szCs w:val="17"/>
          <w:u w:val="single" w:color="auto"/>
          <w:color w:val="0000EE"/>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Form </w:t>
      </w:r>
      <w:hyperlink r:id="rId51">
        <w:r>
          <w:rPr>
            <w:rFonts w:ascii="Arial" w:cs="Arial" w:eastAsia="Arial" w:hAnsi="Arial"/>
            <w:sz w:val="18"/>
            <w:szCs w:val="18"/>
            <w:u w:val="single" w:color="auto"/>
            <w:color w:val="0000EE"/>
          </w:rPr>
          <w:t>8-A</w:t>
        </w:r>
      </w:hyperlink>
      <w:r>
        <w:rPr>
          <w:rFonts w:ascii="Arial" w:cs="Arial" w:eastAsia="Arial" w:hAnsi="Arial"/>
          <w:sz w:val="18"/>
          <w:szCs w:val="18"/>
          <w:color w:val="auto"/>
        </w:rPr>
        <w:t>, filed with the SEC on April 29, 2013, including any further amendments thereto or reports filed for the purposes of updating this description.</w:t>
      </w:r>
    </w:p>
    <w:p>
      <w:pPr>
        <w:spacing w:after="0" w:line="170"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9" w:lineRule="exact"/>
        <w:rPr>
          <w:rFonts w:ascii="Arial" w:cs="Arial" w:eastAsia="Arial" w:hAnsi="Arial"/>
          <w:sz w:val="17"/>
          <w:szCs w:val="17"/>
          <w:u w:val="single" w:color="auto"/>
          <w:color w:val="0000EE"/>
        </w:rPr>
      </w:pPr>
    </w:p>
    <w:p>
      <w:pPr>
        <w:jc w:val="both"/>
        <w:spacing w:after="0" w:line="257"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therein, in any other subsequently filed document that also is or is deemed to be incorporated by reference herein and in any accompanying prospectus supplement, modifies or supersedes such statement. Any statement so modified or superseded shall not be deemed, except as so modified and superseded, to constitute a part of this prospectus supplement.</w:t>
      </w:r>
    </w:p>
    <w:p>
      <w:pPr>
        <w:spacing w:after="0" w:line="188" w:lineRule="exact"/>
        <w:rPr>
          <w:rFonts w:ascii="Arial" w:cs="Arial" w:eastAsia="Arial" w:hAnsi="Arial"/>
          <w:sz w:val="17"/>
          <w:szCs w:val="17"/>
          <w:u w:val="single" w:color="auto"/>
          <w:color w:val="0000EE"/>
        </w:rPr>
      </w:pPr>
    </w:p>
    <w:p>
      <w:pPr>
        <w:jc w:val="both"/>
        <w:spacing w:after="0" w:line="279" w:lineRule="auto"/>
        <w:rPr>
          <w:sz w:val="20"/>
          <w:szCs w:val="20"/>
          <w:color w:val="auto"/>
        </w:rPr>
      </w:pPr>
      <w:r>
        <w:rPr>
          <w:rFonts w:ascii="Arial" w:cs="Arial" w:eastAsia="Arial" w:hAnsi="Arial"/>
          <w:sz w:val="17"/>
          <w:szCs w:val="17"/>
          <w:color w:val="auto"/>
        </w:rPr>
        <w:t>Any statement made in this prospectus supplement and the accompanying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w:t>
      </w:r>
    </w:p>
    <w:p>
      <w:pPr>
        <w:spacing w:after="0" w:line="387"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12,418,179 Shares of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Pre-Funded Warrants to Purchase 1,445,454 shares of 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 the shares of Common Stock underlying such Pre-Funded Warrants)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6, 2020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Filed Pursuant to Rule 424(b)(2)</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Registration No. 333-232764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12, 2019, the last reported sale price of our common stock was $1.50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July 26, 2019, the aggregate market value of our common stock held by non-affiliates pursuant to General Instruction I.B.6. of Form S-3 was approximately $13.1 million, which was calculated based on 2,916,919 outstanding shares of our common stock, of which 2,781,162 shares are held by non-affiliates, and a price of $4.71 per share, the closing sale price of our common stock reported on The Nasdaq Capital Market on June 30, 2019. As a result, we are currently eligible to offer and sell up to an aggregate of approximately $4.3 million of our securities pursuant to General Instruction I.B.6 of Form S-3. During the prior twelve calendar month period that ends on the date of this prospectus, we did not offer securities pursuant to General Instruction I.B.6 on Form S-3.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 million.</w:t>
      </w:r>
    </w:p>
    <w:p>
      <w:pPr>
        <w:spacing w:after="0" w:line="174" w:lineRule="exact"/>
        <w:rPr>
          <w:sz w:val="20"/>
          <w:szCs w:val="20"/>
          <w:color w:val="auto"/>
        </w:rPr>
      </w:pPr>
    </w:p>
    <w:p>
      <w:pPr>
        <w:jc w:val="both"/>
        <w:ind w:right="18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2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July 30, 2019.</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04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216"/>
        </w:trPr>
        <w:tc>
          <w:tcPr>
            <w:tcW w:w="10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ABOUT THIS PROSPECTUS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iv</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PROSPECTUS SUMMARY</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1</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SPECIAL NOTE REGARDING FORWARD-LOOKING STATEMENTS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RATIO OF EARNINGS TO FIXED CHARGES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USE OF PROCEEDS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6</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PLAN OF DISTRIBUTION</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7</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DESCRIPTION OF COMMON STOCK</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9</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PREFERRED STOCK</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10</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DESCRIPTION OF DEBT SECURITIES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12</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WARRANTS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18</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RIGHTS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19</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UNITS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21</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CERTAIN PROVISIONS OF DELAWARE LAW AND OF THE COMPANY’S CERTIFICATE OF INCORPORATION AND BYLAWS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22</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MATTERS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EXPERTS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WHERE YOU CAN FIND MORE INFORMATION</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w:t>
              </w:r>
            </w:hyperlink>
          </w:p>
        </w:tc>
      </w:tr>
      <w:tr>
        <w:trPr>
          <w:trHeight w:val="230"/>
        </w:trPr>
        <w:tc>
          <w:tcPr>
            <w:tcW w:w="104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DOCUMENTS BY REFERENCE</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815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t>PROSPECTUS SUMMARY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own certain patent portfolios, which we look to monetize through sales and licensing agreements. During the year ended December 31, 2018, we determined that our intellectual property operating segment will no longer be an area of focus for us and, as such, will no longer be reflected as a separate operating segment, as it is not expected to generate any material revenues or operating costs.</w:t>
      </w:r>
    </w:p>
    <w:p>
      <w:pPr>
        <w:spacing w:after="0" w:line="16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134" w:right="4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w:t>
      </w:r>
      <w:hyperlink r:id="rId30">
        <w:r>
          <w:rPr>
            <w:rFonts w:ascii="Arial" w:cs="Arial" w:eastAsia="Arial" w:hAnsi="Arial"/>
            <w:sz w:val="17"/>
            <w:szCs w:val="17"/>
            <w:u w:val="single" w:color="auto"/>
            <w:color w:val="0000EE"/>
          </w:rPr>
          <w:t>most recent annual report on Form 10-K</w:t>
        </w:r>
      </w:hyperlink>
      <w:r>
        <w:rPr>
          <w:rFonts w:ascii="Arial" w:cs="Arial" w:eastAsia="Arial" w:hAnsi="Arial"/>
          <w:sz w:val="17"/>
          <w:szCs w:val="17"/>
          <w:color w:val="auto"/>
        </w:rPr>
        <w:t xml:space="preserve">, as revised or supplemented by our subsequent </w:t>
      </w:r>
      <w:hyperlink r:id="rId33">
        <w:r>
          <w:rPr>
            <w:rFonts w:ascii="Arial" w:cs="Arial" w:eastAsia="Arial" w:hAnsi="Arial"/>
            <w:sz w:val="17"/>
            <w:szCs w:val="17"/>
            <w:u w:val="single" w:color="auto"/>
            <w:color w:val="0000EE"/>
          </w:rPr>
          <w:t>quarterly reports on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or our </w:t>
      </w:r>
      <w:hyperlink r:id="rId60">
        <w:r>
          <w:rPr>
            <w:rFonts w:ascii="Arial" w:cs="Arial" w:eastAsia="Arial" w:hAnsi="Arial"/>
            <w:sz w:val="17"/>
            <w:szCs w:val="17"/>
            <w:u w:val="single" w:color="auto"/>
            <w:color w:val="0000EE"/>
          </w:rPr>
          <w:t>current reports on 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w:t>
      </w:r>
      <w:hyperlink r:id="rId30">
        <w:r>
          <w:rPr>
            <w:rFonts w:ascii="Arial" w:cs="Arial" w:eastAsia="Arial" w:hAnsi="Arial"/>
            <w:sz w:val="17"/>
            <w:szCs w:val="17"/>
            <w:u w:val="single" w:color="auto"/>
            <w:color w:val="0000EE"/>
          </w:rPr>
          <w:t>Annual Report on Form 10-K for the fiscal year ended December 31, 2018</w:t>
        </w:r>
      </w:hyperlink>
      <w:r>
        <w:rPr>
          <w:rFonts w:ascii="Arial" w:cs="Arial" w:eastAsia="Arial" w:hAnsi="Arial"/>
          <w:sz w:val="17"/>
          <w:szCs w:val="17"/>
          <w:color w:val="auto"/>
        </w:rPr>
        <w:t>,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9" w:name="page30"/>
    <w:bookmarkEnd w:id="29"/>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ind w:right="6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w:t>
      </w:r>
      <w:hyperlink r:id="rId30">
        <w:r>
          <w:rPr>
            <w:rFonts w:ascii="Arial" w:cs="Arial" w:eastAsia="Arial" w:hAnsi="Arial"/>
            <w:sz w:val="17"/>
            <w:szCs w:val="17"/>
            <w:color w:val="auto"/>
          </w:rPr>
          <w:t xml:space="preserve">by the discussion of risks and uncertainties under “Risk Factors” contained in any supplements to this prospectus and in our </w:t>
        </w:r>
        <w:r>
          <w:rPr>
            <w:rFonts w:ascii="Arial" w:cs="Arial" w:eastAsia="Arial" w:hAnsi="Arial"/>
            <w:sz w:val="17"/>
            <w:szCs w:val="17"/>
            <w:u w:val="single" w:color="auto"/>
            <w:color w:val="0000EE"/>
          </w:rPr>
          <w:t>most recent annual report on</w:t>
        </w:r>
      </w:hyperlink>
      <w:r>
        <w:rPr>
          <w:rFonts w:ascii="Arial" w:cs="Arial" w:eastAsia="Arial" w:hAnsi="Arial"/>
          <w:sz w:val="17"/>
          <w:szCs w:val="17"/>
          <w:color w:val="auto"/>
        </w:rPr>
        <w:t xml:space="preserve"> </w:t>
      </w:r>
      <w:hyperlink r:id="rId30">
        <w:r>
          <w:rPr>
            <w:rFonts w:ascii="Arial" w:cs="Arial" w:eastAsia="Arial" w:hAnsi="Arial"/>
            <w:sz w:val="17"/>
            <w:szCs w:val="17"/>
            <w:u w:val="single" w:color="auto"/>
            <w:color w:val="0000EE"/>
          </w:rPr>
          <w:t>Form 10-K</w:t>
        </w:r>
        <w:r>
          <w:rPr>
            <w:rFonts w:ascii="Arial" w:cs="Arial" w:eastAsia="Arial" w:hAnsi="Arial"/>
            <w:sz w:val="17"/>
            <w:szCs w:val="17"/>
            <w:color w:val="000000"/>
          </w:rPr>
          <w:t>, as revised or supplemented by our subsequent</w:t>
        </w:r>
        <w:r>
          <w:rPr>
            <w:rFonts w:ascii="Arial" w:cs="Arial" w:eastAsia="Arial" w:hAnsi="Arial"/>
            <w:sz w:val="17"/>
            <w:szCs w:val="17"/>
            <w:color w:val="0000EE"/>
          </w:rPr>
          <w:t xml:space="preserve"> </w:t>
        </w:r>
      </w:hyperlink>
      <w:hyperlink r:id="rId33">
        <w:r>
          <w:rPr>
            <w:rFonts w:ascii="Arial" w:cs="Arial" w:eastAsia="Arial" w:hAnsi="Arial"/>
            <w:sz w:val="17"/>
            <w:szCs w:val="17"/>
            <w:u w:val="single" w:color="auto"/>
            <w:color w:val="0000EE"/>
          </w:rPr>
          <w:t xml:space="preserve">quarterly reports on Form 10-Q </w:t>
        </w:r>
      </w:hyperlink>
      <w:hyperlink r:id="rId30">
        <w:r>
          <w:rPr>
            <w:rFonts w:ascii="Arial" w:cs="Arial" w:eastAsia="Arial" w:hAnsi="Arial"/>
            <w:sz w:val="17"/>
            <w:szCs w:val="17"/>
            <w:color w:val="000000"/>
          </w:rPr>
          <w:t>or our</w:t>
        </w:r>
        <w:r>
          <w:rPr>
            <w:rFonts w:ascii="Arial" w:cs="Arial" w:eastAsia="Arial" w:hAnsi="Arial"/>
            <w:sz w:val="17"/>
            <w:szCs w:val="17"/>
            <w:color w:val="0000EE"/>
          </w:rPr>
          <w:t xml:space="preserve"> </w:t>
        </w:r>
      </w:hyperlink>
      <w:hyperlink r:id="rId60">
        <w:r>
          <w:rPr>
            <w:rFonts w:ascii="Arial" w:cs="Arial" w:eastAsia="Arial" w:hAnsi="Arial"/>
            <w:sz w:val="17"/>
            <w:szCs w:val="17"/>
            <w:u w:val="single" w:color="auto"/>
            <w:color w:val="0000EE"/>
          </w:rPr>
          <w:t>current reports on Form 8-K</w:t>
        </w:r>
      </w:hyperlink>
      <w:hyperlink r:id="rId30">
        <w:r>
          <w:rPr>
            <w:rFonts w:ascii="Arial" w:cs="Arial" w:eastAsia="Arial" w:hAnsi="Arial"/>
            <w:sz w:val="17"/>
            <w:szCs w:val="17"/>
            <w:color w:val="000000"/>
          </w:rPr>
          <w:t>, as well as any amendments</w:t>
        </w:r>
      </w:hyperlink>
      <w:r>
        <w:rPr>
          <w:rFonts w:ascii="Arial" w:cs="Arial" w:eastAsia="Arial" w:hAnsi="Arial"/>
          <w:sz w:val="17"/>
          <w:szCs w:val="17"/>
          <w:color w:val="0000EE"/>
        </w:rPr>
        <w:t xml:space="preserve"> </w:t>
      </w:r>
      <w:r>
        <w:rPr>
          <w:rFonts w:ascii="Arial" w:cs="Arial" w:eastAsia="Arial" w:hAnsi="Arial"/>
          <w:sz w:val="17"/>
          <w:szCs w:val="17"/>
          <w:color w:val="000000"/>
        </w:rPr>
        <w:t>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rFonts w:ascii="Arial" w:cs="Arial" w:eastAsia="Arial" w:hAnsi="Arial"/>
          <w:sz w:val="17"/>
          <w:szCs w:val="17"/>
          <w:color w:val="0000EE"/>
        </w:rPr>
      </w:pPr>
    </w:p>
    <w:p>
      <w:pPr>
        <w:ind w:right="18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0" w:name="page31"/>
    <w:bookmarkEnd w:id="30"/>
    <w:p>
      <w:pPr>
        <w:jc w:val="center"/>
        <w:ind w:right="-2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3" w:name="page34"/>
    <w:bookmarkEnd w:id="33"/>
    <w:p>
      <w:pPr>
        <w:ind w:right="6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authorized to issue 150,000,000 shares of common stock, par value $0.01 per share. As of July 12, 2019, we had 2,916,477 shares of common stock outstanding and approximately 49 stockholders of record.</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any preferential rights of any then outstanding series of preferred stock. Holders of common stock have no preemptive, subscription, redemption or conversion rights. There are no redemption or sinking fund provisions applicable to the common stock. The voting, dividend and liquidation rights of holders of common stock are subject to and may be adversely affected by the rights of the holders of shares of our existing series of preferred stock or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as amended, authorizes us to issue 5,000,000 shares of preferred stock. As of July 12, 2019, we had:</w:t>
      </w:r>
    </w:p>
    <w:p>
      <w:pPr>
        <w:spacing w:after="0" w:line="24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issued 23,760 shares of Series D Convertible Preferred Stock with 21,027 shares outstanding;</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issued 48,387 shares of Series E Convertible Preferred Stock with 48,387 shares outstanding;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9,000 shares outstanding.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1,786,972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8" w:name="page39"/>
    <w:bookmarkEnd w:id="38"/>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ind w:right="6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580" w:right="520" w:hanging="24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right="8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2" w:name="page43"/>
    <w:bookmarkEnd w:id="42"/>
    <w:p>
      <w:pPr>
        <w:ind w:right="2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660" w:right="3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380"/>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outstanding stock. These provisions could discourage a potential acquirer from making a tender offer or otherwise attempting to obtain control of the Company and could delay changes in management.</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amended and restated bylaws provide that a special meeting of stockholders may be called at any time by our board of directors. Because our stockholders do not have the right to call a special meeting, a stockholder cannot force stockholder consideration of a proposal over the opposition of our board of directors by calling a special meeting of stockholders prior to such time as a majority of our board of directors believes the matter should be considered and such stockholder would only be able to force consideration of such proposal at the next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requestor met the applicable notice requirements. The restriction on the ability of our stockholders to call a special meeting means that a proposal to replace one or more directors on our board of directors also could be delayed until the next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8" w:name="page49"/>
    <w:bookmarkEnd w:id="48"/>
    <w:p>
      <w:pPr>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to be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rFonts w:ascii="Arial" w:cs="Arial" w:eastAsia="Arial" w:hAnsi="Arial"/>
          <w:sz w:val="17"/>
          <w:szCs w:val="17"/>
          <w:color w:val="0000EE"/>
        </w:rPr>
      </w:pPr>
      <w:hyperlink r:id="rId30">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30">
        <w:r>
          <w:rPr>
            <w:rFonts w:ascii="Arial" w:cs="Arial" w:eastAsia="Arial" w:hAnsi="Arial"/>
            <w:sz w:val="17"/>
            <w:szCs w:val="17"/>
            <w:u w:val="single" w:color="auto"/>
            <w:color w:val="0000EE"/>
          </w:rPr>
          <w:t>the year ended December 31, 2018</w:t>
        </w:r>
        <w:r>
          <w:rPr>
            <w:rFonts w:ascii="Arial" w:cs="Arial" w:eastAsia="Arial" w:hAnsi="Arial"/>
            <w:sz w:val="17"/>
            <w:szCs w:val="17"/>
            <w:color w:val="000000"/>
          </w:rPr>
          <w:t xml:space="preserve">, as set forth in their report (which includes an explanatory paragraph referring to the Company’s ability to continue as </w:t>
        </w:r>
      </w:hyperlink>
      <w:r>
        <w:rPr>
          <w:rFonts w:ascii="Arial" w:cs="Arial" w:eastAsia="Arial" w:hAnsi="Arial"/>
          <w:sz w:val="17"/>
          <w:szCs w:val="17"/>
          <w:color w:val="0000EE"/>
        </w:rPr>
        <w:t xml:space="preserve">a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0000EE"/>
        </w:rPr>
      </w:pPr>
      <w:hyperlink r:id="rId32">
        <w:r>
          <w:rPr>
            <w:rFonts w:ascii="Arial" w:cs="Arial" w:eastAsia="Arial" w:hAnsi="Arial"/>
            <w:sz w:val="18"/>
            <w:szCs w:val="18"/>
            <w:u w:val="single" w:color="auto"/>
            <w:color w:val="0000EE"/>
          </w:rPr>
          <w:t>Our Annual Report on Form 10-K for the year ended December 31, 2018, filed on April 1, 2019</w:t>
        </w:r>
        <w:r>
          <w:rPr>
            <w:rFonts w:ascii="Arial" w:cs="Arial" w:eastAsia="Arial" w:hAnsi="Arial"/>
            <w:sz w:val="18"/>
            <w:szCs w:val="18"/>
            <w:color w:val="000000"/>
          </w:rPr>
          <w:t>, as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amended on April 30, 2019 (File No. 001-</w:t>
        </w:r>
      </w:hyperlink>
      <w:hyperlink r:id="rId32">
        <w:r>
          <w:rPr>
            <w:rFonts w:ascii="Arial" w:cs="Arial" w:eastAsia="Arial" w:hAnsi="Arial"/>
            <w:sz w:val="18"/>
            <w:szCs w:val="18"/>
            <w:u w:val="single" w:color="auto"/>
            <w:color w:val="0000EE"/>
          </w:rPr>
          <w:t>34785)</w:t>
        </w:r>
        <w:r>
          <w:rPr>
            <w:rFonts w:ascii="Arial" w:cs="Arial" w:eastAsia="Arial" w:hAnsi="Arial"/>
            <w:sz w:val="18"/>
            <w:szCs w:val="18"/>
            <w:color w:val="000000"/>
          </w:rPr>
          <w:t>;</w:t>
        </w:r>
      </w:hyperlink>
    </w:p>
    <w:p>
      <w:pPr>
        <w:spacing w:after="0" w:line="3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right="20" w:hanging="328"/>
        <w:spacing w:after="0" w:line="263" w:lineRule="auto"/>
        <w:tabs>
          <w:tab w:leader="none" w:pos="66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7">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EE"/>
          </w:rPr>
          <w:t>May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5">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6">
        <w:r>
          <w:rPr>
            <w:rFonts w:ascii="Arial" w:cs="Arial" w:eastAsia="Arial" w:hAnsi="Arial"/>
            <w:sz w:val="18"/>
            <w:szCs w:val="18"/>
            <w:u w:val="single" w:color="auto"/>
            <w:color w:val="0000EE"/>
          </w:rPr>
          <w:t xml:space="preserve">June 27,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7">
        <w:r>
          <w:rPr>
            <w:rFonts w:ascii="Arial" w:cs="Arial" w:eastAsia="Arial" w:hAnsi="Arial"/>
            <w:sz w:val="18"/>
            <w:szCs w:val="18"/>
            <w:u w:val="single" w:color="auto"/>
            <w:color w:val="0000EE"/>
          </w:rPr>
          <w:t xml:space="preserve">July 8, 2019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w:t>
      </w:r>
      <w:r>
        <w:rPr>
          <w:rFonts w:ascii="Arial" w:cs="Arial" w:eastAsia="Arial" w:hAnsi="Arial"/>
          <w:sz w:val="18"/>
          <w:szCs w:val="18"/>
          <w:color w:val="0000EE"/>
        </w:rPr>
        <w:t xml:space="preserve"> </w:t>
      </w:r>
      <w:r>
        <w:rPr>
          <w:rFonts w:ascii="Arial" w:cs="Arial" w:eastAsia="Arial" w:hAnsi="Arial"/>
          <w:sz w:val="18"/>
          <w:szCs w:val="18"/>
          <w:color w:val="000000"/>
        </w:rPr>
        <w:t>furnished thereto);</w:t>
      </w:r>
    </w:p>
    <w:p>
      <w:pPr>
        <w:spacing w:after="0" w:line="183" w:lineRule="exact"/>
        <w:rPr>
          <w:rFonts w:ascii="Arial" w:cs="Arial" w:eastAsia="Arial" w:hAnsi="Arial"/>
          <w:sz w:val="18"/>
          <w:szCs w:val="18"/>
          <w:color w:val="0000EE"/>
        </w:rPr>
      </w:pPr>
    </w:p>
    <w:p>
      <w:pPr>
        <w:ind w:left="660" w:right="20" w:hanging="328"/>
        <w:spacing w:after="0" w:line="263" w:lineRule="auto"/>
        <w:tabs>
          <w:tab w:leader="none" w:pos="660" w:val="left"/>
        </w:tabs>
        <w:numPr>
          <w:ilvl w:val="0"/>
          <w:numId w:val="28"/>
        </w:numPr>
        <w:rPr>
          <w:rFonts w:ascii="Arial" w:cs="Arial" w:eastAsia="Arial" w:hAnsi="Arial"/>
          <w:sz w:val="18"/>
          <w:szCs w:val="18"/>
          <w:color w:val="0000EE"/>
        </w:rPr>
      </w:pPr>
      <w:hyperlink r:id="rId51">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2013 (File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8">
        <w:r>
          <w:rPr>
            <w:rFonts w:ascii="Arial" w:cs="Arial" w:eastAsia="Arial" w:hAnsi="Arial"/>
            <w:sz w:val="18"/>
            <w:szCs w:val="18"/>
            <w:u w:val="single" w:color="auto"/>
            <w:color w:val="0000EE"/>
          </w:rPr>
          <w:t>June 16, 2010 (File No. 001-34785)</w:t>
        </w:r>
      </w:hyperlink>
      <w:hyperlink r:id="rId51">
        <w:r>
          <w:rPr>
            <w:rFonts w:ascii="Arial" w:cs="Arial" w:eastAsia="Arial" w:hAnsi="Arial"/>
            <w:sz w:val="18"/>
            <w:szCs w:val="18"/>
            <w:color w:val="000000"/>
          </w:rPr>
          <w:t xml:space="preserve">,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5" w:lineRule="exact"/>
        <w:rPr>
          <w:rFonts w:ascii="Arial" w:cs="Arial" w:eastAsia="Arial" w:hAnsi="Arial"/>
          <w:sz w:val="18"/>
          <w:szCs w:val="18"/>
          <w:color w:val="0000EE"/>
        </w:rPr>
      </w:pPr>
    </w:p>
    <w:p>
      <w:pPr>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ind w:right="40"/>
        <w:spacing w:after="0" w:line="263"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40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39"/>
          <w:szCs w:val="39"/>
          <w:b w:val="1"/>
          <w:bCs w:val="1"/>
          <w:color w:val="auto"/>
        </w:rPr>
        <w:t>XpresSpa,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30" Type="http://schemas.openxmlformats.org/officeDocument/2006/relationships/hyperlink" Target="http://www.sec.gov/Archives/edgar/data/1410428/000114420419017496/tv516017_10k.htm" TargetMode="External"/><Relationship Id="rId32" Type="http://schemas.openxmlformats.org/officeDocument/2006/relationships/hyperlink" Target="http://www.sec.gov/Archives/edgar/data/1410428/000114420419022522/tv519608_10ka.htm" TargetMode="External"/><Relationship Id="rId33" Type="http://schemas.openxmlformats.org/officeDocument/2006/relationships/hyperlink" Target="http://www.sec.gov/Archives/edgar/data/1410428/000114420419026665/tv520725_10q.htm" TargetMode="External"/><Relationship Id="rId34" Type="http://schemas.openxmlformats.org/officeDocument/2006/relationships/hyperlink" Target="http://www.sec.gov/Archives/edgar/data/1410428/000114420419040130/tv527296_10q.htm" TargetMode="External"/><Relationship Id="rId35" Type="http://schemas.openxmlformats.org/officeDocument/2006/relationships/hyperlink" Target="http://www.sec.gov/Archives/edgar/data/1410428/000110465919064328/tm1919635d1_10q.htm" TargetMode="External"/><Relationship Id="rId36" Type="http://schemas.openxmlformats.org/officeDocument/2006/relationships/hyperlink" Target="http://www.sec.gov/Archives/edgar/data/1410428/000114420419038961/tv526329-def14a.htm" TargetMode="External"/><Relationship Id="rId37" Type="http://schemas.openxmlformats.org/officeDocument/2006/relationships/hyperlink" Target="http://www.sec.gov/Archives/edgar/data/1410428/000114420419007309/tv513163_8k.htm" TargetMode="External"/><Relationship Id="rId38" Type="http://schemas.openxmlformats.org/officeDocument/2006/relationships/hyperlink" Target="http://www.sec.gov/Archives/edgar/data/1410428/000114420419009610/tv514467_8k.htm" TargetMode="External"/><Relationship Id="rId39" Type="http://schemas.openxmlformats.org/officeDocument/2006/relationships/hyperlink" Target="http://www.sec.gov/Archives/edgar/data/1410428/000114420419014325/tv516349_8k.htm" TargetMode="External"/><Relationship Id="rId40" Type="http://schemas.openxmlformats.org/officeDocument/2006/relationships/hyperlink" Target="http://www.sec.gov/Archives/edgar/data/1410428/000114420419015650/tv516755_8k.htm" TargetMode="External"/><Relationship Id="rId41" Type="http://schemas.openxmlformats.org/officeDocument/2006/relationships/hyperlink" Target="http://www.sec.gov/Archives/edgar/data/1410428/000114420419022528/tv520089_8k.htm" TargetMode="External"/><Relationship Id="rId42" Type="http://schemas.openxmlformats.org/officeDocument/2006/relationships/hyperlink" Target="http://www.sec.gov/Archives/edgar/data/1410428/000110465920003636/tm203197-1_8k.htm" TargetMode="External"/><Relationship Id="rId43" Type="http://schemas.openxmlformats.org/officeDocument/2006/relationships/hyperlink" Target="http://www.sec.gov/Archives/edgar/data/1410428/000110465920009856/tm206420d1_8k.htm" TargetMode="External"/><Relationship Id="rId44" Type="http://schemas.openxmlformats.org/officeDocument/2006/relationships/hyperlink" Target="http://www.sec.gov/Archives/edgar/data/1410428/000110465920029962/tm2011914d1_8k.htm" TargetMode="External"/><Relationship Id="rId45" Type="http://schemas.openxmlformats.org/officeDocument/2006/relationships/hyperlink" Target="http://www.sec.gov/Archives/edgar/data/1410428/000110465920035631/tm2013177d1_8k.htm" TargetMode="External"/><Relationship Id="rId46" Type="http://schemas.openxmlformats.org/officeDocument/2006/relationships/hyperlink" Target="http://www.sec.gov/Archives/edgar/data/1410428/000110465920038562/tm2013765d1_8k.htm" TargetMode="External"/><Relationship Id="rId47" Type="http://schemas.openxmlformats.org/officeDocument/2006/relationships/hyperlink" Target="http://www.sec.gov/Archives/edgar/data/1410428/000110465920039740/tm2014049-2_8k.htm" TargetMode="External"/><Relationship Id="rId48" Type="http://schemas.openxmlformats.org/officeDocument/2006/relationships/hyperlink" Target="http://www.sec.gov/Archives/edgar/data/1410428/000110465920039953/tm2014049d1_8k.htm" TargetMode="External"/><Relationship Id="rId49" Type="http://schemas.openxmlformats.org/officeDocument/2006/relationships/hyperlink" Target="http://www.sec.gov/Archives/edgar/data/1410428/000110465920043615/tm2015133-2_8k.htm" TargetMode="External"/><Relationship Id="rId50" Type="http://schemas.openxmlformats.org/officeDocument/2006/relationships/hyperlink" Target="http://www.sec.gov/Archives/edgar/data/1410428/000110465920043879/tm2015133d1_8k.htm" TargetMode="External"/><Relationship Id="rId51" Type="http://schemas.openxmlformats.org/officeDocument/2006/relationships/hyperlink" Target="http://www.sec.gov/Archives/edgar/data/1410428/000114420413024675/v342843_8a12b.htm" TargetMode="External"/><Relationship Id="rId60" Type="http://schemas.openxmlformats.org/officeDocument/2006/relationships/hyperlink" Target="http://www.sec.gov/Archives/edgar/data/1410428/000114420419034328/tv525020_8k.htm" TargetMode="External"/><Relationship Id="rId84" Type="http://schemas.openxmlformats.org/officeDocument/2006/relationships/hyperlink" Target="http://www.sec.gov/Archives/edgar/data/1410428/000114420419027101/tv521899_8k.htm" TargetMode="External"/><Relationship Id="rId85" Type="http://schemas.openxmlformats.org/officeDocument/2006/relationships/hyperlink" Target="http://www.sec.gov/Archives/edgar/data/1410428/000114420419031189/tv523626_8k.htm" TargetMode="External"/><Relationship Id="rId86" Type="http://schemas.openxmlformats.org/officeDocument/2006/relationships/hyperlink" Target="http://www.sec.gov/Archives/edgar/data/1410428/000114420419032532/tv524367_8k.htm" TargetMode="External"/><Relationship Id="rId87" Type="http://schemas.openxmlformats.org/officeDocument/2006/relationships/hyperlink" Target="http://www.sec.gov/Archives/edgar/data/1410428/000114420419033939/tv524856_8k.htm" TargetMode="External"/><Relationship Id="rId88"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2020-04-08T05:05:39Z</dcterms:created>
  <dcterms:modified xsi:type="dcterms:W3CDTF">2020-04-08T05:05:39Z</dcterms:modified>
</cp:coreProperties>
</file>