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July 17, 2020</w:t>
      </w:r>
    </w:p>
    <w:p>
      <w:pPr>
        <w:spacing w:after="0" w:line="225" w:lineRule="exact"/>
        <w:rPr>
          <w:sz w:val="24"/>
          <w:szCs w:val="24"/>
          <w:color w:val="auto"/>
        </w:rPr>
      </w:pPr>
    </w:p>
    <w:p>
      <w:pPr>
        <w:ind w:left="92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XPRESSPA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(State or other jurisdiction of</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incorporation or organization)</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ind w:left="680" w:right="300"/>
        <w:spacing w:after="0" w:line="282" w:lineRule="auto"/>
        <w:rPr>
          <w:sz w:val="20"/>
          <w:szCs w:val="20"/>
          <w:color w:val="auto"/>
        </w:rPr>
      </w:pPr>
      <w:r>
        <w:rPr>
          <w:rFonts w:ascii="Arial" w:cs="Arial" w:eastAsia="Arial" w:hAnsi="Arial"/>
          <w:sz w:val="18"/>
          <w:szCs w:val="18"/>
          <w:b w:val="1"/>
          <w:bCs w:val="1"/>
          <w:color w:val="auto"/>
        </w:rPr>
        <w:t>XPRESSPA GROUP, INC. 2012 EMPLOYEE, DIRECTOR AND CONSULTANT EQUITY INCENTIVE PLAN, AS AMENDED (Full title of the plan)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jc w:val="center"/>
        <w:ind w:right="-19"/>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Koch,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0" w:gutter="0" w:footer="0" w:header="0"/>
        </w:sectPr>
      </w:pPr>
    </w:p>
    <w:p>
      <w:pPr>
        <w:spacing w:after="0" w:line="151" w:lineRule="exact"/>
        <w:rPr>
          <w:sz w:val="24"/>
          <w:szCs w:val="24"/>
          <w:color w:val="auto"/>
        </w:rPr>
      </w:pPr>
    </w:p>
    <w:p>
      <w:pPr>
        <w:ind w:left="1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4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520"/>
          </w:cols>
          <w:pgMar w:left="320" w:top="472" w:right="339" w:bottom="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720" w:type="dxa"/>
            <w:vAlign w:val="bottom"/>
            <w:gridSpan w:val="7"/>
          </w:tcPr>
          <w:p>
            <w:pPr>
              <w:ind w:left="30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600" w:type="dxa"/>
            <w:vAlign w:val="bottom"/>
          </w:tcPr>
          <w:p>
            <w:pPr>
              <w:ind w:left="1940"/>
              <w:spacing w:after="0"/>
              <w:rPr>
                <w:sz w:val="20"/>
                <w:szCs w:val="20"/>
                <w:color w:val="auto"/>
              </w:rPr>
            </w:pPr>
            <w:r>
              <w:rPr>
                <w:rFonts w:ascii="Arial" w:cs="Arial" w:eastAsia="Arial" w:hAnsi="Arial"/>
                <w:sz w:val="18"/>
                <w:szCs w:val="18"/>
                <w:b w:val="1"/>
                <w:bCs w:val="1"/>
                <w:color w:val="auto"/>
              </w:rPr>
              <w:t>Title of Securities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To Be</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Offering Price Per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Registration</w:t>
            </w:r>
          </w:p>
        </w:tc>
      </w:tr>
      <w:tr>
        <w:trPr>
          <w:trHeight w:val="270"/>
        </w:trPr>
        <w:tc>
          <w:tcPr>
            <w:tcW w:w="3600" w:type="dxa"/>
            <w:vAlign w:val="bottom"/>
          </w:tcPr>
          <w:p>
            <w:pPr>
              <w:ind w:left="1980"/>
              <w:spacing w:after="0"/>
              <w:rPr>
                <w:sz w:val="20"/>
                <w:szCs w:val="20"/>
                <w:color w:val="auto"/>
              </w:rPr>
            </w:pPr>
            <w:r>
              <w:rPr>
                <w:rFonts w:ascii="Arial" w:cs="Arial" w:eastAsia="Arial" w:hAnsi="Arial"/>
                <w:sz w:val="18"/>
                <w:szCs w:val="18"/>
                <w:b w:val="1"/>
                <w:bCs w:val="1"/>
                <w:color w:val="auto"/>
              </w:rPr>
              <w:t>To Be Registered</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60"/>
              <w:spacing w:after="0" w:line="27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200" w:type="dxa"/>
            <w:vAlign w:val="bottom"/>
          </w:tcPr>
          <w:p>
            <w:pPr>
              <w:spacing w:after="0"/>
              <w:rPr>
                <w:sz w:val="23"/>
                <w:szCs w:val="23"/>
                <w:color w:val="auto"/>
              </w:rPr>
            </w:pPr>
          </w:p>
        </w:tc>
        <w:tc>
          <w:tcPr>
            <w:tcW w:w="1340" w:type="dxa"/>
            <w:vAlign w:val="bottom"/>
            <w:gridSpan w:val="2"/>
          </w:tcPr>
          <w:p>
            <w:pPr>
              <w:jc w:val="center"/>
              <w:ind w:right="320"/>
              <w:spacing w:after="0" w:line="270"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9"/>
                <w:szCs w:val="29"/>
                <w:b w:val="1"/>
                <w:bCs w:val="1"/>
                <w:color w:val="auto"/>
                <w:w w:val="84"/>
                <w:vertAlign w:val="superscript"/>
              </w:rPr>
              <w:t>(2)</w:t>
            </w:r>
          </w:p>
        </w:tc>
        <w:tc>
          <w:tcPr>
            <w:tcW w:w="1580" w:type="dxa"/>
            <w:vAlign w:val="bottom"/>
            <w:gridSpan w:val="4"/>
          </w:tcPr>
          <w:p>
            <w:pPr>
              <w:jc w:val="center"/>
              <w:ind w:right="100"/>
              <w:spacing w:after="0" w:line="270"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29"/>
                <w:szCs w:val="29"/>
                <w:b w:val="1"/>
                <w:bCs w:val="1"/>
                <w:color w:val="auto"/>
                <w:w w:val="89"/>
                <w:vertAlign w:val="superscript"/>
              </w:rPr>
              <w:t>(2)</w:t>
            </w:r>
          </w:p>
        </w:tc>
        <w:tc>
          <w:tcPr>
            <w:tcW w:w="120" w:type="dxa"/>
            <w:vAlign w:val="bottom"/>
          </w:tcPr>
          <w:p>
            <w:pPr>
              <w:spacing w:after="0"/>
              <w:rPr>
                <w:sz w:val="23"/>
                <w:szCs w:val="2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Fee</w:t>
            </w:r>
          </w:p>
        </w:tc>
      </w:tr>
      <w:tr>
        <w:trPr>
          <w:trHeight w:val="209"/>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 per share</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721,666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2,524,099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4"/>
          <w:szCs w:val="24"/>
          <w:color w:val="auto"/>
        </w:rPr>
      </w:pPr>
    </w:p>
    <w:p>
      <w:pPr>
        <w:ind w:left="340" w:right="100" w:hanging="211"/>
        <w:spacing w:after="0" w:line="274"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5"/>
          <w:szCs w:val="15"/>
          <w:color w:val="auto"/>
        </w:rPr>
        <w:t>The number of shares of common stock, par value $0.01 per share (“Common Stock”), stated above consists of 721,666 additional shares of Common Stock not previously registered which may hereafter be issued under the XpresSpa Group, Inc. 2012 Employee, Director and Consultant Equity Incentive Plan (the “2012 Plan”) pursuant to an amendment to the 2012 Plan adopted by the Company’s stockholders on October 2, 2019. The maximum number of shares which may be sold under the 2012 Plan is subject to adjustment in accordance with certain anti-dilution and other provisions of the 2012 Plan. Accordingly, pursuant to Rule 416 under the Securities Act of 1933, as amended, this Registration Statement covers, in</w:t>
      </w:r>
    </w:p>
    <w:p>
      <w:pPr>
        <w:sectPr>
          <w:pgSz w:w="11900" w:h="16838" w:orient="portrait"/>
          <w:cols w:equalWidth="0" w:num="1">
            <w:col w:w="11240"/>
          </w:cols>
          <w:pgMar w:left="320" w:top="472" w:right="339" w:bottom="0" w:gutter="0" w:footer="0" w:header="0"/>
          <w:type w:val="continuous"/>
        </w:sectPr>
      </w:pPr>
    </w:p>
    <w:bookmarkStart w:id="1" w:name="page2"/>
    <w:bookmarkEnd w:id="1"/>
    <w:p>
      <w:pPr>
        <w:ind w:left="211"/>
        <w:spacing w:after="0" w:line="263" w:lineRule="auto"/>
        <w:rPr>
          <w:sz w:val="20"/>
          <w:szCs w:val="20"/>
          <w:color w:val="auto"/>
        </w:rPr>
      </w:pPr>
      <w:r>
        <w:rPr>
          <w:rFonts w:ascii="Arial" w:cs="Arial" w:eastAsia="Arial" w:hAnsi="Arial"/>
          <w:sz w:val="18"/>
          <w:szCs w:val="18"/>
          <w:color w:val="auto"/>
        </w:rPr>
        <w:t>addition to the number of shares stated above, an indeterminate number of shares which may be subject to grant or otherwise issuable after the operation of any such anti-dilution and other provisions. All Common Stock figures appear in this Registration Statement have been adjusted to reflect a 1-for-3 reverse stock split of our outstanding Common Stock that became effective on June 11, 2020.</w:t>
      </w:r>
    </w:p>
    <w:p>
      <w:pPr>
        <w:spacing w:after="0" w:line="184" w:lineRule="exact"/>
        <w:rPr>
          <w:sz w:val="20"/>
          <w:szCs w:val="20"/>
          <w:color w:val="auto"/>
        </w:rPr>
      </w:pPr>
    </w:p>
    <w:p>
      <w:pPr>
        <w:ind w:left="211" w:right="20" w:hanging="211"/>
        <w:spacing w:after="0" w:line="349" w:lineRule="auto"/>
        <w:tabs>
          <w:tab w:leader="none" w:pos="211"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This calculation is made solely for the purpose of determining the registration fee pursuant to the provisions of Rule 457(c) and (h) under the Securities Act as follows: in the case of shares of Common Stock to be issued in connection with equity awards that have not yet been granted or shares of Common Stock that have not yet been issued, the fee is calculated on the basis of the average of the high and low sale prices per share of the Common Stock on The Nasdaq Capital Market ($3.4976) as of a date within five business days prior to filing this Registration Statement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88900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106045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551815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51"/>
          </w:cols>
          <w:pgMar w:left="449" w:top="125"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firstLine="27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This Registration Statement on Form S-8 registers additional shares of Common Stock under the 2012 Plan pursuant to an amendment to the 2012 Plan adopted by the Company’s stockholders on October 2, 2019. The additional shares of Common Stock are of the same class as other securities for which the registration statements filed on </w:t>
      </w:r>
      <w:hyperlink r:id="rId14">
        <w:r>
          <w:rPr>
            <w:rFonts w:ascii="Arial" w:cs="Arial" w:eastAsia="Arial" w:hAnsi="Arial"/>
            <w:sz w:val="17"/>
            <w:szCs w:val="17"/>
            <w:u w:val="single" w:color="auto"/>
            <w:color w:val="0000EE"/>
          </w:rPr>
          <w:t>Form S-8 on July 26, 2012 (SEC File No. 333-182853)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5">
        <w:r>
          <w:rPr>
            <w:rFonts w:ascii="Arial" w:cs="Arial" w:eastAsia="Arial" w:hAnsi="Arial"/>
            <w:sz w:val="17"/>
            <w:szCs w:val="17"/>
            <w:u w:val="single" w:color="auto"/>
            <w:color w:val="0000EE"/>
          </w:rPr>
          <w:t>March 17, 2016 (SEC File No. 333-210257)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Registrant are effective. The information contained in the Registrant’s registration statements on Form S-8 (SEC File No. 333-182853) and (SEC File No. 333-210257) are hereby incorporated by reference pursuant to General Instruction E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6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rPr>
              <w:t>PART II</w:t>
            </w: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rPr>
              <w:t>INFORMATION REQUIRED IN THE REGISTRATION STATEMENT</w:t>
            </w:r>
          </w:p>
        </w:tc>
      </w:tr>
      <w:tr>
        <w:trPr>
          <w:trHeight w:val="432"/>
        </w:trPr>
        <w:tc>
          <w:tcPr>
            <w:tcW w:w="11240" w:type="dxa"/>
            <w:vAlign w:val="bottom"/>
            <w:gridSpan w:val="9"/>
          </w:tcPr>
          <w:p>
            <w:pPr>
              <w:spacing w:after="0"/>
              <w:rPr>
                <w:sz w:val="20"/>
                <w:szCs w:val="20"/>
                <w:color w:val="auto"/>
              </w:rPr>
            </w:pPr>
            <w:r>
              <w:rPr>
                <w:rFonts w:ascii="Arial" w:cs="Arial" w:eastAsia="Arial" w:hAnsi="Arial"/>
                <w:sz w:val="18"/>
                <w:szCs w:val="18"/>
                <w:b w:val="1"/>
                <w:bCs w:val="1"/>
                <w:color w:val="auto"/>
              </w:rPr>
              <w:t>Item 8. Exhibits</w:t>
            </w:r>
          </w:p>
        </w:tc>
      </w:tr>
      <w:tr>
        <w:trPr>
          <w:trHeight w:val="414"/>
        </w:trPr>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20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No.</w:t>
            </w:r>
          </w:p>
        </w:tc>
        <w:tc>
          <w:tcPr>
            <w:tcW w:w="20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80" w:type="dxa"/>
            <w:vAlign w:val="bottom"/>
            <w:gridSpan w:val="5"/>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3.1</w:t>
              </w:r>
            </w:hyperlink>
          </w:p>
        </w:tc>
        <w:tc>
          <w:tcPr>
            <w:tcW w:w="220" w:type="dxa"/>
            <w:vAlign w:val="bottom"/>
          </w:tcPr>
          <w:p>
            <w:pPr>
              <w:spacing w:after="0"/>
              <w:rPr>
                <w:sz w:val="14"/>
                <w:szCs w:val="14"/>
                <w:color w:val="auto"/>
              </w:rPr>
            </w:pPr>
          </w:p>
        </w:tc>
        <w:tc>
          <w:tcPr>
            <w:tcW w:w="1008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Amended and Restated Certificate of Incorporation, as amended (incorporated by reference to Exhibit 3.1 to the Registrant’s Annual Report</w:t>
              </w:r>
            </w:hyperlink>
          </w:p>
        </w:tc>
        <w:tc>
          <w:tcPr>
            <w:tcW w:w="20" w:type="dxa"/>
            <w:vAlign w:val="bottom"/>
            <w:tcBorders>
              <w:top w:val="single" w:sz="8" w:color="auto"/>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7">
              <w:r>
                <w:rPr>
                  <w:rFonts w:ascii="Arial" w:cs="Arial" w:eastAsia="Arial" w:hAnsi="Arial"/>
                  <w:sz w:val="18"/>
                  <w:szCs w:val="18"/>
                  <w:color w:val="0000EE"/>
                  <w:w w:val="93"/>
                </w:rPr>
                <w:t>on Form 10-K filed on April 20, 2020) (File No. 001-34785).</w:t>
              </w:r>
            </w:hyperlink>
          </w:p>
        </w:tc>
        <w:tc>
          <w:tcPr>
            <w:tcW w:w="5680" w:type="dxa"/>
            <w:vAlign w:val="bottom"/>
            <w:gridSpan w:val="5"/>
          </w:tcPr>
          <w:p>
            <w:pPr>
              <w:spacing w:after="0"/>
              <w:rPr>
                <w:sz w:val="17"/>
                <w:szCs w:val="17"/>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3.2</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9"/>
              </w:rPr>
            </w:pPr>
            <w:hyperlink r:id="rId18">
              <w:r>
                <w:rPr>
                  <w:rFonts w:ascii="Arial" w:cs="Arial" w:eastAsia="Arial" w:hAnsi="Arial"/>
                  <w:sz w:val="18"/>
                  <w:szCs w:val="18"/>
                  <w:color w:val="0000EE"/>
                  <w:w w:val="99"/>
                </w:rPr>
                <w:t>Certificate of Amendment to Amended and Restated Certificate of Incorporation (incorporated by reference to Exhibit 3.1 to the</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Registrant’s Current Report on Form 8-K filed on June 10, 2020) (File No. 001-34785).</w:t>
              </w:r>
            </w:hyperlink>
          </w:p>
        </w:tc>
        <w:tc>
          <w:tcPr>
            <w:tcW w:w="86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3.3</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Amended and Restated Bylaws (incorporated by reference to Exhibit 3.2 to the Registrant’s Annual Report on Form 10-K filed on April 1,</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2019) (File No. 001-34785).</w:t>
              </w:r>
            </w:hyperlink>
          </w:p>
        </w:tc>
        <w:tc>
          <w:tcPr>
            <w:tcW w:w="12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r>
      <w:tr>
        <w:trPr>
          <w:trHeight w:val="453"/>
        </w:trPr>
        <w:tc>
          <w:tcPr>
            <w:tcW w:w="9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Mintz, Levin, Cohn, Ferris, Glovsky and Popeo, P.C.</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u w:val="single" w:color="auto"/>
                  <w:color w:val="0000EE"/>
                </w:rPr>
                <w:t>Consent of CohnReznick LLP</w:t>
              </w:r>
              <w:r>
                <w:rPr>
                  <w:rFonts w:ascii="Arial" w:cs="Arial" w:eastAsia="Arial" w:hAnsi="Arial"/>
                  <w:sz w:val="18"/>
                  <w:szCs w:val="18"/>
                  <w:color w:val="0000EE"/>
                </w:rPr>
                <w:t>.</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23.2*</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Mintz, Levin, Cohn, Ferris, Glovsky and Popeo, P.C. (included in Exhibit 5.1).</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XpresSpa Group, Inc. 2012 Employee, Director and Consultant Equity Incentive Plan, as amended.</w:t>
              </w:r>
            </w:hyperlink>
          </w:p>
        </w:tc>
      </w:tr>
    </w:tbl>
    <w:p>
      <w:pPr>
        <w:spacing w:after="0" w:line="2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July 17,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Each person whose signature appears below constitutes and appoints Douglas Satzman his/her true and lawful attorney-in-fact and agent, with full power of substitution and resubstitution in him, for him/her and in his/her name, place and stead, and in any and all capacities, to sign any and all amendments (including post-effective amendments) to this Registration Statement on Form S-8 of XpresSpa Group, Inc., and to file the same, with all exhibits thereto and other documents in connection therewith, with the Securities and Exchange Commission, granting to the attorney-in-fact and agent, full power and authority to do and perform each and every act and thing requisite or necessary to be done in or about the premises, as full to all intents and purposes as he/she might or could do in person, hereby ratifying and confirming all that the attorney-in-fact and agent or his substitute may lawfully do or cause to be done by virtue hereof.</w:t>
      </w:r>
    </w:p>
    <w:p>
      <w:pPr>
        <w:spacing w:after="0" w:line="19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Date</w:t>
            </w:r>
          </w:p>
        </w:tc>
      </w:tr>
      <w:tr>
        <w:trPr>
          <w:trHeight w:val="43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3600" w:type="dxa"/>
            <w:vAlign w:val="bottom"/>
          </w:tcPr>
          <w:p>
            <w:pPr>
              <w:spacing w:after="0"/>
              <w:rPr>
                <w:sz w:val="20"/>
                <w:szCs w:val="20"/>
                <w:color w:val="auto"/>
              </w:rPr>
            </w:pPr>
            <w:r>
              <w:rPr>
                <w:rFonts w:ascii="Arial" w:cs="Arial" w:eastAsia="Arial" w:hAnsi="Arial"/>
                <w:sz w:val="18"/>
                <w:szCs w:val="18"/>
                <w:color w:val="auto"/>
              </w:rPr>
              <w:t>July 17, 2020</w:t>
            </w:r>
          </w:p>
        </w:tc>
      </w:tr>
      <w:tr>
        <w:trPr>
          <w:trHeight w:val="182"/>
        </w:trPr>
        <w:tc>
          <w:tcPr>
            <w:tcW w:w="3620" w:type="dxa"/>
            <w:vAlign w:val="bottom"/>
          </w:tcPr>
          <w:p>
            <w:pPr>
              <w:spacing w:after="0" w:line="182" w:lineRule="exact"/>
              <w:rPr>
                <w:sz w:val="20"/>
                <w:szCs w:val="20"/>
                <w:color w:val="auto"/>
              </w:rPr>
            </w:pPr>
            <w:r>
              <w:rPr>
                <w:rFonts w:ascii="Arial" w:cs="Arial" w:eastAsia="Arial" w:hAnsi="Arial"/>
                <w:sz w:val="18"/>
                <w:szCs w:val="18"/>
                <w:color w:val="auto"/>
              </w:rPr>
              <w:t>Douglas Satzman</w:t>
            </w:r>
          </w:p>
        </w:tc>
        <w:tc>
          <w:tcPr>
            <w:tcW w:w="220" w:type="dxa"/>
            <w:vAlign w:val="bottom"/>
          </w:tcPr>
          <w:p>
            <w:pPr>
              <w:spacing w:after="0"/>
              <w:rPr>
                <w:sz w:val="15"/>
                <w:szCs w:val="15"/>
                <w:color w:val="auto"/>
              </w:rPr>
            </w:pPr>
          </w:p>
        </w:tc>
        <w:tc>
          <w:tcPr>
            <w:tcW w:w="380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4"/>
              </w:rPr>
              <w:t>(principal executive officer, principal financial</w:t>
            </w:r>
          </w:p>
        </w:tc>
        <w:tc>
          <w:tcPr>
            <w:tcW w:w="3600" w:type="dxa"/>
            <w:vAlign w:val="bottom"/>
          </w:tcPr>
          <w:p>
            <w:pPr>
              <w:spacing w:after="0"/>
              <w:rPr>
                <w:sz w:val="15"/>
                <w:szCs w:val="15"/>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officer and principal accounting officer)</w:t>
            </w:r>
          </w:p>
        </w:tc>
        <w:tc>
          <w:tcPr>
            <w:tcW w:w="3600" w:type="dxa"/>
            <w:vAlign w:val="bottom"/>
          </w:tcPr>
          <w:p>
            <w:pPr>
              <w:spacing w:after="0"/>
              <w:rPr>
                <w:sz w:val="20"/>
                <w:szCs w:val="20"/>
                <w:color w:val="auto"/>
              </w:rPr>
            </w:pPr>
          </w:p>
        </w:tc>
      </w:tr>
      <w:tr>
        <w:trPr>
          <w:trHeight w:val="43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17,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Bruce T. Bernstein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Weinstein</w:t>
            </w: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17,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Robert Weinstein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Lebowitz</w:t>
            </w: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17,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Michael Lebowitz</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17,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Donald E. Stout</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891540" cy="1080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91540" cy="1080135"/>
                    </a:xfrm>
                    <a:prstGeom prst="rect">
                      <a:avLst/>
                    </a:prstGeom>
                    <a:noFill/>
                  </pic:spPr>
                </pic:pic>
              </a:graphicData>
            </a:graphic>
          </wp:anchor>
        </w:drawing>
      </w:r>
    </w:p>
    <w:p>
      <w:pPr>
        <w:spacing w:after="0" w:line="2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Chrysler Center</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212-935-3000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212-983-3115 fax</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2" w:lineRule="auto"/>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have acted as legal counsel to XpresSpa Group,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721,666 shares (the “Shares”) of the Company’s common stock, $0.01 par value per share (the “Common Stock”), that may be issued pursuant to the Company’s 2012 Employee, Director and Consultant Equity Incentive Plan, as amended (the “2012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9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In connection with this opinion, we have examined the Company’s Amended and Restated Certificate of Incorporation, as amended, and the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In addition, we have assumed that the Company will receive any required consideration in accordance with the terms of the 2012 Plan.</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States federal securities laws and we express no opinion with respect to the laws of any other jurisdiction. No opinion is expressed herein with respect to the qualification of the Shares under the securities or blue sky laws of any state or any foreign jurisdiction.</w:t>
      </w:r>
    </w:p>
    <w:p>
      <w:pPr>
        <w:spacing w:after="0" w:line="18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right="180" w:firstLine="441"/>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delivered and paid for in accordance with the terms of the 2012 Plan, will be validly issued, fully paid and non-assessable.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9560"/>
        <w:spacing w:after="0"/>
        <w:rPr>
          <w:sz w:val="20"/>
          <w:szCs w:val="20"/>
          <w:color w:val="auto"/>
        </w:rPr>
      </w:pPr>
      <w:r>
        <w:rPr>
          <w:rFonts w:ascii="Arial" w:cs="Arial" w:eastAsia="Arial" w:hAnsi="Arial"/>
          <w:sz w:val="18"/>
          <w:szCs w:val="18"/>
          <w:u w:val="single" w:color="auto"/>
          <w:color w:val="auto"/>
        </w:rPr>
        <w:t>/s/ Mintz, Levin,</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8"/>
          <w:szCs w:val="18"/>
          <w:u w:val="single" w:color="auto"/>
          <w:color w:val="auto"/>
        </w:rPr>
        <w:t>Cohn,</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u w:val="single" w:color="auto"/>
          <w:color w:val="auto"/>
        </w:rPr>
        <w:t>Ferris, Glovsky and</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u w:val="single" w:color="auto"/>
          <w:color w:val="auto"/>
        </w:rPr>
        <w:t>Popeo, P.C</w:t>
      </w:r>
      <w:r>
        <w:rPr>
          <w:rFonts w:ascii="Arial" w:cs="Arial" w:eastAsia="Arial" w:hAnsi="Arial"/>
          <w:sz w:val="18"/>
          <w:szCs w:val="18"/>
          <w:color w:val="auto"/>
        </w:rPr>
        <w:t>.</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Mintz, Levin, Cohn,</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Ferris, Glovsky and</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S-8 pertaining to the XpresSpa Group, Inc. 2012 Employee, Director and Consultant Equity Incentive Plan, as amended, of our report dated April 20, 2020, on our audits of the financial statements of XpresSpa Group, Inc. as of December 31, 2019 and 2018, and for the years then ended, which report appears in the December 31, 2019 Form 10-K of XpresSpa Group, Inc., which includes an explanatory paragraph related to XpresSpa Groups, Inc.’s ability to continue as a going concern.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November 2, 2015 and October 2, 2019)</w:t>
      </w:r>
      <w:r>
        <w:rPr>
          <w:rFonts w:ascii="Arial" w:cs="Arial" w:eastAsia="Arial" w:hAnsi="Arial"/>
          <w:sz w:val="29"/>
          <w:szCs w:val="29"/>
          <w:b w:val="1"/>
          <w:bCs w:val="1"/>
          <w:color w:val="auto"/>
          <w:vertAlign w:val="superscript"/>
        </w:rPr>
        <w:t>1</w:t>
      </w:r>
    </w:p>
    <w:p>
      <w:pPr>
        <w:spacing w:after="0" w:line="125"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XpresSpa Group, Inc. 2012 Employee, Director and Consultant Equity Incentive Plan, have the following meanings: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 “Beneficial Owner”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87" w:lineRule="exact"/>
        <w:rPr>
          <w:rFonts w:ascii="Arial" w:cs="Arial" w:eastAsia="Arial" w:hAnsi="Arial"/>
          <w:sz w:val="18"/>
          <w:szCs w:val="18"/>
          <w:b w:val="1"/>
          <w:bCs w:val="1"/>
          <w:color w:val="auto"/>
        </w:rPr>
      </w:pPr>
    </w:p>
    <w:p>
      <w:pPr>
        <w:jc w:val="both"/>
        <w:ind w:left="980" w:hanging="324"/>
        <w:spacing w:after="0" w:line="273" w:lineRule="auto"/>
        <w:tabs>
          <w:tab w:leader="none" w:pos="98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Merger/Sale of Assets</w:t>
      </w:r>
      <w:r>
        <w:rPr>
          <w:rFonts w:ascii="Arial" w:cs="Arial" w:eastAsia="Arial" w:hAnsi="Arial"/>
          <w:sz w:val="17"/>
          <w:szCs w:val="17"/>
          <w:color w:val="auto"/>
        </w:rPr>
        <w:t>. (A) A merger or consolidation of the Company whether or not approved by the Board of Directors, other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ind w:right="120"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numbers appear in Paragraphs 3(a) and 4(c) have been adjusted to reflect a 1-for-3 reverse stock split of the company’s shares of common stock, par value $0.01 per share, effected on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both"/>
        <w:ind w:left="980" w:hanging="324"/>
        <w:spacing w:after="0" w:line="255"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 which fewer than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92"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2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29"/>
          <w:szCs w:val="29"/>
          <w:color w:val="auto"/>
          <w:vertAlign w:val="superscript"/>
        </w:rPr>
        <w:t>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XpresSpa Group, Inc., a Delaware corporation.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5" w:lineRule="exact"/>
        <w:rPr>
          <w:sz w:val="20"/>
          <w:szCs w:val="20"/>
          <w:color w:val="auto"/>
        </w:rPr>
      </w:pPr>
    </w:p>
    <w:p>
      <w:pPr>
        <w:jc w:val="both"/>
        <w:ind w:firstLine="332"/>
        <w:spacing w:after="0" w:line="311" w:lineRule="auto"/>
        <w:tabs>
          <w:tab w:leader="none" w:pos="583"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48" w:lineRule="exact"/>
        <w:rPr>
          <w:rFonts w:ascii="Arial" w:cs="Arial" w:eastAsia="Arial" w:hAnsi="Arial"/>
          <w:sz w:val="16"/>
          <w:szCs w:val="16"/>
          <w:color w:val="auto"/>
        </w:rPr>
      </w:pPr>
    </w:p>
    <w:p>
      <w:pPr>
        <w:jc w:val="both"/>
        <w:ind w:firstLine="332"/>
        <w:spacing w:after="0" w:line="301" w:lineRule="auto"/>
        <w:tabs>
          <w:tab w:leader="none" w:pos="588"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right="20" w:firstLine="8"/>
        <w:spacing w:after="0" w:line="194" w:lineRule="auto"/>
        <w:tabs>
          <w:tab w:leader="none" w:pos="128"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firstLine="332"/>
        <w:spacing w:after="0" w:line="342" w:lineRule="auto"/>
        <w:tabs>
          <w:tab w:leader="none" w:pos="5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Employee, director or Consultant of the Company or an Affiliate to whom one or more Stock Rights are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“Participant” shall include “Participant’s Survivors” where the context requires.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XpresSpa Group, Inc. 2012 Employee, Director and Consultant Equity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ind w:left="520" w:hanging="188"/>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7" w:lineRule="exact"/>
        <w:rPr>
          <w:sz w:val="20"/>
          <w:szCs w:val="20"/>
          <w:color w:val="auto"/>
        </w:rPr>
      </w:pPr>
    </w:p>
    <w:p>
      <w:pPr>
        <w:ind w:left="520" w:hanging="188"/>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left="580" w:hanging="248"/>
        <w:spacing w:after="0"/>
        <w:tabs>
          <w:tab w:leader="none" w:pos="5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number of Shares which may be issued from time to time pursuant to this Plan shall be the sum of: (i) 833,333 shares of Common Stock and</w:t>
      </w:r>
    </w:p>
    <w:p>
      <w:pPr>
        <w:spacing w:after="0" w:line="46" w:lineRule="exact"/>
        <w:rPr>
          <w:rFonts w:ascii="Arial" w:cs="Arial" w:eastAsia="Arial" w:hAnsi="Arial"/>
          <w:sz w:val="16"/>
          <w:szCs w:val="16"/>
          <w:color w:val="auto"/>
        </w:rPr>
      </w:pPr>
    </w:p>
    <w:p>
      <w:pPr>
        <w:jc w:val="both"/>
        <w:ind w:firstLine="8"/>
        <w:spacing w:after="0" w:line="271" w:lineRule="auto"/>
        <w:tabs>
          <w:tab w:leader="none" w:pos="2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500,000 shares shall be added to the Plan pursuant to subsection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332"/>
        <w:spacing w:after="0" w:line="291" w:lineRule="auto"/>
        <w:tabs>
          <w:tab w:leader="none" w:pos="5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66"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332"/>
        <w:spacing w:after="0" w:line="277" w:lineRule="auto"/>
        <w:tabs>
          <w:tab w:leader="none" w:pos="5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firstLine="332"/>
        <w:spacing w:after="0" w:line="277" w:lineRule="auto"/>
        <w:tabs>
          <w:tab w:leader="none" w:pos="5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1,333,333 Shares be granted to any Participant in any fiscal year;</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5" w:lineRule="exact"/>
        <w:rPr>
          <w:rFonts w:ascii="Arial" w:cs="Arial" w:eastAsia="Arial" w:hAnsi="Arial"/>
          <w:sz w:val="18"/>
          <w:szCs w:val="18"/>
          <w:color w:val="auto"/>
        </w:rPr>
      </w:pPr>
    </w:p>
    <w:p>
      <w:pPr>
        <w:jc w:val="both"/>
        <w:ind w:firstLine="332"/>
        <w:spacing w:after="0" w:line="293" w:lineRule="auto"/>
        <w:tabs>
          <w:tab w:leader="none" w:pos="5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64" w:lineRule="exact"/>
        <w:rPr>
          <w:rFonts w:ascii="Arial" w:cs="Arial" w:eastAsia="Arial" w:hAnsi="Arial"/>
          <w:sz w:val="16"/>
          <w:szCs w:val="16"/>
          <w:color w:val="auto"/>
        </w:rPr>
      </w:pPr>
    </w:p>
    <w:p>
      <w:pPr>
        <w:jc w:val="both"/>
        <w:ind w:firstLine="332"/>
        <w:spacing w:after="0" w:line="286" w:lineRule="auto"/>
        <w:tabs>
          <w:tab w:leader="none" w:pos="5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520" w:hanging="18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87"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88" w:lineRule="exact"/>
        <w:rPr>
          <w:sz w:val="20"/>
          <w:szCs w:val="20"/>
          <w:color w:val="auto"/>
        </w:rPr>
      </w:pPr>
    </w:p>
    <w:p>
      <w:pPr>
        <w:ind w:firstLine="332"/>
        <w:spacing w:after="0" w:line="342" w:lineRule="auto"/>
        <w:tabs>
          <w:tab w:leader="none" w:pos="56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23"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157" w:lineRule="exact"/>
        <w:rPr>
          <w:rFonts w:ascii="Arial" w:cs="Arial" w:eastAsia="Arial" w:hAnsi="Arial"/>
          <w:sz w:val="16"/>
          <w:szCs w:val="16"/>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Option Conditions</w:t>
      </w:r>
      <w:r>
        <w:rPr>
          <w:rFonts w:ascii="Arial" w:cs="Arial" w:eastAsia="Arial" w:hAnsi="Arial"/>
          <w:sz w:val="16"/>
          <w:szCs w:val="16"/>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332"/>
        <w:spacing w:after="0" w:line="286" w:lineRule="auto"/>
        <w:tabs>
          <w:tab w:leader="none" w:pos="57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87"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65" w:lineRule="exact"/>
        <w:rPr>
          <w:sz w:val="20"/>
          <w:szCs w:val="20"/>
          <w:color w:val="auto"/>
        </w:rPr>
      </w:pPr>
    </w:p>
    <w:p>
      <w:pPr>
        <w:jc w:val="both"/>
        <w:ind w:firstLine="332"/>
        <w:spacing w:after="0" w:line="263" w:lineRule="auto"/>
        <w:tabs>
          <w:tab w:leader="none" w:pos="6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5" w:lineRule="exact"/>
        <w:rPr>
          <w:rFonts w:ascii="Arial" w:cs="Arial" w:eastAsia="Arial" w:hAnsi="Arial"/>
          <w:sz w:val="18"/>
          <w:szCs w:val="18"/>
          <w:color w:val="auto"/>
        </w:rPr>
      </w:pPr>
    </w:p>
    <w:p>
      <w:pPr>
        <w:ind w:firstLine="332"/>
        <w:spacing w:after="0" w:line="277" w:lineRule="auto"/>
        <w:tabs>
          <w:tab w:leader="none" w:pos="5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70"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324"/>
        <w:spacing w:after="0" w:line="301" w:lineRule="auto"/>
        <w:rPr>
          <w:sz w:val="20"/>
          <w:szCs w:val="20"/>
          <w:color w:val="auto"/>
        </w:rPr>
      </w:pPr>
      <w:r>
        <w:rPr>
          <w:rFonts w:ascii="Arial" w:cs="Arial" w:eastAsia="Arial" w:hAnsi="Arial"/>
          <w:sz w:val="16"/>
          <w:szCs w:val="16"/>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157"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600" w:hanging="268"/>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PAYMENT IN CONNECTION WITH THE ISSUANCE OF STOCK GRANTS AND STOCK-BASED AWARDS AND ISSUE OF SHARES.</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w:t>
      </w:r>
    </w:p>
    <w:p>
      <w:pPr>
        <w:jc w:val="both"/>
        <w:spacing w:after="0" w:line="231" w:lineRule="auto"/>
        <w:rPr>
          <w:sz w:val="20"/>
          <w:szCs w:val="20"/>
          <w:color w:val="auto"/>
        </w:rPr>
      </w:pPr>
      <w:r>
        <w:rPr>
          <w:rFonts w:ascii="Arial" w:cs="Arial" w:eastAsia="Arial" w:hAnsi="Arial"/>
          <w:sz w:val="17"/>
          <w:szCs w:val="17"/>
          <w:color w:val="auto"/>
        </w:rPr>
        <w:t>Common Stock held for at least six months (if required to avoid negative accounting treatment) and</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1" w:lineRule="exact"/>
        <w:rPr>
          <w:sz w:val="20"/>
          <w:szCs w:val="20"/>
          <w:color w:val="auto"/>
        </w:rPr>
      </w:pPr>
    </w:p>
    <w:p>
      <w:pPr>
        <w:ind w:firstLine="8"/>
        <w:spacing w:after="0" w:line="194" w:lineRule="auto"/>
        <w:tabs>
          <w:tab w:leader="none" w:pos="122"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324"/>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88" w:lineRule="exact"/>
        <w:rPr>
          <w:sz w:val="20"/>
          <w:szCs w:val="20"/>
          <w:color w:val="auto"/>
        </w:rPr>
      </w:pPr>
    </w:p>
    <w:p>
      <w:pPr>
        <w:ind w:left="600" w:hanging="268"/>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65" w:lineRule="exact"/>
        <w:rPr>
          <w:sz w:val="20"/>
          <w:szCs w:val="20"/>
          <w:color w:val="auto"/>
        </w:rPr>
      </w:pPr>
    </w:p>
    <w:p>
      <w:pPr>
        <w:ind w:left="600" w:hanging="26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1" w:lineRule="exact"/>
        <w:rPr>
          <w:sz w:val="20"/>
          <w:szCs w:val="20"/>
          <w:color w:val="auto"/>
        </w:rPr>
      </w:pPr>
    </w:p>
    <w:p>
      <w:pPr>
        <w:ind w:left="600" w:hanging="26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jc w:val="both"/>
        <w:ind w:firstLine="332"/>
        <w:spacing w:after="0" w:line="255" w:lineRule="auto"/>
        <w:tabs>
          <w:tab w:leader="none" w:pos="5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192" w:lineRule="exact"/>
        <w:rPr>
          <w:rFonts w:ascii="Arial" w:cs="Arial" w:eastAsia="Arial" w:hAnsi="Arial"/>
          <w:sz w:val="18"/>
          <w:szCs w:val="18"/>
          <w:color w:val="auto"/>
        </w:rPr>
      </w:pPr>
    </w:p>
    <w:p>
      <w:pPr>
        <w:ind w:firstLine="332"/>
        <w:spacing w:after="0" w:line="277" w:lineRule="auto"/>
        <w:tabs>
          <w:tab w:leader="none" w:pos="5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170" w:lineRule="exact"/>
        <w:rPr>
          <w:rFonts w:ascii="Arial" w:cs="Arial" w:eastAsia="Arial" w:hAnsi="Arial"/>
          <w:sz w:val="18"/>
          <w:szCs w:val="18"/>
          <w:color w:val="auto"/>
        </w:rPr>
      </w:pPr>
    </w:p>
    <w:p>
      <w:pPr>
        <w:jc w:val="both"/>
        <w:ind w:firstLine="332"/>
        <w:spacing w:after="0" w:line="257" w:lineRule="auto"/>
        <w:tabs>
          <w:tab w:leader="none" w:pos="5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332"/>
        <w:spacing w:after="0" w:line="259" w:lineRule="auto"/>
        <w:tabs>
          <w:tab w:leader="none" w:pos="6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8"/>
          <w:szCs w:val="18"/>
          <w:color w:val="auto"/>
        </w:rPr>
      </w:pPr>
    </w:p>
    <w:p>
      <w:pPr>
        <w:jc w:val="both"/>
        <w:ind w:firstLine="332"/>
        <w:spacing w:after="0" w:line="277" w:lineRule="auto"/>
        <w:tabs>
          <w:tab w:leader="none" w:pos="5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such leave of absence.</w:t>
      </w:r>
    </w:p>
    <w:p>
      <w:pPr>
        <w:spacing w:after="0" w:line="52" w:lineRule="exact"/>
        <w:rPr>
          <w:rFonts w:ascii="Arial" w:cs="Arial" w:eastAsia="Arial" w:hAnsi="Arial"/>
          <w:sz w:val="17"/>
          <w:szCs w:val="17"/>
          <w:color w:val="auto"/>
        </w:rPr>
      </w:pPr>
    </w:p>
    <w:p>
      <w:pPr>
        <w:jc w:val="both"/>
        <w:ind w:firstLine="332"/>
        <w:spacing w:after="0" w:line="263" w:lineRule="auto"/>
        <w:tabs>
          <w:tab w:leader="none" w:pos="5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4" w:lineRule="exact"/>
        <w:rPr>
          <w:sz w:val="20"/>
          <w:szCs w:val="20"/>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84" w:lineRule="exact"/>
        <w:rPr>
          <w:sz w:val="20"/>
          <w:szCs w:val="20"/>
          <w:color w:val="auto"/>
        </w:rPr>
      </w:pPr>
    </w:p>
    <w:p>
      <w:pPr>
        <w:ind w:firstLine="332"/>
        <w:spacing w:after="0" w:line="277" w:lineRule="auto"/>
        <w:tabs>
          <w:tab w:leader="none" w:pos="5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0" w:lineRule="exact"/>
        <w:rPr>
          <w:rFonts w:ascii="Arial" w:cs="Arial" w:eastAsia="Arial" w:hAnsi="Arial"/>
          <w:sz w:val="18"/>
          <w:szCs w:val="18"/>
          <w:color w:val="auto"/>
        </w:rPr>
      </w:pPr>
    </w:p>
    <w:p>
      <w:pPr>
        <w:jc w:val="both"/>
        <w:ind w:firstLine="332"/>
        <w:spacing w:after="0" w:line="259" w:lineRule="auto"/>
        <w:tabs>
          <w:tab w:leader="none" w:pos="5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87" w:lineRule="exact"/>
        <w:rPr>
          <w:sz w:val="20"/>
          <w:szCs w:val="20"/>
          <w:color w:val="auto"/>
        </w:rPr>
      </w:pPr>
    </w:p>
    <w:p>
      <w:pPr>
        <w:ind w:left="340" w:right="4800" w:hanging="8"/>
        <w:spacing w:after="0" w:line="530" w:lineRule="auto"/>
        <w:tabs>
          <w:tab w:leader="none" w:pos="61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1" w:lineRule="exact"/>
        <w:rPr>
          <w:sz w:val="20"/>
          <w:szCs w:val="20"/>
          <w:color w:val="auto"/>
        </w:rPr>
      </w:pPr>
    </w:p>
    <w:p>
      <w:pPr>
        <w:ind w:right="20" w:firstLine="332"/>
        <w:spacing w:after="0" w:line="277" w:lineRule="auto"/>
        <w:tabs>
          <w:tab w:leader="none" w:pos="5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332"/>
        <w:spacing w:after="0" w:line="259" w:lineRule="auto"/>
        <w:tabs>
          <w:tab w:leader="none" w:pos="5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340" w:right="3520" w:hanging="8"/>
        <w:spacing w:after="0" w:line="500" w:lineRule="auto"/>
        <w:tabs>
          <w:tab w:leader="none" w:pos="61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spacing w:after="0" w:line="1" w:lineRule="exact"/>
        <w:rPr>
          <w:rFonts w:ascii="Arial" w:cs="Arial" w:eastAsia="Arial" w:hAnsi="Arial"/>
          <w:sz w:val="18"/>
          <w:szCs w:val="18"/>
          <w:color w:val="auto"/>
        </w:rPr>
      </w:pPr>
    </w:p>
    <w:p>
      <w:pPr>
        <w:ind w:firstLine="278"/>
        <w:spacing w:after="0" w:line="277" w:lineRule="auto"/>
        <w:tabs>
          <w:tab w:leader="none" w:pos="5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3" w:lineRule="exact"/>
        <w:rPr>
          <w:rFonts w:ascii="Arial" w:cs="Arial" w:eastAsia="Arial" w:hAnsi="Arial"/>
          <w:sz w:val="18"/>
          <w:szCs w:val="18"/>
          <w:color w:val="auto"/>
        </w:rPr>
      </w:pPr>
    </w:p>
    <w:p>
      <w:pPr>
        <w:jc w:val="both"/>
        <w:ind w:firstLine="278"/>
        <w:spacing w:after="0" w:line="311" w:lineRule="auto"/>
        <w:tabs>
          <w:tab w:leader="none" w:pos="5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9" w:lineRule="exact"/>
        <w:rPr>
          <w:sz w:val="20"/>
          <w:szCs w:val="20"/>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4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88"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4" w:lineRule="exact"/>
        <w:rPr>
          <w:sz w:val="20"/>
          <w:szCs w:val="20"/>
          <w:color w:val="auto"/>
        </w:rPr>
      </w:pPr>
    </w:p>
    <w:p>
      <w:pPr>
        <w:ind w:left="540" w:hanging="26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540" w:hanging="26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170" w:lineRule="exact"/>
        <w:rPr>
          <w:sz w:val="20"/>
          <w:szCs w:val="20"/>
          <w:color w:val="auto"/>
        </w:rPr>
      </w:pPr>
    </w:p>
    <w:p>
      <w:pPr>
        <w:ind w:firstLine="278"/>
        <w:spacing w:after="0" w:line="277" w:lineRule="auto"/>
        <w:tabs>
          <w:tab w:leader="none" w:pos="5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170" w:lineRule="exact"/>
        <w:rPr>
          <w:rFonts w:ascii="Arial" w:cs="Arial" w:eastAsia="Arial" w:hAnsi="Arial"/>
          <w:sz w:val="18"/>
          <w:szCs w:val="18"/>
          <w:color w:val="auto"/>
        </w:rPr>
      </w:pPr>
    </w:p>
    <w:p>
      <w:pPr>
        <w:jc w:val="both"/>
        <w:ind w:firstLine="278"/>
        <w:spacing w:after="0" w:line="257" w:lineRule="auto"/>
        <w:tabs>
          <w:tab w:leader="none" w:pos="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88" w:lineRule="exact"/>
        <w:rPr>
          <w:sz w:val="20"/>
          <w:szCs w:val="20"/>
          <w:color w:val="auto"/>
        </w:rPr>
      </w:pPr>
    </w:p>
    <w:p>
      <w:pPr>
        <w:ind w:left="540" w:hanging="26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6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540" w:hanging="26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192" w:lineRule="exact"/>
        <w:rPr>
          <w:sz w:val="20"/>
          <w:szCs w:val="20"/>
          <w:color w:val="auto"/>
        </w:rPr>
      </w:pPr>
    </w:p>
    <w:p>
      <w:pPr>
        <w:ind w:left="540" w:hanging="26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0" w:lineRule="exact"/>
        <w:rPr>
          <w:sz w:val="20"/>
          <w:szCs w:val="20"/>
          <w:color w:val="auto"/>
        </w:rPr>
      </w:pPr>
    </w:p>
    <w:p>
      <w:pPr>
        <w:jc w:val="both"/>
        <w:ind w:firstLine="278"/>
        <w:spacing w:after="0" w:line="259" w:lineRule="auto"/>
        <w:tabs>
          <w:tab w:leader="none" w:pos="51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7"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w:t>
      </w:r>
    </w:p>
    <w:p>
      <w:pPr>
        <w:ind w:left="600" w:hanging="268"/>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shall have received an opinion of counsel satisfactory to it that an exemption from registration under such Act is then available, and</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 there shall have been compliance with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firstLine="278"/>
        <w:spacing w:after="0" w:line="277" w:lineRule="auto"/>
        <w:tabs>
          <w:tab w:leader="none" w:pos="5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70" w:lineRule="exact"/>
        <w:rPr>
          <w:sz w:val="20"/>
          <w:szCs w:val="20"/>
          <w:color w:val="auto"/>
        </w:rPr>
      </w:pPr>
    </w:p>
    <w:p>
      <w:pPr>
        <w:ind w:left="540" w:hanging="26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95" w:lineRule="exact"/>
        <w:rPr>
          <w:sz w:val="20"/>
          <w:szCs w:val="20"/>
          <w:color w:val="auto"/>
        </w:rPr>
      </w:pPr>
    </w:p>
    <w:p>
      <w:pPr>
        <w:ind w:left="540" w:hanging="26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0" w:lineRule="exact"/>
        <w:rPr>
          <w:sz w:val="20"/>
          <w:szCs w:val="20"/>
          <w:color w:val="auto"/>
        </w:rPr>
      </w:pPr>
    </w:p>
    <w:p>
      <w:pPr>
        <w:jc w:val="both"/>
        <w:ind w:firstLine="278"/>
        <w:spacing w:after="0" w:line="273" w:lineRule="auto"/>
        <w:tabs>
          <w:tab w:leader="none" w:pos="514"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177" w:lineRule="exact"/>
        <w:rPr>
          <w:rFonts w:ascii="Arial" w:cs="Arial" w:eastAsia="Arial" w:hAnsi="Arial"/>
          <w:sz w:val="17"/>
          <w:szCs w:val="17"/>
          <w:color w:val="auto"/>
        </w:rPr>
      </w:pPr>
    </w:p>
    <w:p>
      <w:pPr>
        <w:jc w:val="both"/>
        <w:ind w:firstLine="278"/>
        <w:spacing w:after="0" w:line="287" w:lineRule="auto"/>
        <w:tabs>
          <w:tab w:leader="none" w:pos="538"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w:t>
      </w:r>
    </w:p>
    <w:p>
      <w:pPr>
        <w:spacing w:after="0" w:line="2" w:lineRule="exact"/>
        <w:rPr>
          <w:rFonts w:ascii="Arial" w:cs="Arial" w:eastAsia="Arial" w:hAnsi="Arial"/>
          <w:sz w:val="16"/>
          <w:szCs w:val="16"/>
          <w:color w:val="auto"/>
        </w:rPr>
      </w:pPr>
    </w:p>
    <w:p>
      <w:pPr>
        <w:jc w:val="both"/>
        <w:ind w:firstLine="8"/>
        <w:spacing w:after="0" w:line="267" w:lineRule="auto"/>
        <w:tabs>
          <w:tab w:leader="none" w:pos="221"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6"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270"/>
        <w:spacing w:after="0" w:line="271" w:lineRule="auto"/>
        <w:rPr>
          <w:sz w:val="20"/>
          <w:szCs w:val="20"/>
          <w:color w:val="auto"/>
        </w:rPr>
      </w:pPr>
      <w:r>
        <w:rPr>
          <w:rFonts w:ascii="Arial" w:cs="Arial" w:eastAsia="Arial" w:hAnsi="Arial"/>
          <w:sz w:val="17"/>
          <w:szCs w:val="17"/>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jc w:val="both"/>
        <w:ind w:firstLine="278"/>
        <w:spacing w:after="0" w:line="257" w:lineRule="auto"/>
        <w:tabs>
          <w:tab w:leader="none" w:pos="51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7" w:lineRule="exact"/>
        <w:rPr>
          <w:rFonts w:ascii="Arial" w:cs="Arial" w:eastAsia="Arial" w:hAnsi="Arial"/>
          <w:sz w:val="18"/>
          <w:szCs w:val="18"/>
          <w:color w:val="auto"/>
        </w:rPr>
      </w:pPr>
    </w:p>
    <w:p>
      <w:pPr>
        <w:jc w:val="both"/>
        <w:ind w:firstLine="278"/>
        <w:spacing w:after="0" w:line="259" w:lineRule="auto"/>
        <w:tabs>
          <w:tab w:leader="none" w:pos="52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8"/>
          <w:szCs w:val="18"/>
          <w:color w:val="auto"/>
        </w:rPr>
      </w:pPr>
    </w:p>
    <w:p>
      <w:pPr>
        <w:jc w:val="both"/>
        <w:ind w:firstLine="278"/>
        <w:spacing w:after="0" w:line="271" w:lineRule="auto"/>
        <w:tabs>
          <w:tab w:leader="none" w:pos="52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78" w:lineRule="exact"/>
        <w:rPr>
          <w:sz w:val="20"/>
          <w:szCs w:val="20"/>
          <w:color w:val="auto"/>
        </w:rPr>
      </w:pPr>
    </w:p>
    <w:p>
      <w:pPr>
        <w:ind w:left="540" w:hanging="26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7" w:lineRule="exact"/>
        <w:rPr>
          <w:sz w:val="20"/>
          <w:szCs w:val="20"/>
          <w:color w:val="auto"/>
        </w:rPr>
      </w:pPr>
    </w:p>
    <w:p>
      <w:pPr>
        <w:ind w:left="540" w:hanging="26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540" w:hanging="26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78" w:lineRule="exact"/>
        <w:rPr>
          <w:sz w:val="20"/>
          <w:szCs w:val="20"/>
          <w:color w:val="auto"/>
        </w:rPr>
      </w:pPr>
    </w:p>
    <w:p>
      <w:pPr>
        <w:ind w:left="540" w:hanging="26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82" w:lineRule="exact"/>
        <w:rPr>
          <w:sz w:val="20"/>
          <w:szCs w:val="20"/>
          <w:color w:val="auto"/>
        </w:rPr>
      </w:pPr>
    </w:p>
    <w:p>
      <w:pPr>
        <w:ind w:left="540" w:hanging="26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225"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6"/>
          <w:szCs w:val="16"/>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61" w:lineRule="exact"/>
        <w:rPr>
          <w:sz w:val="20"/>
          <w:szCs w:val="20"/>
          <w:color w:val="auto"/>
        </w:rPr>
      </w:pPr>
    </w:p>
    <w:p>
      <w:pPr>
        <w:ind w:left="540" w:hanging="26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540" w:hanging="26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225"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w:t>
      </w:r>
    </w:p>
    <w:p>
      <w:pPr>
        <w:spacing w:after="0" w:line="6" w:lineRule="exact"/>
        <w:rPr>
          <w:sz w:val="20"/>
          <w:szCs w:val="20"/>
          <w:color w:val="auto"/>
        </w:rPr>
      </w:pPr>
    </w:p>
    <w:p>
      <w:pPr>
        <w:jc w:val="both"/>
        <w:ind w:firstLine="8"/>
        <w:spacing w:after="0" w:line="290" w:lineRule="auto"/>
        <w:tabs>
          <w:tab w:leader="none" w:pos="316"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63" w:lineRule="exact"/>
        <w:rPr>
          <w:rFonts w:ascii="Arial" w:cs="Arial" w:eastAsia="Arial" w:hAnsi="Arial"/>
          <w:sz w:val="16"/>
          <w:szCs w:val="16"/>
          <w:color w:val="auto"/>
        </w:rPr>
      </w:pPr>
    </w:p>
    <w:p>
      <w:pPr>
        <w:ind w:left="540" w:hanging="262"/>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65" w:lineRule="exact"/>
        <w:rPr>
          <w:sz w:val="20"/>
          <w:szCs w:val="20"/>
          <w:color w:val="auto"/>
        </w:rPr>
      </w:pPr>
    </w:p>
    <w:p>
      <w:pPr>
        <w:ind w:left="540" w:hanging="26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 ISRAEL</w:t>
      </w:r>
    </w:p>
    <w:p>
      <w:pPr>
        <w:spacing w:after="0" w:line="22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221" w:lineRule="exact"/>
        <w:rPr>
          <w:sz w:val="20"/>
          <w:szCs w:val="20"/>
          <w:color w:val="auto"/>
        </w:rPr>
      </w:pPr>
    </w:p>
    <w:p>
      <w:pPr>
        <w:jc w:val="both"/>
        <w:ind w:left="460" w:hanging="458"/>
        <w:spacing w:after="0" w:line="266" w:lineRule="auto"/>
        <w:tabs>
          <w:tab w:leader="none" w:pos="440" w:val="left"/>
        </w:tabs>
        <w:rPr>
          <w:sz w:val="20"/>
          <w:szCs w:val="20"/>
          <w:color w:val="auto"/>
        </w:rPr>
      </w:pPr>
      <w:r>
        <w:rPr>
          <w:rFonts w:ascii="Arial" w:cs="Arial" w:eastAsia="Arial" w:hAnsi="Arial"/>
          <w:sz w:val="18"/>
          <w:szCs w:val="18"/>
          <w:color w:val="auto"/>
        </w:rPr>
        <w:t>1.1</w:t>
        <w:tab/>
        <w:t>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shall be effective as of September 12, 2012.</w:t>
      </w:r>
    </w:p>
    <w:p>
      <w:pPr>
        <w:spacing w:after="0" w:line="22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PURPOSE</w:t>
      </w:r>
    </w:p>
    <w:p>
      <w:pPr>
        <w:spacing w:after="0" w:line="225"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2.1</w:t>
        <w:tab/>
        <w:t>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187" w:lineRule="exact"/>
        <w:rPr>
          <w:sz w:val="20"/>
          <w:szCs w:val="20"/>
          <w:color w:val="auto"/>
        </w:rPr>
      </w:pPr>
    </w:p>
    <w:p>
      <w:pPr>
        <w:jc w:val="both"/>
        <w:ind w:left="460" w:hanging="458"/>
        <w:spacing w:after="0" w:line="286"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16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3.1</w:t>
        <w:tab/>
        <w:t>Capitalized Terms not otherwise defined herein shall have the meanings assigned in the Plan. The following additional terms will apply to grants made pursuant to this Appendix:</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w:t>
      </w:r>
      <w:r>
        <w:rPr>
          <w:rFonts w:ascii="Arial" w:cs="Arial" w:eastAsia="Arial" w:hAnsi="Arial"/>
          <w:sz w:val="18"/>
          <w:szCs w:val="18"/>
          <w:color w:val="auto"/>
        </w:rPr>
        <w:t xml:space="preserve"> Stock Grants, Stock Rights or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Grants, Stock Rights or an Option granted under the terms of Section 3(i) of the Ordinance to persons which do not qualify as “employees” under the provisions of Section 102.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102(b)</w:t>
      </w:r>
      <w:r>
        <w:rPr>
          <w:rFonts w:ascii="Arial" w:cs="Arial" w:eastAsia="Arial" w:hAnsi="Arial"/>
          <w:sz w:val="16"/>
          <w:szCs w:val="16"/>
          <w:color w:val="auto"/>
        </w:rPr>
        <w:t xml:space="preserve"> Stock Grant, Stock Right or an </w:t>
      </w:r>
      <w:r>
        <w:rPr>
          <w:rFonts w:ascii="Arial" w:cs="Arial" w:eastAsia="Arial" w:hAnsi="Arial"/>
          <w:sz w:val="16"/>
          <w:szCs w:val="16"/>
          <w:b w:val="1"/>
          <w:bCs w:val="1"/>
          <w:color w:val="auto"/>
        </w:rPr>
        <w:t>Option</w:t>
      </w:r>
      <w:r>
        <w:rPr>
          <w:rFonts w:ascii="Arial" w:cs="Arial" w:eastAsia="Arial" w:hAnsi="Arial"/>
          <w:sz w:val="16"/>
          <w:szCs w:val="16"/>
          <w:color w:val="auto"/>
        </w:rPr>
        <w:t>” means a Stock Grant, Stock Right or an Option intended to qualify, under the provisions of Section 102(b)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the Ordinance (including the Section 102(b) Choice of Track), as either:</w:t>
      </w:r>
    </w:p>
    <w:p>
      <w:pPr>
        <w:spacing w:after="0" w:line="207"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Person</w:t>
      </w:r>
      <w:r>
        <w:rPr>
          <w:rFonts w:ascii="Arial" w:cs="Arial" w:eastAsia="Arial" w:hAnsi="Arial"/>
          <w:sz w:val="17"/>
          <w:szCs w:val="17"/>
          <w:color w:val="auto"/>
        </w:rPr>
        <w:t>” shall have the meaning ascribed to such definition under Section 102 of the Ordinance, as may be amended from time to time.</w:t>
      </w:r>
    </w:p>
    <w:p>
      <w:pPr>
        <w:spacing w:after="0" w:line="23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or “</w:t>
      </w:r>
      <w:r>
        <w:rPr>
          <w:rFonts w:ascii="Arial" w:cs="Arial" w:eastAsia="Arial" w:hAnsi="Arial"/>
          <w:sz w:val="16"/>
          <w:szCs w:val="16"/>
          <w:b w:val="1"/>
          <w:bCs w:val="1"/>
          <w:color w:val="auto"/>
        </w:rPr>
        <w:t>employee</w:t>
      </w:r>
      <w:r>
        <w:rPr>
          <w:rFonts w:ascii="Arial" w:cs="Arial" w:eastAsia="Arial" w:hAnsi="Arial"/>
          <w:sz w:val="16"/>
          <w:szCs w:val="16"/>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16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DESIGNATION OF PARTICIPANTS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17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Company may designate Stock Grants, Stock Rights or Options granted to Employees pursuant to Section 102 of the Ordinance as Unapproved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 Options or 102(b) Options.</w:t>
      </w:r>
    </w:p>
    <w:p>
      <w:pPr>
        <w:spacing w:after="0" w:line="200" w:lineRule="exact"/>
        <w:rPr>
          <w:sz w:val="20"/>
          <w:szCs w:val="20"/>
          <w:color w:val="auto"/>
        </w:rPr>
      </w:pPr>
    </w:p>
    <w:p>
      <w:pPr>
        <w:spacing w:after="0" w:line="227" w:lineRule="exact"/>
        <w:rPr>
          <w:sz w:val="20"/>
          <w:szCs w:val="20"/>
          <w:color w:val="auto"/>
        </w:rPr>
      </w:pPr>
    </w:p>
    <w:p>
      <w:pPr>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5.2</w:t>
        <w:tab/>
        <w:t>The grant of 102(b) Stock Grants, Stock Rights or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170" w:lineRule="exact"/>
        <w:rPr>
          <w:sz w:val="20"/>
          <w:szCs w:val="20"/>
          <w:color w:val="auto"/>
        </w:rPr>
      </w:pPr>
    </w:p>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5.3</w:t>
        <w:tab/>
        <w:t>102(b) Stock Grants, Stock Rights or Options may either be classified as 102(b)(2) Stock Grants, Stock Rights or Options under the capital gain tax Track or 102(b)(1) Stock Grants, Stock or Options under the Ordinary Income Track.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460" w:hanging="458"/>
        <w:spacing w:after="0" w:line="270"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The Company’s election of the type of 102(b) Stock Grants, Stock Rights or Options as 102(b)(2) Stock Grants, Stock or Options or 102(b)(1) Stock Grants, Stock Rights or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All 102(b) Stock Grants, Stock Rights or Options must be held in trust by a Trustee, as described in Section 6 below.</w:t>
      </w:r>
    </w:p>
    <w:p>
      <w:pPr>
        <w:spacing w:after="0" w:line="225" w:lineRule="exact"/>
        <w:rPr>
          <w:sz w:val="20"/>
          <w:szCs w:val="20"/>
          <w:color w:val="auto"/>
        </w:rPr>
      </w:pPr>
    </w:p>
    <w:p>
      <w:pPr>
        <w:jc w:val="both"/>
        <w:ind w:left="460" w:hanging="458"/>
        <w:spacing w:after="0" w:line="308" w:lineRule="auto"/>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46" w:lineRule="exact"/>
        <w:rPr>
          <w:sz w:val="20"/>
          <w:szCs w:val="20"/>
          <w:color w:val="auto"/>
        </w:rPr>
      </w:pPr>
    </w:p>
    <w:p>
      <w:pPr>
        <w:jc w:val="both"/>
        <w:ind w:left="460" w:hanging="458"/>
        <w:spacing w:after="0" w:line="275" w:lineRule="auto"/>
        <w:tabs>
          <w:tab w:leader="none" w:pos="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17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jc w:val="both"/>
        <w:ind w:left="460" w:hanging="458"/>
        <w:spacing w:after="0" w:line="268"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7"/>
          <w:szCs w:val="17"/>
          <w:b w:val="1"/>
          <w:bCs w:val="1"/>
          <w:color w:val="auto"/>
        </w:rPr>
        <w:t>Trustee</w:t>
      </w:r>
      <w:r>
        <w:rPr>
          <w:rFonts w:ascii="Arial" w:cs="Arial" w:eastAsia="Arial" w:hAnsi="Arial"/>
          <w:sz w:val="17"/>
          <w:szCs w:val="17"/>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180"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6.2</w:t>
        <w:tab/>
        <w:t>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left="452" w:hanging="458"/>
        <w:spacing w:after="0" w:line="259" w:lineRule="auto"/>
        <w:tabs>
          <w:tab w:leader="none" w:pos="432" w:val="left"/>
        </w:tabs>
        <w:rPr>
          <w:sz w:val="20"/>
          <w:szCs w:val="20"/>
          <w:color w:val="auto"/>
        </w:rPr>
      </w:pPr>
      <w:r>
        <w:rPr>
          <w:rFonts w:ascii="Arial" w:cs="Arial" w:eastAsia="Arial" w:hAnsi="Arial"/>
          <w:sz w:val="18"/>
          <w:szCs w:val="18"/>
          <w:color w:val="auto"/>
        </w:rPr>
        <w:t>6.3</w:t>
        <w:tab/>
        <w:t>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187" w:lineRule="exact"/>
        <w:rPr>
          <w:sz w:val="20"/>
          <w:szCs w:val="20"/>
          <w:color w:val="auto"/>
        </w:rPr>
      </w:pPr>
    </w:p>
    <w:p>
      <w:pPr>
        <w:jc w:val="both"/>
        <w:ind w:left="452" w:hanging="458"/>
        <w:spacing w:after="0" w:line="279" w:lineRule="auto"/>
        <w:tabs>
          <w:tab w:leader="none" w:pos="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71" w:lineRule="exact"/>
        <w:rPr>
          <w:sz w:val="20"/>
          <w:szCs w:val="20"/>
          <w:color w:val="auto"/>
        </w:rPr>
      </w:pPr>
    </w:p>
    <w:p>
      <w:pPr>
        <w:jc w:val="both"/>
        <w:ind w:left="452" w:hanging="458"/>
        <w:spacing w:after="0" w:line="254" w:lineRule="auto"/>
        <w:tabs>
          <w:tab w:leader="none" w:pos="432" w:val="left"/>
        </w:tabs>
        <w:rPr>
          <w:sz w:val="20"/>
          <w:szCs w:val="20"/>
          <w:color w:val="auto"/>
        </w:rPr>
      </w:pPr>
      <w:r>
        <w:rPr>
          <w:rFonts w:ascii="Arial" w:cs="Arial" w:eastAsia="Arial" w:hAnsi="Arial"/>
          <w:sz w:val="18"/>
          <w:szCs w:val="18"/>
          <w:color w:val="auto"/>
        </w:rPr>
        <w:t>6.5</w:t>
        <w:tab/>
        <w:t>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452" w:hanging="458"/>
        <w:spacing w:after="0" w:line="311" w:lineRule="auto"/>
        <w:tabs>
          <w:tab w:leader="none" w:pos="432"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149" w:lineRule="exact"/>
        <w:rPr>
          <w:sz w:val="20"/>
          <w:szCs w:val="20"/>
          <w:color w:val="auto"/>
        </w:rPr>
      </w:pPr>
    </w:p>
    <w:p>
      <w:pPr>
        <w:jc w:val="both"/>
        <w:ind w:left="452" w:hanging="458"/>
        <w:spacing w:after="0" w:line="277" w:lineRule="auto"/>
        <w:tabs>
          <w:tab w:leader="none" w:pos="432" w:val="left"/>
        </w:tabs>
        <w:rPr>
          <w:sz w:val="20"/>
          <w:szCs w:val="20"/>
          <w:color w:val="auto"/>
        </w:rPr>
      </w:pPr>
      <w:r>
        <w:rPr>
          <w:rFonts w:ascii="Arial" w:cs="Arial" w:eastAsia="Arial" w:hAnsi="Arial"/>
          <w:sz w:val="18"/>
          <w:szCs w:val="18"/>
          <w:color w:val="auto"/>
        </w:rPr>
        <w:t>6.7</w:t>
        <w:tab/>
        <w:t>As long as Shares are held by the Trustee in favor of the Participant, then all rights the last possesses over the Shares are personal, cannot be transferred, assigned, pledged or mortgaged, other than by will or laws of descent and distribution.</w:t>
      </w:r>
    </w:p>
    <w:p>
      <w:pPr>
        <w:spacing w:after="0" w:line="170" w:lineRule="exact"/>
        <w:rPr>
          <w:sz w:val="20"/>
          <w:szCs w:val="20"/>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225" w:lineRule="exact"/>
        <w:rPr>
          <w:sz w:val="20"/>
          <w:szCs w:val="20"/>
          <w:color w:val="auto"/>
        </w:rPr>
      </w:pPr>
    </w:p>
    <w:p>
      <w:pPr>
        <w:jc w:val="both"/>
        <w:ind w:left="452" w:hanging="458"/>
        <w:spacing w:after="0" w:line="271" w:lineRule="auto"/>
        <w:tabs>
          <w:tab w:leader="none" w:pos="4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78" w:lineRule="exact"/>
        <w:rPr>
          <w:sz w:val="20"/>
          <w:szCs w:val="20"/>
          <w:color w:val="auto"/>
        </w:rPr>
      </w:pPr>
    </w:p>
    <w:p>
      <w:pPr>
        <w:jc w:val="both"/>
        <w:ind w:left="452" w:hanging="458"/>
        <w:spacing w:after="0" w:line="273" w:lineRule="auto"/>
        <w:tabs>
          <w:tab w:leader="none" w:pos="4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7" w:name="page28"/>
    <w:bookmarkEnd w:id="27"/>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225" w:lineRule="exact"/>
        <w:rPr>
          <w:sz w:val="20"/>
          <w:szCs w:val="20"/>
          <w:color w:val="auto"/>
        </w:rPr>
      </w:pPr>
    </w:p>
    <w:p>
      <w:pPr>
        <w:jc w:val="both"/>
        <w:ind w:left="460" w:hanging="458"/>
        <w:spacing w:after="0" w:line="259" w:lineRule="auto"/>
        <w:tabs>
          <w:tab w:leader="none" w:pos="440" w:val="left"/>
        </w:tabs>
        <w:rPr>
          <w:sz w:val="20"/>
          <w:szCs w:val="20"/>
          <w:color w:val="auto"/>
        </w:rPr>
      </w:pPr>
      <w:r>
        <w:rPr>
          <w:rFonts w:ascii="Arial" w:cs="Arial" w:eastAsia="Arial" w:hAnsi="Arial"/>
          <w:sz w:val="18"/>
          <w:szCs w:val="18"/>
          <w:color w:val="auto"/>
        </w:rPr>
        <w:t>8.1</w:t>
        <w:tab/>
        <w:t>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18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8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CONTINUANCE OF EMPLOYMENT OR HIRED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17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sz w:val="20"/>
          <w:szCs w:val="20"/>
          <w:color w:val="auto"/>
        </w:rPr>
      </w:pPr>
    </w:p>
    <w:p>
      <w:pPr>
        <w:jc w:val="both"/>
        <w:ind w:left="460" w:hanging="458"/>
        <w:spacing w:after="0" w:line="254" w:lineRule="auto"/>
        <w:tabs>
          <w:tab w:leader="none" w:pos="440" w:val="left"/>
        </w:tabs>
        <w:rPr>
          <w:sz w:val="20"/>
          <w:szCs w:val="20"/>
          <w:color w:val="auto"/>
        </w:rPr>
      </w:pPr>
      <w:r>
        <w:rPr>
          <w:rFonts w:ascii="Arial" w:cs="Arial" w:eastAsia="Arial" w:hAnsi="Arial"/>
          <w:sz w:val="18"/>
          <w:szCs w:val="18"/>
          <w:color w:val="auto"/>
        </w:rPr>
        <w:t>11.1</w:t>
        <w:tab/>
        <w:t>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95"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11.2</w:t>
        <w:tab/>
        <w:t>The Board of Directors, the Administrator and/or the Trustee shall not be required to release any Share certificate, issued upon exercise of Stock Grants, Stock Rights or Option, to a Participant, until all required payments have been fully made.</w:t>
      </w:r>
    </w:p>
    <w:p>
      <w:pPr>
        <w:spacing w:after="0" w:line="170" w:lineRule="exact"/>
        <w:rPr>
          <w:sz w:val="20"/>
          <w:szCs w:val="20"/>
          <w:color w:val="auto"/>
        </w:rPr>
      </w:pPr>
    </w:p>
    <w:p>
      <w:pPr>
        <w:jc w:val="both"/>
        <w:ind w:left="460" w:hanging="458"/>
        <w:spacing w:after="0" w:line="277" w:lineRule="auto"/>
        <w:tabs>
          <w:tab w:leader="none" w:pos="440" w:val="left"/>
        </w:tabs>
        <w:rPr>
          <w:sz w:val="20"/>
          <w:szCs w:val="20"/>
          <w:color w:val="auto"/>
        </w:rPr>
      </w:pPr>
      <w:r>
        <w:rPr>
          <w:rFonts w:ascii="Arial" w:cs="Arial" w:eastAsia="Arial" w:hAnsi="Arial"/>
          <w:sz w:val="18"/>
          <w:szCs w:val="18"/>
          <w:color w:val="auto"/>
        </w:rPr>
        <w:t>11.3</w:t>
        <w:tab/>
        <w:t>Notwithstanding anything herein to the contrary, this Appendix shall be governed by the provisions of the Ordinance, the rules promulgated thereunder, and any other applicable Israeli laws.</w:t>
      </w:r>
    </w:p>
    <w:p>
      <w:pPr>
        <w:spacing w:after="0" w:line="170" w:lineRule="exact"/>
        <w:rPr>
          <w:sz w:val="20"/>
          <w:szCs w:val="20"/>
          <w:color w:val="auto"/>
        </w:rPr>
      </w:pPr>
    </w:p>
    <w:p>
      <w:pPr>
        <w:jc w:val="both"/>
        <w:ind w:left="460" w:hanging="458"/>
        <w:spacing w:after="0" w:line="279"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1)"/>
      <w:numFmt w:val="decimal"/>
      <w:start w:val="2"/>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lowerRoman"/>
      <w:start w:val="1"/>
    </w:lvl>
  </w:abstractNum>
  <w:abstractNum w:abstractNumId="5">
    <w:nsid w:val="580BD78F"/>
    <w:multiLevelType w:val="hybridMultilevel"/>
    <w:lvl w:ilvl="0">
      <w:lvlJc w:val="left"/>
      <w:lvlText w:val="1"/>
      <w:numFmt w:val="bullet"/>
      <w:start w:val="1"/>
    </w:lvl>
  </w:abstractNum>
  <w:abstractNum w:abstractNumId="6">
    <w:nsid w:val="153EA438"/>
    <w:multiLevelType w:val="hybridMultilevel"/>
    <w:lvl w:ilvl="0">
      <w:lvlJc w:val="left"/>
      <w:lvlText w:val="(%1)"/>
      <w:numFmt w:val="lowerRoman"/>
      <w:start w:val="3"/>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2"/>
      <w:numFmt w:val="bullet"/>
      <w:start w:val="1"/>
    </w:lvl>
  </w:abstractNum>
  <w:abstractNum w:abstractNumId="9">
    <w:nsid w:val="6A2342EC"/>
    <w:multiLevelType w:val="hybridMultilevel"/>
    <w:lvl w:ilvl="0">
      <w:lvlJc w:val="left"/>
      <w:lvlText w:val="(%1)"/>
      <w:numFmt w:val="decimal"/>
      <w:start w:val="3"/>
    </w:lvl>
  </w:abstractNum>
  <w:abstractNum w:abstractNumId="10">
    <w:nsid w:val="2A487CB0"/>
    <w:multiLevelType w:val="hybridMultilevel"/>
    <w:lvl w:ilvl="0">
      <w:lvlJc w:val="left"/>
      <w:lvlText w:val="%1."/>
      <w:numFmt w:val="decimal"/>
      <w:start w:val="2"/>
    </w:lvl>
  </w:abstractNum>
  <w:abstractNum w:abstractNumId="11">
    <w:nsid w:val="1D4ED43B"/>
    <w:multiLevelType w:val="hybridMultilevel"/>
    <w:lvl w:ilvl="0">
      <w:lvlJc w:val="left"/>
      <w:lvlText w:val="%1."/>
      <w:numFmt w:val="decimal"/>
      <w:start w:val="3"/>
    </w:lvl>
  </w:abstractNum>
  <w:abstractNum w:abstractNumId="12">
    <w:nsid w:val="725A06FB"/>
    <w:multiLevelType w:val="hybridMultilevel"/>
    <w:lvl w:ilvl="0">
      <w:lvlJc w:val="left"/>
      <w:lvlText w:val="%1"/>
      <w:numFmt w:val="lowerLetter"/>
      <w:start w:val="1"/>
    </w:lvl>
    <w:lvl w:ilvl="1">
      <w:lvlJc w:val="left"/>
      <w:lvlText w:val="(%2)"/>
      <w:numFmt w:val="lowerLetter"/>
      <w:start w:val="1"/>
    </w:lvl>
  </w:abstractNum>
  <w:abstractNum w:abstractNumId="13">
    <w:nsid w:val="2CD89A32"/>
    <w:multiLevelType w:val="hybridMultilevel"/>
    <w:lvl w:ilvl="0">
      <w:lvlJc w:val="left"/>
      <w:lvlText w:val="(%1)"/>
      <w:numFmt w:val="lowerLetter"/>
      <w:start w:val="35"/>
    </w:lvl>
    <w:lvl w:ilvl="1">
      <w:lvlJc w:val="left"/>
      <w:lvlText w:val="%2"/>
      <w:numFmt w:val="lowerLetter"/>
      <w:start w:val="1"/>
    </w:lvl>
  </w:abstractNum>
  <w:abstractNum w:abstractNumId="14">
    <w:nsid w:val="57E4CCAF"/>
    <w:multiLevelType w:val="hybridMultilevel"/>
    <w:lvl w:ilvl="0">
      <w:lvlJc w:val="left"/>
      <w:lvlText w:val="(%1)"/>
      <w:numFmt w:val="lowerLetter"/>
      <w:start w:val="2"/>
    </w:lvl>
  </w:abstractNum>
  <w:abstractNum w:abstractNumId="15">
    <w:nsid w:val="7A6D8D3C"/>
    <w:multiLevelType w:val="hybridMultilevel"/>
    <w:lvl w:ilvl="0">
      <w:lvlJc w:val="left"/>
      <w:lvlText w:val="%1."/>
      <w:numFmt w:val="decimal"/>
      <w:start w:val="4"/>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decimal"/>
      <w:start w:val="5"/>
    </w:lvl>
  </w:abstractNum>
  <w:abstractNum w:abstractNumId="18">
    <w:nsid w:val="6DE91B18"/>
    <w:multiLevelType w:val="hybridMultilevel"/>
    <w:lvl w:ilvl="0">
      <w:lvlJc w:val="left"/>
      <w:lvlText w:val="%1."/>
      <w:numFmt w:val="decimal"/>
      <w:start w:val="6"/>
    </w:lvl>
  </w:abstractNum>
  <w:abstractNum w:abstractNumId="19">
    <w:nsid w:val="38437F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
    <w:nsid w:val="32FFF902"/>
    <w:multiLevelType w:val="hybridMultilevel"/>
    <w:lvl w:ilvl="0">
      <w:lvlJc w:val="left"/>
      <w:lvlText w:val="%1."/>
      <w:numFmt w:val="decimal"/>
      <w:start w:val="7"/>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decimal"/>
      <w:start w:val="8"/>
    </w:lvl>
  </w:abstractNum>
  <w:abstractNum w:abstractNumId="24">
    <w:nsid w:val="749ABB43"/>
    <w:multiLevelType w:val="hybridMultilevel"/>
    <w:lvl w:ilvl="0">
      <w:lvlJc w:val="left"/>
      <w:lvlText w:val="%1."/>
      <w:numFmt w:val="decimal"/>
      <w:start w:val="9"/>
    </w:lvl>
  </w:abstractNum>
  <w:abstractNum w:abstractNumId="25">
    <w:nsid w:val="3DC240FB"/>
    <w:multiLevelType w:val="hybridMultilevel"/>
    <w:lvl w:ilvl="0">
      <w:lvlJc w:val="left"/>
      <w:lvlText w:val="%1."/>
      <w:numFmt w:val="decimal"/>
      <w:start w:val="10"/>
    </w:lvl>
  </w:abstractNum>
  <w:abstractNum w:abstractNumId="26">
    <w:nsid w:val="1BA026FA"/>
    <w:multiLevelType w:val="hybridMultilevel"/>
    <w:lvl w:ilvl="0">
      <w:lvlJc w:val="left"/>
      <w:lvlText w:val="3"/>
      <w:numFmt w:val="bullet"/>
      <w:start w:val="1"/>
    </w:lvl>
  </w:abstractNum>
  <w:abstractNum w:abstractNumId="27">
    <w:nsid w:val="79A1DEAA"/>
    <w:multiLevelType w:val="hybridMultilevel"/>
    <w:lvl w:ilvl="0">
      <w:lvlJc w:val="left"/>
      <w:lvlText w:val="%1."/>
      <w:numFmt w:val="decimal"/>
      <w:start w:val="11"/>
    </w:lvl>
  </w:abstractNum>
  <w:abstractNum w:abstractNumId="28">
    <w:nsid w:val="75C6C33A"/>
    <w:multiLevelType w:val="hybridMultilevel"/>
    <w:lvl w:ilvl="0">
      <w:lvlJc w:val="left"/>
      <w:lvlText w:val="%1."/>
      <w:numFmt w:val="decimal"/>
      <w:start w:val="12"/>
    </w:lvl>
  </w:abstractNum>
  <w:abstractNum w:abstractNumId="29">
    <w:nsid w:val="12E685FB"/>
    <w:multiLevelType w:val="hybridMultilevel"/>
    <w:lvl w:ilvl="0">
      <w:lvlJc w:val="left"/>
      <w:lvlText w:val="%1."/>
      <w:numFmt w:val="decimal"/>
      <w:start w:val="13"/>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4"/>
    </w:lvl>
  </w:abstractNum>
  <w:abstractNum w:abstractNumId="32">
    <w:nsid w:val="374A3FE6"/>
    <w:multiLevelType w:val="hybridMultilevel"/>
    <w:lvl w:ilvl="0">
      <w:lvlJc w:val="left"/>
      <w:lvlText w:val="%1."/>
      <w:numFmt w:val="decimal"/>
      <w:start w:val="14"/>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1."/>
      <w:numFmt w:val="decimal"/>
      <w:start w:val="15"/>
    </w:lvl>
  </w:abstractNum>
  <w:abstractNum w:abstractNumId="35">
    <w:nsid w:val="649BB77C"/>
    <w:multiLevelType w:val="hybridMultilevel"/>
    <w:lvl w:ilvl="0">
      <w:lvlJc w:val="left"/>
      <w:lvlText w:val="(%1)"/>
      <w:numFmt w:val="lowerLetter"/>
      <w:start w:val="1"/>
    </w:lvl>
    <w:lvl w:ilvl="1">
      <w:lvlJc w:val="left"/>
      <w:lvlText w:val="(%2)"/>
      <w:numFmt w:val="lowerRoman"/>
      <w:start w:val="1"/>
    </w:lvl>
  </w:abstractNum>
  <w:abstractNum w:abstractNumId="36">
    <w:nsid w:val="275AC794"/>
    <w:multiLevelType w:val="hybridMultilevel"/>
    <w:lvl w:ilvl="0">
      <w:lvlJc w:val="left"/>
      <w:lvlText w:val="(%1)"/>
      <w:numFmt w:val="lowerLetter"/>
      <w:start w:val="3"/>
    </w:lvl>
  </w:abstractNum>
  <w:abstractNum w:abstractNumId="37">
    <w:nsid w:val="39386575"/>
    <w:multiLevelType w:val="hybridMultilevel"/>
    <w:lvl w:ilvl="0">
      <w:lvlJc w:val="left"/>
      <w:lvlText w:val="%1"/>
      <w:numFmt w:val="lowerLetter"/>
      <w:start w:val="1"/>
    </w:lvl>
    <w:lvl w:ilvl="1">
      <w:lvlJc w:val="left"/>
      <w:lvlText w:val="%2."/>
      <w:numFmt w:val="decimal"/>
      <w:start w:val="16"/>
    </w:lvl>
    <w:lvl w:ilvl="2">
      <w:lvlJc w:val="left"/>
      <w:lvlText w:val="%3"/>
      <w:numFmt w:val="lowerRoman"/>
      <w:start w:val="1"/>
    </w:lvl>
  </w:abstractNum>
  <w:abstractNum w:abstractNumId="38">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180115BE"/>
    <w:multiLevelType w:val="hybridMultilevel"/>
    <w:lvl w:ilvl="0">
      <w:lvlJc w:val="left"/>
      <w:lvlText w:val="%1."/>
      <w:numFmt w:val="decimal"/>
      <w:start w:val="17"/>
    </w:lvl>
  </w:abstractNum>
  <w:abstractNum w:abstractNumId="40">
    <w:nsid w:val="235BA861"/>
    <w:multiLevelType w:val="hybridMultilevel"/>
    <w:lvl w:ilvl="0">
      <w:lvlJc w:val="left"/>
      <w:lvlText w:val="%1."/>
      <w:numFmt w:val="decimal"/>
      <w:start w:val="18"/>
    </w:lvl>
  </w:abstractNum>
  <w:abstractNum w:abstractNumId="41">
    <w:nsid w:val="47398C89"/>
    <w:multiLevelType w:val="hybridMultilevel"/>
    <w:lvl w:ilvl="0">
      <w:lvlJc w:val="left"/>
      <w:lvlText w:val="%1."/>
      <w:numFmt w:val="decimal"/>
      <w:start w:val="19"/>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decimal"/>
      <w:start w:val="20"/>
    </w:lvl>
  </w:abstractNum>
  <w:abstractNum w:abstractNumId="44">
    <w:nsid w:val="741226BB"/>
    <w:multiLevelType w:val="hybridMultilevel"/>
    <w:lvl w:ilvl="0">
      <w:lvlJc w:val="left"/>
      <w:lvlText w:val="%1."/>
      <w:numFmt w:val="decimal"/>
      <w:start w:val="21"/>
    </w:lvl>
  </w:abstractNum>
  <w:abstractNum w:abstractNumId="45">
    <w:nsid w:val="D34B6A8"/>
    <w:multiLevelType w:val="hybridMultilevel"/>
    <w:lvl w:ilvl="0">
      <w:lvlJc w:val="left"/>
      <w:lvlText w:val="%1."/>
      <w:numFmt w:val="decimal"/>
      <w:start w:val="22"/>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2"/>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1."/>
      <w:numFmt w:val="decimal"/>
      <w:start w:val="23"/>
    </w:lvl>
  </w:abstractNum>
  <w:abstractNum w:abstractNumId="50">
    <w:nsid w:val="77AE35EB"/>
    <w:multiLevelType w:val="hybridMultilevel"/>
    <w:lvl w:ilvl="0">
      <w:lvlJc w:val="left"/>
      <w:lvlText w:val="%1."/>
      <w:numFmt w:val="decimal"/>
      <w:start w:val="24"/>
    </w:lvl>
  </w:abstractNum>
  <w:abstractNum w:abstractNumId="51">
    <w:nsid w:val="579BE4F1"/>
    <w:multiLevelType w:val="hybridMultilevel"/>
    <w:lvl w:ilvl="0">
      <w:lvlJc w:val="left"/>
      <w:lvlText w:val="%1"/>
      <w:numFmt w:val="lowerLetter"/>
      <w:start w:val="1"/>
    </w:lvl>
    <w:lvl w:ilvl="1">
      <w:lvlJc w:val="left"/>
      <w:lvlText w:val="(%2)"/>
      <w:numFmt w:val="lowerLetter"/>
      <w:start w:val="1"/>
    </w:lvl>
  </w:abstractNum>
  <w:abstractNum w:abstractNumId="52">
    <w:nsid w:val="310C50B3"/>
    <w:multiLevelType w:val="hybridMultilevel"/>
    <w:lvl w:ilvl="0">
      <w:lvlJc w:val="left"/>
      <w:lvlText w:val="(%1)"/>
      <w:numFmt w:val="lowerLetter"/>
      <w:start w:val="9"/>
    </w:lvl>
    <w:lvl w:ilvl="1">
      <w:lvlJc w:val="left"/>
      <w:lvlText w:val="%2"/>
      <w:numFmt w:val="lowerLetter"/>
      <w:start w:val="1"/>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1."/>
      <w:numFmt w:val="decimal"/>
      <w:start w:val="25"/>
    </w:lvl>
  </w:abstractNum>
  <w:abstractNum w:abstractNumId="55">
    <w:nsid w:val="25A70BF7"/>
    <w:multiLevelType w:val="hybridMultilevel"/>
    <w:lvl w:ilvl="0">
      <w:lvlJc w:val="left"/>
      <w:lvlText w:val="%1."/>
      <w:numFmt w:val="decimal"/>
      <w:start w:val="26"/>
    </w:lvl>
  </w:abstractNum>
  <w:abstractNum w:abstractNumId="56">
    <w:nsid w:val="1DBABF00"/>
    <w:multiLevelType w:val="hybridMultilevel"/>
    <w:lvl w:ilvl="0">
      <w:lvlJc w:val="left"/>
      <w:lvlText w:val="%1."/>
      <w:numFmt w:val="decimal"/>
      <w:start w:val="27"/>
    </w:lvl>
  </w:abstractNum>
  <w:abstractNum w:abstractNumId="57">
    <w:nsid w:val="4AD084E9"/>
    <w:multiLevelType w:val="hybridMultilevel"/>
    <w:lvl w:ilvl="0">
      <w:lvlJc w:val="left"/>
      <w:lvlText w:val="%1."/>
      <w:numFmt w:val="decimal"/>
      <w:start w:val="28"/>
    </w:lvl>
  </w:abstractNum>
  <w:abstractNum w:abstractNumId="58">
    <w:nsid w:val="1F48EAA1"/>
    <w:multiLevelType w:val="hybridMultilevel"/>
    <w:lvl w:ilvl="0">
      <w:lvlJc w:val="left"/>
      <w:lvlText w:val="%1."/>
      <w:numFmt w:val="decimal"/>
      <w:start w:val="29"/>
    </w:lvl>
  </w:abstractNum>
  <w:abstractNum w:abstractNumId="59">
    <w:nsid w:val="1381823A"/>
    <w:multiLevelType w:val="hybridMultilevel"/>
    <w:lvl w:ilvl="0">
      <w:lvlJc w:val="left"/>
      <w:lvlText w:val="%1."/>
      <w:numFmt w:val="decimal"/>
      <w:start w:val="30"/>
    </w:lvl>
  </w:abstractNum>
  <w:abstractNum w:abstractNumId="60">
    <w:nsid w:val="5DB70AE5"/>
    <w:multiLevelType w:val="hybridMultilevel"/>
    <w:lvl w:ilvl="0">
      <w:lvlJc w:val="left"/>
      <w:lvlText w:val="%1."/>
      <w:numFmt w:val="decimal"/>
      <w:start w:val="31"/>
    </w:lvl>
  </w:abstractNum>
  <w:abstractNum w:abstractNumId="61">
    <w:nsid w:val="100F8FCA"/>
    <w:multiLevelType w:val="hybridMultilevel"/>
    <w:lvl w:ilvl="0">
      <w:lvlJc w:val="left"/>
      <w:lvlText w:val="(%1)"/>
      <w:numFmt w:val="lowerRoman"/>
      <w:start w:val="3"/>
    </w:lvl>
    <w:lvl w:ilvl="1">
      <w:lvlJc w:val="left"/>
      <w:lvlText w:val="%2."/>
      <w:numFmt w:val="decimal"/>
      <w:start w:val="32"/>
    </w:lvl>
  </w:abstractNum>
  <w:abstractNum w:abstractNumId="62">
    <w:nsid w:val="6590700B"/>
    <w:multiLevelType w:val="hybridMultilevel"/>
    <w:lvl w:ilvl="0">
      <w:lvlJc w:val="left"/>
      <w:lvlText w:val="%1."/>
      <w:numFmt w:val="decimal"/>
      <w:start w:val="33"/>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lowerRoman"/>
      <w:start w:val="1"/>
    </w:lvl>
  </w:abstractNum>
  <w:abstractNum w:abstractNumId="67">
    <w:nsid w:val="6B94764"/>
    <w:multiLevelType w:val="hybridMultilevel"/>
    <w:lvl w:ilvl="0">
      <w:lvlJc w:val="left"/>
      <w:lvlText w:val="%1."/>
      <w:numFmt w:val="decimal"/>
      <w:start w:val="4"/>
    </w:lvl>
  </w:abstractNum>
  <w:abstractNum w:abstractNumId="68">
    <w:nsid w:val="42C296BD"/>
    <w:multiLevelType w:val="hybridMultilevel"/>
    <w:lvl w:ilvl="0">
      <w:lvlJc w:val="left"/>
      <w:lvlText w:val="%1."/>
      <w:numFmt w:val="decimal"/>
      <w:start w:val="5"/>
    </w:lvl>
  </w:abstractNum>
  <w:abstractNum w:abstractNumId="69">
    <w:nsid w:val="168E121F"/>
    <w:multiLevelType w:val="hybridMultilevel"/>
    <w:lvl w:ilvl="0">
      <w:lvlJc w:val="left"/>
      <w:lvlText w:val="%1."/>
      <w:numFmt w:val="decimal"/>
      <w:start w:val="6"/>
    </w:lvl>
  </w:abstractNum>
  <w:abstractNum w:abstractNumId="70">
    <w:nsid w:val="1EBA5D23"/>
    <w:multiLevelType w:val="hybridMultilevel"/>
    <w:lvl w:ilvl="0">
      <w:lvlJc w:val="left"/>
      <w:lvlText w:val="%1."/>
      <w:numFmt w:val="decimal"/>
      <w:start w:val="7"/>
    </w:lvl>
  </w:abstractNum>
  <w:abstractNum w:abstractNumId="71">
    <w:nsid w:val="661E3F1E"/>
    <w:multiLevelType w:val="hybridMultilevel"/>
    <w:lvl w:ilvl="0">
      <w:lvlJc w:val="left"/>
      <w:lvlText w:val="%1."/>
      <w:numFmt w:val="decimal"/>
      <w:start w:val="8"/>
    </w:lvl>
  </w:abstractNum>
  <w:abstractNum w:abstractNumId="72">
    <w:nsid w:val="5DC79EA8"/>
    <w:multiLevelType w:val="hybridMultilevel"/>
    <w:lvl w:ilvl="0">
      <w:lvlJc w:val="left"/>
      <w:lvlText w:val="%1."/>
      <w:numFmt w:val="decimal"/>
      <w:start w:val="9"/>
    </w:lvl>
  </w:abstractNum>
  <w:abstractNum w:abstractNumId="73">
    <w:nsid w:val="540A471C"/>
    <w:multiLevelType w:val="hybridMultilevel"/>
    <w:lvl w:ilvl="0">
      <w:lvlJc w:val="left"/>
      <w:lvlText w:val="%1."/>
      <w:numFmt w:val="decimal"/>
      <w:start w:val="10"/>
    </w:lvl>
  </w:abstractNum>
  <w:abstractNum w:abstractNumId="74">
    <w:nsid w:val="7BD3EE7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jpe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4" Type="http://schemas.openxmlformats.org/officeDocument/2006/relationships/hyperlink" Target="https://www.sec.gov/Archives/edgar/data/1410428/000114420412041064/v319421_s8.htm" TargetMode="External"/><Relationship Id="rId15" Type="http://schemas.openxmlformats.org/officeDocument/2006/relationships/hyperlink" Target="https://www.sec.gov/Archives/edgar/data/1410428/000114420416088685/v434342_s-8.htm" TargetMode="External"/><Relationship Id="rId17" Type="http://schemas.openxmlformats.org/officeDocument/2006/relationships/hyperlink" Target="https://www.sec.gov/Archives/edgar/data/1410428/000110465920048780/tm205324d1_ex3-1.htm" TargetMode="External"/><Relationship Id="rId18" Type="http://schemas.openxmlformats.org/officeDocument/2006/relationships/hyperlink" Target="https://www.sec.gov/Archives/edgar/data/1410428/000110465920071715/tm2021956d1_ex3-1.htm" TargetMode="External"/><Relationship Id="rId19" Type="http://schemas.openxmlformats.org/officeDocument/2006/relationships/hyperlink" Target="https://www.sec.gov/Archives/edgar/data/1410428/000114420419017496/tv51601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2020-07-17T15:09:37Z</dcterms:created>
  <dcterms:modified xsi:type="dcterms:W3CDTF">2020-07-17T15:09:37Z</dcterms:modified>
</cp:coreProperties>
</file>