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right="1700" w:firstLine="8"/>
        <w:spacing w:after="0" w:line="250" w:lineRule="auto"/>
        <w:tabs>
          <w:tab w:leader="none" w:pos="91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2013</w:t>
      </w:r>
    </w:p>
    <w:p>
      <w:pPr>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right="1340" w:firstLine="8"/>
        <w:spacing w:after="0" w:line="253" w:lineRule="auto"/>
        <w:tabs>
          <w:tab w:leader="none" w:pos="91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___to 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32"/>
        </w:trPr>
        <w:tc>
          <w:tcPr>
            <w:tcW w:w="5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780 3rd Avenue, 15th Floor, New York, NY</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10017</w:t>
            </w: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309-7549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0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b w:val="1"/>
                <w:bCs w:val="1"/>
                <w:color w:val="auto"/>
                <w:w w:val="86"/>
              </w:rPr>
              <w:t>Title of each class</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20" w:type="dxa"/>
            <w:vAlign w:val="bottom"/>
          </w:tcPr>
          <w:p>
            <w:pPr>
              <w:spacing w:after="0"/>
              <w:rPr>
                <w:sz w:val="16"/>
                <w:szCs w:val="16"/>
                <w:color w:val="auto"/>
              </w:rPr>
            </w:pPr>
          </w:p>
        </w:tc>
        <w:tc>
          <w:tcPr>
            <w:tcW w:w="4900" w:type="dxa"/>
            <w:vAlign w:val="bottom"/>
          </w:tcPr>
          <w:p>
            <w:pPr>
              <w:jc w:val="center"/>
              <w:ind w:left="590"/>
              <w:spacing w:after="0" w:line="195" w:lineRule="exact"/>
              <w:rPr>
                <w:sz w:val="20"/>
                <w:szCs w:val="20"/>
                <w:color w:val="auto"/>
              </w:rPr>
            </w:pPr>
            <w:r>
              <w:rPr>
                <w:rFonts w:ascii="Arial" w:cs="Arial" w:eastAsia="Arial" w:hAnsi="Arial"/>
                <w:sz w:val="18"/>
                <w:szCs w:val="18"/>
                <w:color w:val="auto"/>
                <w:w w:val="89"/>
              </w:rPr>
              <w:t>Common Stock, par value $0.01 per share</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5"/>
              </w:rPr>
              <w:t>The NASDAQ Stock Market LLC</w:t>
            </w:r>
          </w:p>
        </w:tc>
      </w:tr>
      <w:tr>
        <w:trPr>
          <w:trHeight w:val="230"/>
        </w:trPr>
        <w:tc>
          <w:tcPr>
            <w:tcW w:w="20" w:type="dxa"/>
            <w:vAlign w:val="bottom"/>
          </w:tcPr>
          <w:p>
            <w:pPr>
              <w:spacing w:after="0"/>
              <w:rPr>
                <w:sz w:val="20"/>
                <w:szCs w:val="20"/>
                <w:color w:val="auto"/>
              </w:rPr>
            </w:pPr>
          </w:p>
        </w:tc>
        <w:tc>
          <w:tcPr>
            <w:tcW w:w="4900" w:type="dxa"/>
            <w:vAlign w:val="bottom"/>
          </w:tcPr>
          <w:p>
            <w:pPr>
              <w:jc w:val="center"/>
              <w:ind w:left="590"/>
              <w:spacing w:after="0"/>
              <w:rPr>
                <w:sz w:val="20"/>
                <w:szCs w:val="20"/>
                <w:color w:val="auto"/>
              </w:rPr>
            </w:pPr>
            <w:r>
              <w:rPr>
                <w:rFonts w:ascii="Arial" w:cs="Arial" w:eastAsia="Arial" w:hAnsi="Arial"/>
                <w:sz w:val="18"/>
                <w:szCs w:val="18"/>
                <w:color w:val="auto"/>
                <w:w w:val="89"/>
              </w:rPr>
              <w:t>Warrants to purchase Common Stock</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414"/>
        </w:trPr>
        <w:tc>
          <w:tcPr>
            <w:tcW w:w="20" w:type="dxa"/>
            <w:vAlign w:val="bottom"/>
          </w:tcPr>
          <w:p>
            <w:pPr>
              <w:spacing w:after="0"/>
              <w:rPr>
                <w:sz w:val="24"/>
                <w:szCs w:val="24"/>
                <w:color w:val="auto"/>
              </w:rPr>
            </w:pPr>
          </w:p>
        </w:tc>
        <w:tc>
          <w:tcPr>
            <w:tcW w:w="8600" w:type="dxa"/>
            <w:vAlign w:val="bottom"/>
            <w:gridSpan w:val="4"/>
          </w:tcPr>
          <w:p>
            <w:pPr>
              <w:jc w:val="center"/>
              <w:ind w:left="271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700" w:type="dxa"/>
            <w:vAlign w:val="bottom"/>
            <w:gridSpan w:val="3"/>
          </w:tcPr>
          <w:p>
            <w:pPr>
              <w:jc w:val="center"/>
              <w:ind w:right="2010"/>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52"/>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100" w:type="dxa"/>
            <w:vAlign w:val="bottom"/>
          </w:tcPr>
          <w:p>
            <w:pPr>
              <w:spacing w:after="0"/>
              <w:rPr>
                <w:sz w:val="20"/>
                <w:szCs w:val="20"/>
                <w:color w:val="auto"/>
              </w:rPr>
            </w:pPr>
            <w:r>
              <w:rPr>
                <w:rFonts w:ascii="Arial" w:cs="Arial" w:eastAsia="Arial" w:hAnsi="Arial"/>
                <w:sz w:val="18"/>
                <w:szCs w:val="18"/>
                <w:color w:val="auto"/>
              </w:rPr>
              <w:t>No x</w:t>
            </w:r>
          </w:p>
        </w:tc>
      </w:tr>
      <w:tr>
        <w:trPr>
          <w:trHeight w:val="432"/>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100" w:type="dxa"/>
            <w:vAlign w:val="bottom"/>
          </w:tcPr>
          <w:p>
            <w:pPr>
              <w:ind w:left="160"/>
              <w:spacing w:after="0"/>
              <w:rPr>
                <w:sz w:val="20"/>
                <w:szCs w:val="20"/>
                <w:color w:val="auto"/>
              </w:rPr>
            </w:pPr>
            <w:r>
              <w:rPr>
                <w:rFonts w:ascii="Arial" w:cs="Arial" w:eastAsia="Arial" w:hAnsi="Arial"/>
                <w:sz w:val="18"/>
                <w:szCs w:val="18"/>
                <w:color w:val="auto"/>
              </w:rPr>
              <w:t>No x</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w:t>
      </w:r>
      <w:r>
        <w:rPr>
          <w:rFonts w:ascii="Arial" w:cs="Arial" w:eastAsia="Arial" w:hAnsi="Arial"/>
          <w:sz w:val="18"/>
          <w:szCs w:val="18"/>
          <w:i w:val="1"/>
          <w:iCs w:val="1"/>
          <w:color w:val="auto"/>
        </w:rPr>
        <w:t>large accelerated filer</w:t>
      </w:r>
      <w:r>
        <w:rPr>
          <w:rFonts w:ascii="Arial" w:cs="Arial" w:eastAsia="Arial" w:hAnsi="Arial"/>
          <w:sz w:val="18"/>
          <w:szCs w:val="18"/>
          <w:color w:val="auto"/>
        </w:rPr>
        <w:t>", "</w:t>
      </w:r>
      <w:r>
        <w:rPr>
          <w:rFonts w:ascii="Arial" w:cs="Arial" w:eastAsia="Arial" w:hAnsi="Arial"/>
          <w:sz w:val="18"/>
          <w:szCs w:val="18"/>
          <w:i w:val="1"/>
          <w:iCs w:val="1"/>
          <w:color w:val="auto"/>
        </w:rPr>
        <w:t>accelerated filer</w:t>
      </w:r>
      <w:r>
        <w:rPr>
          <w:rFonts w:ascii="Arial" w:cs="Arial" w:eastAsia="Arial" w:hAnsi="Arial"/>
          <w:sz w:val="18"/>
          <w:szCs w:val="18"/>
          <w:color w:val="auto"/>
        </w:rPr>
        <w:t>" and "</w:t>
      </w:r>
      <w:r>
        <w:rPr>
          <w:rFonts w:ascii="Arial" w:cs="Arial" w:eastAsia="Arial" w:hAnsi="Arial"/>
          <w:sz w:val="18"/>
          <w:szCs w:val="18"/>
          <w:i w:val="1"/>
          <w:iCs w:val="1"/>
          <w:color w:val="auto"/>
        </w:rPr>
        <w:t>smaller reporting company</w:t>
      </w:r>
      <w:r>
        <w:rPr>
          <w:rFonts w:ascii="Arial" w:cs="Arial" w:eastAsia="Arial" w:hAnsi="Arial"/>
          <w:sz w:val="18"/>
          <w:szCs w:val="18"/>
          <w:color w:val="auto"/>
        </w:rPr>
        <w:t>" in Rule 12b-2 of the Exchange Act:</w:t>
      </w:r>
    </w:p>
    <w:p>
      <w:pPr>
        <w:sectPr>
          <w:pgSz w:w="11900" w:h="16838" w:orient="portrait"/>
          <w:cols w:equalWidth="0" w:num="1">
            <w:col w:w="11420"/>
          </w:cols>
          <w:pgMar w:left="240" w:top="450" w:right="2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93" w:lineRule="exact"/>
        <w:rPr>
          <w:sz w:val="24"/>
          <w:szCs w:val="24"/>
          <w:color w:val="auto"/>
        </w:rPr>
      </w:pPr>
    </w:p>
    <w:p>
      <w:pPr>
        <w:sectPr>
          <w:pgSz w:w="11900" w:h="16838" w:orient="portrait"/>
          <w:cols w:equalWidth="0" w:num="4">
            <w:col w:w="1800" w:space="720"/>
            <w:col w:w="3400" w:space="720"/>
            <w:col w:w="1820" w:space="720"/>
            <w:col w:w="2240"/>
          </w:cols>
          <w:pgMar w:left="240" w:top="45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93" w:lineRule="exact"/>
        <w:rPr>
          <w:sz w:val="24"/>
          <w:szCs w:val="24"/>
          <w:color w:val="auto"/>
        </w:rPr>
      </w:pPr>
    </w:p>
    <w:p>
      <w:pPr>
        <w:sectPr>
          <w:pgSz w:w="11900" w:h="16838" w:orient="portrait"/>
          <w:cols w:equalWidth="0" w:num="5">
            <w:col w:w="1800" w:space="720"/>
            <w:col w:w="160" w:space="100"/>
            <w:col w:w="3180" w:space="680"/>
            <w:col w:w="1960" w:space="580"/>
            <w:col w:w="2240"/>
          </w:cols>
          <w:pgMar w:left="240" w:top="450" w:right="239" w:bottom="1440" w:gutter="0" w:footer="0" w:header="0"/>
          <w:type w:val="continuous"/>
        </w:sectPr>
      </w:pPr>
    </w:p>
    <w:p>
      <w:pPr>
        <w:spacing w:after="0" w:line="196" w:lineRule="exact"/>
        <w:tabs>
          <w:tab w:leader="none" w:pos="75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2">
            <w:col w:w="8120" w:space="180"/>
            <w:col w:w="3120"/>
          </w:cols>
          <w:pgMar w:left="240" w:top="450" w:right="239" w:bottom="1440" w:gutter="0" w:footer="0" w:header="0"/>
          <w:type w:val="continuous"/>
        </w:sectPr>
      </w:pPr>
    </w:p>
    <w:p>
      <w:pPr>
        <w:spacing w:after="0" w:line="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(without admitting that any person whose shares are not included in such calculation is an affiliate), computed by reference to the closing sale price of such shares on The NASDAQ Capital Market on June 28, 2013 was $235,516,000.</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21, 2014, 85,797,826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Portions of the registrant’s Proxy Statement for the 2014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2013.</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40" w:type="dxa"/>
            <w:vAlign w:val="bottom"/>
          </w:tcPr>
          <w:p>
            <w:pPr>
              <w:ind w:left="400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Borders>
              <w:bottom w:val="single" w:sz="8" w:color="CCFFCC"/>
            </w:tcBorders>
          </w:tcPr>
          <w:p>
            <w:pPr>
              <w:spacing w:after="0"/>
              <w:rPr>
                <w:sz w:val="24"/>
                <w:szCs w:val="24"/>
                <w:color w:val="auto"/>
              </w:rPr>
            </w:pPr>
          </w:p>
        </w:tc>
        <w:tc>
          <w:tcPr>
            <w:tcW w:w="9240" w:type="dxa"/>
            <w:vAlign w:val="bottom"/>
            <w:tcBorders>
              <w:bottom w:val="single" w:sz="8" w:color="CCFFCC"/>
            </w:tcBorders>
          </w:tcPr>
          <w:p>
            <w:pPr>
              <w:spacing w:after="0"/>
              <w:rPr>
                <w:sz w:val="24"/>
                <w:szCs w:val="24"/>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924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Business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1A:</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Risk Factors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1B:</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Unresolved Staff Comments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2:</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Properties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3:</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Legal Proceedings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4:</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Mine Safety Disclosures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924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5:</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w w:val="96"/>
              </w:rPr>
              <w:t>Market for the Registrant's Common Equity, Related Stockholder Matters and Issuer Purchases of Equity Securities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6:</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Selected Financial Data</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7:</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7A:</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8:</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Financial Statements and Supplementary Data</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9A:</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Controls and Procedures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9B:</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Other Information</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Part III</w:t>
            </w:r>
          </w:p>
        </w:tc>
        <w:tc>
          <w:tcPr>
            <w:tcW w:w="924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10:</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Directors, Executive Officers and Corporate Governance</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11:</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Executive Compensation</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12:</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13:</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14:</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Principal Accounting Fees and Services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Part IV</w:t>
            </w:r>
          </w:p>
        </w:tc>
        <w:tc>
          <w:tcPr>
            <w:tcW w:w="924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15:</w:t>
            </w:r>
          </w:p>
        </w:tc>
        <w:tc>
          <w:tcPr>
            <w:tcW w:w="9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Exhibits and Financial Statement Schedules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40" w:type="dxa"/>
            <w:vAlign w:val="bottom"/>
          </w:tcPr>
          <w:p>
            <w:pPr>
              <w:ind w:left="464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Private Securities Litigation Reform Act of 1995. These statements relating, among other matters, to our anticipated financial performance, future revenues or earnings, business prospects, projected ventures, new products and services, anticipated market performance and similar matters.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many of which are beyond our control, include:</w:t>
      </w:r>
    </w:p>
    <w:p>
      <w:pPr>
        <w:spacing w:after="0" w:line="225" w:lineRule="exact"/>
        <w:rPr>
          <w:sz w:val="20"/>
          <w:szCs w:val="20"/>
          <w:color w:val="auto"/>
        </w:rPr>
      </w:pPr>
    </w:p>
    <w:p>
      <w:pPr>
        <w:ind w:left="3260" w:hanging="713"/>
        <w:spacing w:after="0" w:line="277" w:lineRule="auto"/>
        <w:tabs>
          <w:tab w:leader="none" w:pos="3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the outcome of the litigation against online search firms and other companies;</w:t>
      </w:r>
    </w:p>
    <w:p>
      <w:pPr>
        <w:spacing w:after="0" w:line="170" w:lineRule="exact"/>
        <w:rPr>
          <w:rFonts w:ascii="Arial" w:cs="Arial" w:eastAsia="Arial" w:hAnsi="Arial"/>
          <w:sz w:val="18"/>
          <w:szCs w:val="18"/>
          <w:color w:val="auto"/>
        </w:rPr>
      </w:pPr>
    </w:p>
    <w:p>
      <w:pPr>
        <w:ind w:left="3260" w:hanging="713"/>
        <w:spacing w:after="0"/>
        <w:tabs>
          <w:tab w:leader="none" w:pos="3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monetize and recoup our investment with respect to patent assets that we acquire;</w:t>
      </w:r>
    </w:p>
    <w:p>
      <w:pPr>
        <w:spacing w:after="0" w:line="225" w:lineRule="exact"/>
        <w:rPr>
          <w:rFonts w:ascii="Arial" w:cs="Arial" w:eastAsia="Arial" w:hAnsi="Arial"/>
          <w:sz w:val="18"/>
          <w:szCs w:val="18"/>
          <w:color w:val="auto"/>
        </w:rPr>
      </w:pPr>
    </w:p>
    <w:p>
      <w:pPr>
        <w:ind w:left="3260" w:hanging="713"/>
        <w:spacing w:after="0"/>
        <w:tabs>
          <w:tab w:leader="none" w:pos="3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225" w:lineRule="exact"/>
        <w:rPr>
          <w:rFonts w:ascii="Arial" w:cs="Arial" w:eastAsia="Arial" w:hAnsi="Arial"/>
          <w:sz w:val="18"/>
          <w:szCs w:val="18"/>
          <w:color w:val="auto"/>
        </w:rPr>
      </w:pPr>
    </w:p>
    <w:p>
      <w:pPr>
        <w:ind w:left="3260" w:hanging="713"/>
        <w:spacing w:after="0"/>
        <w:tabs>
          <w:tab w:leader="none" w:pos="3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new intellectual property;</w:t>
      </w:r>
    </w:p>
    <w:p>
      <w:pPr>
        <w:spacing w:after="0" w:line="225" w:lineRule="exact"/>
        <w:rPr>
          <w:rFonts w:ascii="Arial" w:cs="Arial" w:eastAsia="Arial" w:hAnsi="Arial"/>
          <w:sz w:val="18"/>
          <w:szCs w:val="18"/>
          <w:color w:val="auto"/>
        </w:rPr>
      </w:pPr>
    </w:p>
    <w:p>
      <w:pPr>
        <w:ind w:left="3260" w:hanging="713"/>
        <w:spacing w:after="0" w:line="277" w:lineRule="auto"/>
        <w:tabs>
          <w:tab w:leader="none" w:pos="3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legislation, regulations or court rulings related to enforcing patents that could harm our business and operating results;</w:t>
      </w:r>
    </w:p>
    <w:p>
      <w:pPr>
        <w:spacing w:after="0" w:line="170" w:lineRule="exact"/>
        <w:rPr>
          <w:rFonts w:ascii="Arial" w:cs="Arial" w:eastAsia="Arial" w:hAnsi="Arial"/>
          <w:sz w:val="18"/>
          <w:szCs w:val="18"/>
          <w:color w:val="auto"/>
        </w:rPr>
      </w:pPr>
    </w:p>
    <w:p>
      <w:pPr>
        <w:ind w:left="3260" w:hanging="713"/>
        <w:spacing w:after="0"/>
        <w:tabs>
          <w:tab w:leader="none" w:pos="3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w:t>
      </w:r>
    </w:p>
    <w:p>
      <w:pPr>
        <w:spacing w:after="0" w:line="225" w:lineRule="exact"/>
        <w:rPr>
          <w:rFonts w:ascii="Arial" w:cs="Arial" w:eastAsia="Arial" w:hAnsi="Arial"/>
          <w:sz w:val="18"/>
          <w:szCs w:val="18"/>
          <w:color w:val="auto"/>
        </w:rPr>
      </w:pPr>
    </w:p>
    <w:p>
      <w:pPr>
        <w:ind w:left="3260" w:hanging="713"/>
        <w:spacing w:after="0"/>
        <w:tabs>
          <w:tab w:leader="none" w:pos="3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securities on NASDAQ; and</w:t>
      </w:r>
    </w:p>
    <w:p>
      <w:pPr>
        <w:spacing w:after="0" w:line="225" w:lineRule="exact"/>
        <w:rPr>
          <w:rFonts w:ascii="Arial" w:cs="Arial" w:eastAsia="Arial" w:hAnsi="Arial"/>
          <w:sz w:val="18"/>
          <w:szCs w:val="18"/>
          <w:color w:val="auto"/>
        </w:rPr>
      </w:pPr>
    </w:p>
    <w:p>
      <w:pPr>
        <w:ind w:left="3260" w:hanging="713"/>
        <w:spacing w:after="0"/>
        <w:tabs>
          <w:tab w:leader="none" w:pos="3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sz w:val="20"/>
          <w:szCs w:val="20"/>
          <w:color w:val="auto"/>
        </w:rPr>
      </w:pPr>
    </w:p>
    <w:p>
      <w:pPr>
        <w:jc w:val="both"/>
        <w:ind w:firstLine="707"/>
        <w:spacing w:after="0" w:line="289" w:lineRule="auto"/>
        <w:rPr>
          <w:sz w:val="20"/>
          <w:szCs w:val="20"/>
          <w:color w:val="auto"/>
        </w:rPr>
      </w:pPr>
      <w:r>
        <w:rPr>
          <w:rFonts w:ascii="Arial" w:cs="Arial" w:eastAsia="Arial" w:hAnsi="Arial"/>
          <w:sz w:val="16"/>
          <w:szCs w:val="16"/>
          <w:i w:val="1"/>
          <w:iCs w:val="1"/>
          <w:color w:val="auto"/>
        </w:rPr>
        <w:t>Forward-looking statements may appear throughout this report, including without limitation, the following sections: Item 1 “Business,” Item 1A “Risk Factors,” and Item 7 “Management’s Discussion and Analysis of Financial Condition and Results of Operations.” Forward-looking statements generally can be identified by words such as “anticipates,” “believes,” “estimates,” “expects,” “intends,” “plans,” “predicts,” “projects,” “will be,” “will continue,” “will likely result,” and similar expressions. These forward-looking statements are based on current expectations and assumptions that are subject to risks and uncertainties, which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caption “Risk Factors” in Item 1A of this report and those discussed in other documents we file with the Securities and Exchange Commission (SEC).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16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All references in this Annual Report on Form 10-K to “we,” “us” and “our” refer to Vringo, Inc., a Delaware corporation, and its consolidated subsidiaries for periods after the closing of the Merger (as defined in Item 1.), and to I/P (as defined in Item 1.) and its consolidated subsidiaries for periods prior to the closing of the Merger unless the context requires otherwise.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Vringo, Inc. (“Vringo”)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7" w:lineRule="exact"/>
        <w:rPr>
          <w:sz w:val="20"/>
          <w:szCs w:val="20"/>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were incorporated in Delaware on January 9, 2006 and commenced operations during the first quarter of 2006. In March 2006, we formed a wholly-owned subsidiary, Vringo (Israel) Ltd., for the primary purpose of providing research and development services. On July 19, 2012, Innovate/Protect, Inc. (“I/P”) merged with us through an exchange of equity instruments of I/P for those of Vringo (the “Merger”). The Merger was accounted for as a reverse acquisition pursuant to which I/P was considered the accounting acquirer of Vringo. As such, the financial statements of I/P are treated as the historical financial statements of the combined company, with the results of Vringo included from July 19, 2012 (the effective date of the Merger) through December 31, 2013. Moreover, common stock amounts presented for comparative periods differ from those previously presented by I/P, due to application of accounting requirements applicable to a reverse acquisition. The accompanying consolidated financial statements are presented in accordance with generally accepted accounting principles in the United States of America ("U.S. GAAP"). All significant intercompany balances and transactions have been eliminated in consolidation.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181818"/>
        </w:rPr>
        <w:t>We are a development stage company and until now, we have not yet generated any significant revenues. From the inception of I/P on June 8, 2011 (“Inception”) to date, we have raised approximately $97,403,000, which is, and have been used to finance our operations. Our average monthly use of cash from operations for the years ended December 31, 2013 and 2012, was approximately $1,955,000 and $1,205,000, respectively. This is not necessarily indicative of the future use of our working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manage an intellectual property portfolio consisting of over 500 patents and patent applications, covering telecom infrastructure, internet search and mobile technologies. These patents and patent applications have been developed internally and acquired from third parties. We innovate, acquire, license and protect technology and intellectual property rights worldwide. We seek to expand our portfolio of intellectual property through acquisition and development both internally and with third parties. Our goal is to partner with innovators of compelling technologies.</w:t>
      </w:r>
    </w:p>
    <w:p>
      <w:pPr>
        <w:spacing w:after="0" w:line="171" w:lineRule="exact"/>
        <w:rPr>
          <w:sz w:val="20"/>
          <w:szCs w:val="20"/>
          <w:color w:val="auto"/>
        </w:rPr>
      </w:pPr>
    </w:p>
    <w:p>
      <w:pPr>
        <w:jc w:val="both"/>
        <w:ind w:firstLine="712"/>
        <w:spacing w:after="0" w:line="255" w:lineRule="auto"/>
        <w:rPr>
          <w:sz w:val="20"/>
          <w:szCs w:val="20"/>
          <w:color w:val="auto"/>
        </w:rPr>
      </w:pPr>
      <w:r>
        <w:rPr>
          <w:rFonts w:ascii="Arial" w:cs="Arial" w:eastAsia="Arial" w:hAnsi="Arial"/>
          <w:sz w:val="18"/>
          <w:szCs w:val="18"/>
          <w:color w:val="auto"/>
        </w:rPr>
        <w:t>In potential acquisitions, we seek to purchase all of, or interests in, intellectual property in exchange for cash, securities of our company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of directors, will allow us to assemble a portfolio of quality assets with short and long-term revenue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Search Patents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2011, I/P Engine acquired eight patents from Lycos, Inc. (“Lycos”) through its wholly-owned subsidiary, I/P Engine. On September 15, 2011, I/P Engine initiated litigation in the United States District Court, Eastern District of Virginia, against AOL Inc. (“AOL”), Google, Inc. (“Google”), IAC Search &amp; Media, Inc., Gannett Company, Inc., and Target Corporation (collectively, the “Defendants”) for infringement of U.S. Patent Nos. 6,314,420 (the "'420 Patent") and 6,775,664 (the "'664 Patent", and collectively the “Asserted Patents”).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November 6, 2012, a jury in Norfolk, Virginia unanimously returned a verdict in favor of I/P Engine as follows: (i) I/P Engine had proven by a preponderance of the evidence that the Defendants infringed all of the asserted claims of the Asserted Patents; (ii) Defendants had not proven by clear and convincing evidence that any of the asserted claims of the Asserted Patents were invalid by anticipation; (iii) damages should be based on a "running royalty,"</w:t>
      </w:r>
    </w:p>
    <w:p>
      <w:pPr>
        <w:jc w:val="both"/>
        <w:ind w:firstLine="8"/>
        <w:spacing w:after="0" w:line="255" w:lineRule="auto"/>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running royalty rate should be 3.5%; and (v) damages totaling of approximately $30.5 million should be awarded to I/P Engine. The jury also found certain specific facts related to the ultimate question of whether the patents were invalid as obvious. Based on such facts, on November 20, 2012, the District Court issued a ruling that Asserted Patents were not invalid as obvious, and the Court entered final judgment.</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3, 2014, the District Court ordered that I/P Engine recover an additional sum of $17.32 million from Defendants for supplemental damages and prejudgment interest. On January 21, 2014, the District Court ruled that Defendants' alleged design-around was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Asserted Patents that "would reasonably compensate [I/P Engine] for giving up [its] right to exclude yet allow an ongoing willful infringer to make a reasonable profit" is a rate of 6.5% of the 20.9% royalty base previously set by the District Court.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572" w:gutter="0" w:footer="0" w:header="0"/>
        </w:sectPr>
      </w:pPr>
    </w:p>
    <w:bookmarkStart w:id="5" w:name="page6"/>
    <w:bookmarkEnd w:id="5"/>
    <w:p>
      <w:pPr>
        <w:jc w:val="both"/>
        <w:ind w:firstLine="648"/>
        <w:spacing w:after="0" w:line="302" w:lineRule="auto"/>
        <w:rPr>
          <w:sz w:val="20"/>
          <w:szCs w:val="20"/>
          <w:color w:val="auto"/>
        </w:rPr>
      </w:pPr>
      <w:r>
        <w:rPr>
          <w:rFonts w:ascii="Arial" w:cs="Arial" w:eastAsia="Arial" w:hAnsi="Arial"/>
          <w:sz w:val="16"/>
          <w:szCs w:val="16"/>
          <w:color w:val="auto"/>
        </w:rPr>
        <w:t>Both I/P Engine and the Defendants have appealed the case to the U.S. Court of Appeals for the Federal Circuit. The case number for the District Court case is 2:11 CV 512-RAJ. The case numbers for the cases in the Court of Appeals for the Federal Circuit are 13-1307, 13-1313, 14-1233 and 14-1289. The court dockets for proceedings in District Court and the Court of Appeals for the Federal Circuit, including the parties’ briefs, are publicly available on the Public Access to Court Electronic Records website (“PACER”), www.pacer.gov, which is operated by the Administrative Office of the U.S. Courts.</w:t>
      </w:r>
    </w:p>
    <w:p>
      <w:pPr>
        <w:spacing w:after="0" w:line="1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January 31, 2013, I/P Engine initiated litigation in the United States District Court, Southern District of New York, against Microsoft Corporation (“Microsoft”). On May 30, 2013, I/P Engine entered into a settlement and license agreement with Microsoft to resolve the litigation. According to the agreement, Microsoft paid I/P Engine $1,000,000 and agreed to pay 5% of any future amount Google pays for its use of the patents acquired from Lycos. The parties also agreed to a limitation on Microsoft's total liability, which would not impact us unless the amounts received from Google substantially exceed the judgment previously awarded. In addition, the parties entered into a patent assignment agreement, pursuant to which Microsoft assigned six patents to I/P Engine. The assigned patents relate to telecommunications, data management, and other technology areas. The case number was 1:13 CV 00688.</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Requests for reexamination are a standard tactic used by defendants in patent litigation cases. Google has filed four separate requests for reexamination of the asserted patents at the USPTO, with the two requests on the '664 patent being merged. To date, three of the reexaminations have been resolved in I/P Engine's favor. On December 13, 2013, the USPTO issued a reexamination certificate confirming that all of the claims of the '664 Patent remain valid and unchanged. On September 13, 2013, the USPTO issued a reexamination certificate confirming that all of the claims of the '420 Patent remain valid and unchanged. Thereafter, Google filed an additional request for reexamination of the '420 patent based solely on a single reference, a reference that had been considered during one of the previous ‘664 Patent reexamination applications. On January 31, 2014, the USPTO issued a first, non-final rejection of the challenged claims in the '420 Patent. I/P Engine is permitted to follow USPTO procedures to defend the validity of the '420 patent. Documents regarding USPTO proceedings are publicly available on the Patent Application Information Retrieval website, http://portal.uspto.gov/pair/PublicPair, which is operated by the USPTO.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Patents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August 9, 2012, we entered into a patent purchase agreement with Nokia Corporation ("Nokia"), comprising of 124 patent families with counterparts world-wide. We paid Nokia a cash payment of $22,000,000 and granted Nokia certain ongoing rights in revenues generated from the patent portfolio. The portfolio encompasses technologies relating to telecom infrastructure, including communication management, data and signal transmission, mobility management, radio resources management and services. Declarations were filed by Nokia indicating that 31 of the 124 patent families acquired may be essential to wireless communications standards. Copies of the declarations are available on our website at </w:t>
      </w:r>
      <w:r>
        <w:rPr>
          <w:rFonts w:ascii="Arial" w:cs="Arial" w:eastAsia="Arial" w:hAnsi="Arial"/>
          <w:sz w:val="18"/>
          <w:szCs w:val="18"/>
          <w:u w:val="single" w:color="auto"/>
          <w:color w:val="auto"/>
        </w:rPr>
        <w:t>http://www.vringoip.com/documents/FG/vringo/ip/99208_Nokia_ETSI_Declarations.pdf</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one of the means of realizing the value of the patents on telecom infrastructure, our wholly-owned subsidiaries, Vringo Infrastructure, Inc. (“Vringo Infrastructure”) and Vringo Germany GmbH (“Vringo Germany”) have filed a number of suits against ZTE Corporation (“ZTE”), ASUSTeK Computer Inc. (“ASUS”), ADT Corporation (“ADT”) and Tyco Integrated Security, LLC (“Tyco”) and their subsidiaries and affiliates in the United States, European jurisdictions, India and Australia, alleging infringement of certain U.S., European, Indian and Australian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European Patents (UK) 1,212,919; 1,166,589; and 1,808,029. ZTE’s formal response to the complaint was received on December 19, 2012 and included a counterclaim for invalidity of the patents in suit. Vringo Infrastructure responded to the defense on January 16, 2013. Vringo Infrastructure filed a further UK suit on December 3, 2012, alleging infringement of European Patents (UK) 1,221,212; 1,330,933; and 1,186,119. The first UK case will hold a trial in late October 2014 and the second UK case will hold a trial in early June 2015.</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November 15, 2012, Vringo Germany filed a suit in the Mannheim Regional Court in Germany, alleging infringement of European Patent (DE) 1,212,919. The litigation was expanded to include a second patent on February 21, 2013, alleging infringement of European Patent (DE) 1,186,119. At the Mannheim Court’s request, both cases were scheduled to be heard on the same day, October 15, 2013, but were later moved to November 12, 2013. On November 4, 2013 we filed a further brief in the European Patent 1,212,919 proceedings introducing an additional independent patent claim and asserting infringement by ZTE eNode B infrastructure equipment used in 4G networks. In light of the additional products accused, the European Patent 1,186,119 case was heard on November 12, 2013 and the hearing in the European Patent 1,212,919 case was moved to April 28, 2014.</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17, 2013, the Court issued its judgment, finding that ZTE infringed European Patent 1,186,119 and ordered an accounting and an injunction upon payment of the appropriate bonds. Vringo Germany paid in the bonds for the accounting, which is now in process. On February 19, 2014, Vringo Germany filed suit in the Mannheim Regional Court seeking enforcement of the accounting ordered in European Patent 1,186,119 and a further order that non-compliance be subject to civil and criminal penalties. Trial in this suit is scheduled for July 4, 2014.</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December 27, 2013, ZTE filed a notice of appeal of the Mannheim Regional Court’s judgment. On January 24, 2014, ZTE filed an emergency motion with the Court of Appeals seeking a stay of the judge’s order pending appeal. On February 24, 2014, ZTE’s motion was denied.</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14, 2013, ZTE filed a nullity suit with respect to European Patent (DE) 1,212,919 in the Federal Patents Court, Munich, Germany, alleging invalidity of the patent. Trial in the nullity suit has not been scheduled but is not anticipated before the third quarter of 2014.</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3, 2013, ZTE filed a nullity suit with respect to European Patent (DE) 1,186,119 in the Federal Patents Court in Munich, Germany. Trial in the nullity suit has not been scheduled but is not anticipated before the third quarter of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13, 2013, Vringo Germany filed a suit in the Regional Court of Düsseldorf, alleging infringement of European Patent (DE) 0,748,136.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case is scheduled to be heard on November 27, 2014.</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775" w:gutter="0" w:footer="0" w:header="0"/>
        </w:sectPr>
      </w:pPr>
    </w:p>
    <w:bookmarkStart w:id="6" w:name="page7"/>
    <w:bookmarkEnd w:id="6"/>
    <w:p>
      <w:pPr>
        <w:jc w:val="both"/>
        <w:ind w:firstLine="648"/>
        <w:spacing w:after="0" w:line="277" w:lineRule="auto"/>
        <w:rPr>
          <w:sz w:val="20"/>
          <w:szCs w:val="20"/>
          <w:color w:val="auto"/>
        </w:rPr>
      </w:pPr>
      <w:r>
        <w:rPr>
          <w:rFonts w:ascii="Arial" w:cs="Arial" w:eastAsia="Arial" w:hAnsi="Arial"/>
          <w:sz w:val="18"/>
          <w:szCs w:val="18"/>
          <w:color w:val="auto"/>
        </w:rPr>
        <w:t>On December 20, 2013, ZTE filed a nullity suit with respect to European Patent (DE) 0,748,136 in the Federal Patents Court in Munich, Germany. A schedule has not yet been set. Trial is not anticipated before the third quarter of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28, 2014, Vringo Germany filed a suit in the Regional Court of Düsseldorf alleging infringement of European Patent (DE) 0,710,941.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case is scheduled to be heard on November 27, 2014.</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In November and December 2012, ZTE initiated invalidity proceedings in China against Chinese Patents ZL 00806049.5; ZL 00812876.6; and ZL 200480044232.1, before the Patent Reexamination Board of the Patent Office of the People’s Republic of China. These patents are the Chinese counterparts of European Patents 1,166,589; 1,212,919; and 1,808,029. On July 3, 2013, the patent rights for ZL 200480044232.1 (counterpart to European Patent 1,808,029) were upheld. An oral hearing for ZL00806049.5 (equivalent to European Patent 1,166,589) occurred on May 9, 2013 and a ruling is still pending. </w:t>
      </w:r>
      <w:r>
        <w:rPr>
          <w:rFonts w:ascii="Arial" w:cs="Arial" w:eastAsia="Arial" w:hAnsi="Arial"/>
          <w:sz w:val="16"/>
          <w:szCs w:val="16"/>
          <w:color w:val="181818"/>
        </w:rPr>
        <w:t xml:space="preserve">An oral hearing for </w:t>
      </w:r>
      <w:r>
        <w:rPr>
          <w:rFonts w:ascii="Arial" w:cs="Arial" w:eastAsia="Arial" w:hAnsi="Arial"/>
          <w:sz w:val="16"/>
          <w:szCs w:val="16"/>
          <w:color w:val="000000"/>
        </w:rPr>
        <w:t>ZL 00812876.6</w:t>
      </w:r>
      <w:r>
        <w:rPr>
          <w:rFonts w:ascii="Arial" w:cs="Arial" w:eastAsia="Arial" w:hAnsi="Arial"/>
          <w:sz w:val="16"/>
          <w:szCs w:val="16"/>
          <w:color w:val="181818"/>
        </w:rPr>
        <w:t xml:space="preserve"> (equivalent to European Patent 1,212,919) was held on December 23, 2013, and a ruling is still pending.</w:t>
      </w:r>
    </w:p>
    <w:p>
      <w:pPr>
        <w:spacing w:after="0" w:line="158"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7"/>
          <w:szCs w:val="17"/>
          <w:color w:val="auto"/>
        </w:rPr>
        <w:t>On March 29, 2013, Vringo Infrastructure filed a patent infringement lawsuit in France in the Tribunal de Grande Instance de Paris, alleging infringement of the French part of European Patents 1,186,119 and 1,221,212 by ZTE devices, which are believed to fall within the scope of these patents. Vringo Infrastructure filed the lawsuit based on particular information uncovered during a seizure to obtain evidence of infringement, known as a saisie-contrefaçon, which was executed at two of ZTE's facilities in France. The oral hearing in relation to EP (FR) 1,186,119 and 1,221,212 has been scheduled for December 8, 2014 before 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division of 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chamber of the Tribunal de Grande Instance de Paris (specializing in IP matters).</w:t>
      </w:r>
    </w:p>
    <w:p>
      <w:pPr>
        <w:spacing w:after="0" w:line="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Australian Standard Patents AU 2005/212,893 and AU 773,182. We currently anticipate that the Court will set a trial date in the second half of 2014.</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6, 2013, Vringo Infrastructure filed a preliminary inquiry order against ZTE in the Commercial Court of Madrid, Spain, requiring ZTE to provide discovery relating to alleged infringement of Spanish Patent 2220484 (EP (ES) 1,186,119). In light of ZTE’s non-responsiveness to the order, on March 24, 2014 the Court granted our request to seek discovery of certain of ZTE’s Spanish customers.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7, 2013, we and our subsidiary, Vringo Infrastructure, filed a patent infringement lawsuit in the High Court of Delhi at New Delhi, India, alleging infringement of Indian patent 243,980. On November 8, 2013, the Court granted an ex-parte preliminary injunction and appointed commissioners to inspect ZTE’s facilities and collect evidence. ZTE appealed the preliminary injunction and, on December 12, 2013, the appellate panel instituted an interim arrangement, requiring ZTE to file an accounting affidavit disclosing the number of CDMA devices sold by its entities in India, revenue derived therefrom, and other supporting documentation. The Court also required ZTE to pay a bond of 50 million rupees (approximately $800,000 USD), directed Indian customs authorities to notify us when all relevant ZTE goods are imported into India, and required ZTE to give us the opportunity to inspect those goods. ZTE filed its accounting affidavit on January 13, 2014. On February 3, 2014, we filed a motion for contempt for ZTE’s failure to comply with the Court’s order, and requested that the Court order ZTE to pay an increased bond.</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On January 31, 2014, we and our subsidiary, Vringo Infrastructure, filed a patent infringement lawsuit in the High Court of Delhi at New Delhi, alleging infringement of Indian patent 200,572. The Court, finding a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case of infringement, granted an ex-parte preliminary injunction, restraining ZTE and its officers, directors, agents, distributors and customers from importing, selling, offering for sale, advertising, installing, or operating any infringing products, and giving us the right to inspect any infringing goods arriving in India, which are to be detained by customs authorities. The judge granted the injunction after ruling that we would suffer an irreparable loss if such an injunction were not put into place.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4, 2013, Vringo Germany filed a patent infringement lawsuit against ASUS in the Düsseldorf Regional Court, alleging infringement of European Patent (DE) 0,748,136. The case is scheduled to be heard on November 27, 2014.</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29, 2014, Vringo Germany filed a suit in the Düsseldorf Regional Court alleging infringement of European Patent (DE) 0,710,941. The case is scheduled to be heard on November 27, 2014.</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7, 2014, Vringo Infrastructure, Inc. filed a suit in the Commercial Court of Barcelona alleging infringement of European Patent (ES) 0,748,136.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ADT/Tyco</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On September 12, 2013, Vringo Infrastructure filed a patent infringement lawsuit against ADT and Tyco in the United States District Court for the Southern District of Florida. The lawsuit alleges infringement of U.S. Patent No. 6,288,641, entitled "Assembly, and Associated Method, for Remotely Monitoring a Surveillance Area."</w:t>
      </w:r>
    </w:p>
    <w:p>
      <w:pPr>
        <w:spacing w:after="0" w:line="181"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On January 15, 2014, Vringo Germany filed a patent infringement lawsuit against Tyco in the Regional Court of Mannheim, alleging infringement of European Patent 1,221,149, entitled “Process and Device for Surveillance of a Room.”</w:t>
      </w:r>
    </w:p>
    <w:p>
      <w:pPr>
        <w:spacing w:after="0" w:line="170" w:lineRule="exact"/>
        <w:rPr>
          <w:sz w:val="20"/>
          <w:szCs w:val="20"/>
          <w:color w:val="auto"/>
        </w:rPr>
      </w:pPr>
    </w:p>
    <w:p>
      <w:pPr>
        <w:jc w:val="both"/>
        <w:ind w:firstLine="495"/>
        <w:spacing w:after="0" w:line="342" w:lineRule="auto"/>
        <w:rPr>
          <w:sz w:val="20"/>
          <w:szCs w:val="20"/>
          <w:color w:val="auto"/>
        </w:rPr>
      </w:pPr>
      <w:r>
        <w:rPr>
          <w:rFonts w:ascii="Arial" w:cs="Arial" w:eastAsia="Arial" w:hAnsi="Arial"/>
          <w:sz w:val="16"/>
          <w:szCs w:val="16"/>
          <w:color w:val="auto"/>
        </w:rPr>
        <w:t>On January 28, 2014, Vringo Infrastructure announced that it had entered into a confidential agreement with ADT. The agreement resolved litigation pending between the parties in the United States District Court for the Southern District of Florida. Tyco remains a defendant in the ongoing litigation.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Sale of mobile social application business to InfoMedia Services Limited (“Infomedia”)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31, 2013, we entered into a definitive asset purchase agreement with Infomedia for the sale of certain assets (mostly comprised of our acquired technology) and the assignment of certain agreements related to our mobile social application business. The closing of the transaction, which was subject to the satisfaction or waiver of certain conditions, occurred on February 18, 2014 (“Closing”). Upon Closing, in exchange for the assets and agreements related to our mobile social application business, we received 18 Class B shares of Infomedia, which represent an 8.25% ownership interest in Infomedia.</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Infomedia is a privately owned, UK based, provider of customer relationship management and monetization technologies to mobile carriers and device manufacturers. As part of the transaction, we will have the opportunity to license certain intellectual property assets and support Infomedia to identify and protect new intellectual property. Additionally, Vringo’s CEO was appointed as a full voting member on Infomedia’s board of directors.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sale of our mobile social application business, an impairment loss of $7,253,000 was recorded during the fourth quarter of 2013, which represents the excess of the carrying value over the estimated fair value of the asset group. The fair value of the asset group was estimated using an income approach by developing a discounted, future, net cash flows model. Refer to Note 7 to the accompanying consolidated financial statements for further discussion of the accounting related to this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181818"/>
        </w:rPr>
        <w:t>As of February 21, 2014, we have 18 full time employees. We do not have employees that are represented by a labor union or are covered by a collective bargaining agreement. We consider our relationship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Our business, financial condition, results of operations and the trading price of our common stock could be materially adversely affected by any of the following risks as well as the other risks highlighted elsewhere in this Annual Report on Form 10-K, particularly the discussions about regulation, competition and intellectual property. Additional risks and uncertainties not presently known to us or that we currently deem immaterial also may materially affect our business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limited operating history makes it difficult to evaluate our current business and future prospects.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development stage company and we have generated no significant revenue to date. I/P, the accounting acquirer, was incorporated in June 2011, at which time it acquired patent assets from Lycos, Inc. To date, our business is focused on the assertion of these patents and other patents we acquired. Therefore, we not only have a very limited operating history, but also a limited track record in executing our business model which includes, among other things, creating, prosecuting, licensing, litigating or otherwise monetizing our patent assets. Our limited operating history makes it difficult to evaluate our current business model and future prospects.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we will not be able to:</w:t>
      </w:r>
    </w:p>
    <w:p>
      <w:pPr>
        <w:spacing w:after="0" w:line="170" w:lineRule="exact"/>
        <w:rPr>
          <w:sz w:val="20"/>
          <w:szCs w:val="20"/>
          <w:color w:val="auto"/>
        </w:rPr>
      </w:pPr>
    </w:p>
    <w:p>
      <w:pPr>
        <w:ind w:left="1460" w:hanging="358"/>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 or execute our current business plan, or demonstrate that our business plan is sound; and/or</w:t>
      </w:r>
    </w:p>
    <w:p>
      <w:pPr>
        <w:spacing w:after="0" w:line="225" w:lineRule="exact"/>
        <w:rPr>
          <w:rFonts w:ascii="Arial" w:cs="Arial" w:eastAsia="Arial" w:hAnsi="Arial"/>
          <w:sz w:val="18"/>
          <w:szCs w:val="18"/>
          <w:color w:val="auto"/>
        </w:rPr>
      </w:pPr>
    </w:p>
    <w:p>
      <w:pPr>
        <w:ind w:left="1460" w:hanging="358"/>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long-term business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unable to execute any one of the foregoing or similar matters relating to our operations, our business may fail.</w:t>
      </w:r>
    </w:p>
    <w:p>
      <w:pPr>
        <w:spacing w:after="0" w:line="221"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We commenced legal proceedings against the major online search engines, security and communications companies, and we expect such proceedings to be time-consuming and costly, which may adversely affect our financial condition and our ability to operate our business.</w:t>
      </w:r>
    </w:p>
    <w:p>
      <w:pPr>
        <w:spacing w:after="0" w:line="14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To license or otherwise monetize the patent assets that we own, we commenced legal proceedings against a number of large, multi-national companies, pursuant to which we allege that such companies infringe on one or more of our patents. Our viability is highly dependent on the outcome of these litigations, and there is a risk that we may be unable to achieve the results we desire from such litigation, which failure would harm our business to a great degree. In addition, the defendants in these litigations have substantially more resources than we do, which could make our litigation efforts more difficult.</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anticipate that legal proceedings may continue for several years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inter alia revocation of our patents or file collateral litigations or initiate investigations in the United States, Europe, India, China or elsewhere in an effort to avoid or limit liability and damages for patent infringement. If such actions are successful, they may preclude our ability to derive licensing revenue from the patents currently being asserted.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we anticipate that our legal fees and other expenses will be material and will negatively impact our financial condition and results of operations and may result in our inability to continue our business. We estimate that our legal fees over the next twelve months will be significant for these enforcement actions. Expenses thereafter are dependent on the outcome of the status of the litigation. Our failure to monetize our patent assets would significantly harm our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should we be deemed the losing party in many of our litigations, we may be liable for some or all of our opponents’ legal fees.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any of our applications to the Court in the UK ZTE litigation or for the entire UK ZTE litigation, we may be held responsible for a substantial percentage of the defendant’s legal fees for the relevant application or for the litigation. These fees may be substantial. To date, ZTE has asserted that its anticipated fees in defending the UK litigation may be approximately $5,800,000.</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Australia, should we be deemed the losing party in any of our applications to the Court or for the entire litigation, we may be held responsible for a substantial percentage of the defendant’s legal fees for the relevant application or for the litigation. These fees may be substantial.</w:t>
      </w:r>
    </w:p>
    <w:p>
      <w:pPr>
        <w:sectPr>
          <w:pgSz w:w="11900" w:h="16838" w:orient="portrait"/>
          <w:cols w:equalWidth="0" w:num="1">
            <w:col w:w="11420"/>
          </w:cols>
          <w:pgMar w:left="240" w:top="337" w:right="239" w:bottom="0"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267335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9" w:name="page10"/>
    <w:bookmarkEnd w:id="9"/>
    <w:p>
      <w:pPr>
        <w:jc w:val="both"/>
        <w:ind w:firstLine="648"/>
        <w:spacing w:after="0" w:line="308" w:lineRule="auto"/>
        <w:rPr>
          <w:sz w:val="20"/>
          <w:szCs w:val="20"/>
          <w:color w:val="auto"/>
        </w:rPr>
      </w:pPr>
      <w:r>
        <w:rPr>
          <w:rFonts w:ascii="Arial" w:cs="Arial" w:eastAsia="Arial" w:hAnsi="Arial"/>
          <w:sz w:val="17"/>
          <w:szCs w:val="17"/>
          <w:color w:val="auto"/>
        </w:rPr>
        <w:t>In Australia, should we be deemed the losing party in any of our applications to the Court or for the entire litigation, we may be held responsible for a substantial percentage of the defendant’s legal fees for the relevant application or for the litigation. These fees may be substantial.</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Germany, the amount of fees payable by a losing party is determined based on certain possible statutory levels of “value in dispute.” The value in dispute is only very loosely correlated to the actual value of any potential final settlement or license. Under the current statute, our risk is capped at approximately $952,000 (or €732,000) were the court to determine that the value in dispute is at the highest tier under law.</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France, should we be deemed to be the losing party, it is more likely than not that we will be ordered to pay a contribution to ZTE’s attorney and expert fees. The court in France will make an assessment of winning party’s costs during the course of the proceeding on the merits, and at its discretion order the losing party to pay a portion of those costs, typically between 40-60%.</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today, we cannot estimate our potential future liability. However, should we be successful on any court applications in the UK, Australia, France, or Germany or the entire litigation and/or litigations, our adversary may be responsible for a substantial percentage of our legal fees.</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Germany, should the court order an injunction for it to be enforced, we will have to pay a security based on the relevant statutory rate. In our litigations against ZTE and ASUS the statutory rate is approximately $1,300,000 (or €1,000,000) for each patent asserted. In our litigation with Tyco, the rate is approximately $650,000 (or €500,000). The statutory rate is only loosely correlated to any actual harm the defendant may suffer from an injunction. The district court judge is entitled to increase the amount of the security. Generally, the courts take the value in dispute as the amount payable as security</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if any of the patents in suit are found not infringed or invalid, it is highly unlikely that the relevant patents would be viewed as essential and therefore infringed by all unlicensed market participants.</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While we believe that the patents we own are being infringed there is a risk that a court will find the patents invalid, not infringed or unenforceable and/or that the U.S. Patent and Trademark Office (USPTO) or other relevant patent office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 If this were to occur, it would have a material adverse effect on the viability of our company and our operations.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that certain companies infringe our patents, but recognize that obtaining and collecting a judgment against such companies may be difficult or impossible. Patent litigation is inherently risky and the outcome is uncertain. Some of the parties that we believe infringe on our patents are large and well-financed companies with substantially greater resources than ours. We believe that these parties would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Moreover, in connection with any of our present or future patent enforcement actions, it is possible that a defendant may request and/or a court may rule that we violated relevant statues, regulations, rules or standards relating to the substantive or procedural aspects of such enforcement actions in the United States or abroad. In such event, a court or other regulatory agency may issue monetary sanctions against us or our operating subsidiaries or award attorneys’ fees and/or expenses to one or more defendants, which could be material, and if we or our subsidiaries are required to pay such monetary sanctions, attorneys’ fees and/or expenses, such payment could materially harm our operating results and financial position.</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or appellate level. In the United States, there is a higher rate of appeals in patent enforcement litigation than standard business litigation. The defendant to any case we bring, may file as many appeals as allowed by right, including to the first, second and/or final courts of appeal (in the United States those courts would be the Federal Circuit and Supreme Court, respectively). Such appeals are expensive and time-consuming, and the outcomes of such appeals are sometimes unpredictable, resulting in increased costs and reduced or delayed revenue.</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we acquired from Nokia, nor any of the other patent acquisitions, thus we may fail to realize all of the anticipated benefits of such acquisition.</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There is no assurance that we will be able to successfully monetize the patent portfolio that we acquired from Nokia, nor any other of the patent acquisitions. The patents we acquired from Nokia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acquisition of the patent portfolio is subject to a number of risks, including, but not limited to the following:</w:t>
      </w:r>
    </w:p>
    <w:p>
      <w:pPr>
        <w:spacing w:after="0" w:line="225" w:lineRule="exact"/>
        <w:rPr>
          <w:sz w:val="20"/>
          <w:szCs w:val="20"/>
          <w:color w:val="auto"/>
        </w:rPr>
      </w:pPr>
    </w:p>
    <w:p>
      <w:pPr>
        <w:ind w:left="1080" w:hanging="356"/>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23" w:lineRule="exact"/>
        <w:rPr>
          <w:rFonts w:ascii="Arial" w:cs="Arial" w:eastAsia="Arial" w:hAnsi="Arial"/>
          <w:sz w:val="16"/>
          <w:szCs w:val="16"/>
          <w:color w:val="auto"/>
        </w:rPr>
      </w:pPr>
    </w:p>
    <w:p>
      <w:pPr>
        <w:jc w:val="both"/>
        <w:ind w:left="1080" w:hanging="356"/>
        <w:spacing w:after="0" w:line="26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there is no assurance that we will be able to monetize the acquired patent portfolio and recoup our investment.</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may seek to internally develop new inventions and intellectual property, which would take time and would be costly. Moreover, the failure to obtain or maintain intellectual property rights for such inventions would lead to the loss of our investments in such activities.</w:t>
      </w:r>
    </w:p>
    <w:p>
      <w:pPr>
        <w:spacing w:after="0" w:line="1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Members of our management team have experience as inventors.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ectPr>
          <w:pgSz w:w="11900" w:h="16838" w:orient="portrait"/>
          <w:cols w:equalWidth="0" w:num="1">
            <w:col w:w="11420"/>
          </w:cols>
          <w:pgMar w:left="240" w:top="341" w:right="239" w:bottom="0" w:gutter="0" w:footer="0" w:header="0"/>
        </w:sectPr>
      </w:pPr>
    </w:p>
    <w:bookmarkStart w:id="10" w:name="page11"/>
    <w:bookmarkEnd w:id="10"/>
    <w:p>
      <w:pPr>
        <w:jc w:val="center"/>
        <w:ind w:right="-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267335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1" w:name="page12"/>
    <w:bookmarkEnd w:id="11"/>
    <w:p>
      <w:pPr>
        <w:jc w:val="both"/>
        <w:ind w:firstLine="648"/>
        <w:spacing w:after="0" w:line="286" w:lineRule="auto"/>
        <w:rPr>
          <w:sz w:val="20"/>
          <w:szCs w:val="20"/>
          <w:color w:val="auto"/>
        </w:rPr>
      </w:pPr>
      <w:r>
        <w:rPr>
          <w:rFonts w:ascii="Arial" w:cs="Arial" w:eastAsia="Arial" w:hAnsi="Arial"/>
          <w:sz w:val="17"/>
          <w:szCs w:val="17"/>
          <w:color w:val="auto"/>
        </w:rPr>
        <w:t>In addition, even if we are able to internally develop new inventions, in order for those inventions to be viable and to compete effectively, we would need to develop and maintain, and they would heavily rely on, a proprietary position with respect to such inventions and intellectual property. However, there are significant risks associated with any such intellectual property we may develop principally including the following:</w:t>
      </w:r>
    </w:p>
    <w:p>
      <w:pPr>
        <w:spacing w:after="0" w:line="166" w:lineRule="exact"/>
        <w:rPr>
          <w:sz w:val="20"/>
          <w:szCs w:val="20"/>
          <w:color w:val="auto"/>
        </w:rPr>
      </w:pPr>
    </w:p>
    <w:p>
      <w:pPr>
        <w:ind w:left="1160" w:hanging="34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 applications we may file may not result in issued patents or may take longer than we expect to result in issued patents;</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opposition proceedings in the U.S. or foreign countries;</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patents that are issued to us may not provide meaningful protection;</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develop additional proprietary technologies that are patentable;</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challenge patents issued to us;</w:t>
      </w:r>
    </w:p>
    <w:p>
      <w:pPr>
        <w:spacing w:after="0" w:line="225" w:lineRule="exact"/>
        <w:rPr>
          <w:rFonts w:ascii="Arial" w:cs="Arial" w:eastAsia="Arial" w:hAnsi="Arial"/>
          <w:sz w:val="18"/>
          <w:szCs w:val="18"/>
          <w:color w:val="auto"/>
        </w:rPr>
      </w:pPr>
    </w:p>
    <w:p>
      <w:pPr>
        <w:ind w:left="1160" w:hanging="34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our technologies;</w:t>
      </w:r>
    </w:p>
    <w:p>
      <w:pPr>
        <w:spacing w:after="0" w:line="170" w:lineRule="exact"/>
        <w:rPr>
          <w:rFonts w:ascii="Arial" w:cs="Arial" w:eastAsia="Arial" w:hAnsi="Arial"/>
          <w:sz w:val="18"/>
          <w:szCs w:val="18"/>
          <w:color w:val="auto"/>
        </w:rPr>
      </w:pPr>
    </w:p>
    <w:p>
      <w:pPr>
        <w:ind w:left="1160" w:hanging="34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design around patents we have developed; and</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enforcement of our patents could be complex, uncertain and very expensive.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or may obtain issued patents that could prevent us from commercializing our products or require us to obtain licenses requiring the payment of significant fees or royalties in order to enable us to conduct our business. As to those patents that we may license or otherwise monetize, our rights will depend on maintaining our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Intellectual property is the subject of intense scrutiny by the courts, legislatures and executive branches of governments around the world. Various patent offices, governments or intergovernmental bodies (like the European Commission) may implement new legislation, regulations or rulings that impact the patent enforcement process or the rights of patent holders and such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2013, the Federal Trade Commission announced that it is planning to gather information from approximately 25 companies that are in the business of buying and asserting patents in order to develop a better understanding of how those companies do business and impact innovation and competition. Both the Federal Trade Commission and European Commission are actively considering what the appropriate restrictions are on the ability of owners of patents declared to technical standards to receive both injunctions and royalties.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Furthermore, United States patent laws have been amended by the Leahy-Smith America Invents Act, or the America Invents Act. The America Invents Act includes a number of significant changes to U.S. patent law. In general, the legislation attempts to address issues surrounding the enforceability of patents and the increase in patent litigation by, among other things, establishing new procedures for patent litigation. For example, the America Invents Act changes the way that parties may be joined in patent infringement actions, increasing the likelihood that such actions will need to be brought against individual parties allegedly infringing by their respective individual actions or activities. At this time, it is not clear what, if any, impact the America Invents Act will have on the operation of our enforcement business. However, the America Invents Act and its implementation could increase the uncertainties and costs surrounding the enforcement of our patented technologies, which could have a material adverse effect on our business and financial condition.</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the U.S. Department of Justice (“DOJ”) has conducted reviews of the patent system to evaluate the impact of patent assertion entities on industries in which those patents relate. It is possible that the findings and recommendations of the DOJ could impact the ability to effectively license and enforce standards-essential patents and could increase the uncertainties and costs surrounding the enforcement of any such patented technologies.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Furthermore, in various pending litigation and appeals in the United States Federal courts, various arguments and legal theories are being advanced to potentially limit the scope of damages a patent licensing company such as us might be entitled to. Any one of these pending cases could result in new legal doctrines that could make our existing or future patent portfolios less valuable or more costly to enforce.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 That said, to date, we do not believe that any existing or proposed statutory or regulatory change has materially affected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of additional patent assets may be time consuming, complex and costly, which could adversely affect our operating results.</w:t>
      </w:r>
    </w:p>
    <w:p>
      <w:pPr>
        <w:spacing w:after="0" w:line="24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Acquisitions of patents or other intellectual property assets, which are and will be critical to our business plan, are often time consuming, complex and costly to consummate. We may utilize many different transaction structures in our acquisitions and the terms of such acquisition agreements tend to be heavily negotiated. As a result, we expect to incur significant operating expenses and will likely be required to raise capital during the negotiations even if the acquisition is ultimately not consummated. Even if we are able to acquire particular patents or other intellectual property assets, there is no guarantee that we</w:t>
      </w:r>
    </w:p>
    <w:p>
      <w:pPr>
        <w:sectPr>
          <w:pgSz w:w="11900" w:h="16838" w:orient="portrait"/>
          <w:cols w:equalWidth="0" w:num="1">
            <w:col w:w="11420"/>
          </w:cols>
          <w:pgMar w:left="240" w:top="341" w:right="239" w:bottom="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will generate sufficient revenue related to those assets to offset the acquisition costs. While we will seek to conduct confirmatory due diligence on the patents or other intellectual property assets we are considering for acquisition, we may acquire such assets from a seller who does not have proper title to those assets. In those cases, we may be required to spend significant resources to defend our interest in such assets and, if we are not successful, our acquisition may be invalid, in which case we could lose part or all of our investment in those assets.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both"/>
        <w:ind w:firstLine="699"/>
        <w:spacing w:after="0" w:line="259" w:lineRule="auto"/>
        <w:rPr>
          <w:sz w:val="20"/>
          <w:szCs w:val="20"/>
          <w:color w:val="auto"/>
        </w:rPr>
      </w:pPr>
      <w:r>
        <w:rPr>
          <w:rFonts w:ascii="Arial" w:cs="Arial" w:eastAsia="Arial" w:hAnsi="Arial"/>
          <w:sz w:val="18"/>
          <w:szCs w:val="18"/>
          <w:color w:val="auto"/>
        </w:rPr>
        <w:t>We may also identify patents or other intellectual property assets that cost more than we are prepared to spend with our own capital resources. We may incur significant costs to organize and negotiate a structured acquisition that does not ultimately result in an acquisition of any patents or other intellectual property assets or, if consummated, proves to be unprofitable for us. These higher costs could adversely affect our operating results, and if we incur losses, the value of our securities will decline.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may acquire patents and technologies that are in the early stages of adoption in the commercial, industrial and consumer markets. Demand for some of these technologies will likely be untested and may be subject to fluctuation based upon the rate at which our licensees will adopt our patents and technologies in their products and services. As a result, there can be no assurance as to whether technologies we acquire or develop will have value that we can monetize.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certain acquisitions of patent assets, we may seek to defer payment or finance a portion of the acquisition price. This approach may put us at a competitive disadvantage and could result in harm to our business.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limited capital and may seek to negotiate acquisitions of patent or other intellectual property assets where we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we might not compete effectively against other companies in the market for acquiring patent assets, some of whom have greater cash resources than we have.</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Competition is intense in the industries in which our subsidiaries do business and as a result, we may not be able to grow or maintain our market share for our technologies and patents.</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expect to encounter competition in the area of patent acquisition and enforcement as the number of companies entering this market is increasing. This includes competitors seeking to acquire the same or similar patents and technologies that we may seek to acquire. As new technological advances occur, many of our patented technologies may become obsolete before they are completely monetized. If we are unable to replace obsolete technologies with more technologically advanced patented technologies, then this obsolescence could have a negative effect on our ability to generate future revenues.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licensing business also competes with venture capital firms and various industry leaders for technology licensing opportunities. Many of these competitors may have more financial and human resources than we do. As we become more successful, we may find more companies entering the market for similar technology opportunities, which may reduce our market share in one or more technology industries that we currently rely upon to generate future revenue.</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our litigation and adversely affect our financial condition and operating results.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our assets to enter into licensing or other revenue generating agreements voluntarily. Entering into such agreements is critical to our business plan, and our failure to do so could cause material harm to our business.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Should our warrants outstanding as of February 21, 2014, be exercised, there would be an additional 17,800,673 shares of common stock eligible for trading in the public market. In addition, we currently have incentive equity instruments outstanding to purchase 12,969,039 shares of our common stock granted to our management, employees, directors and consultants. Certain options granted to officers, directors and certain key employees are subject to acceleration of vesting of 75% and 100% (according to the agreement signed with each grantee), upon a subsequent change of control. Certain options granted in prior years that are outstanding have exercise prices that are below recent market prices. Such securities, if exercised, will increase the number of issued and outstanding shares of our common stock. Therefore, the sale, or even the possibility of sale, of the shares of common stock underlying the warrants and options could have an adverse effect on the market price for our securities and/or on our ability to obtain future financing.</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February 21, 2014, we had 85,797,826 shares of common stock issued and outstanding, excluding shares of common stock issuable upon exercise of warrants, options or restricted stock units (“RSUs”). As shares saleable under Rule 144 are sold or as restrictions on resale lapse,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Technology company stock prices are especially volatile, and this volatility may depress the price of our common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stock market has experienced significant price and volume fluctuations, and the market prices of technology companies have been highly volatile. We believe that various factors may cause the market price of our common stock to fluctuate, perhaps substantially, including, among others, the following:</w:t>
      </w:r>
    </w:p>
    <w:p>
      <w:pPr>
        <w:spacing w:after="0" w:line="181" w:lineRule="exact"/>
        <w:rPr>
          <w:sz w:val="20"/>
          <w:szCs w:val="20"/>
          <w:color w:val="auto"/>
        </w:rPr>
      </w:pPr>
    </w:p>
    <w:p>
      <w:pPr>
        <w:ind w:left="1620" w:hanging="464"/>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or disputes concerning our patents;</w:t>
      </w:r>
    </w:p>
    <w:p>
      <w:pPr>
        <w:spacing w:after="0" w:line="23" w:lineRule="exact"/>
        <w:rPr>
          <w:rFonts w:ascii="Arial" w:cs="Arial" w:eastAsia="Arial" w:hAnsi="Arial"/>
          <w:sz w:val="18"/>
          <w:szCs w:val="18"/>
          <w:color w:val="auto"/>
        </w:rPr>
      </w:pPr>
    </w:p>
    <w:p>
      <w:pPr>
        <w:ind w:left="1620" w:hanging="464"/>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developments in our patent enforcement actions;</w:t>
      </w:r>
    </w:p>
    <w:p>
      <w:pPr>
        <w:spacing w:after="0" w:line="9" w:lineRule="exact"/>
        <w:rPr>
          <w:rFonts w:ascii="Arial" w:cs="Arial" w:eastAsia="Arial" w:hAnsi="Arial"/>
          <w:sz w:val="18"/>
          <w:szCs w:val="18"/>
          <w:color w:val="auto"/>
        </w:rPr>
      </w:pPr>
    </w:p>
    <w:p>
      <w:pPr>
        <w:ind w:left="1620" w:hanging="464"/>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9" w:lineRule="exact"/>
        <w:rPr>
          <w:rFonts w:ascii="Arial" w:cs="Arial" w:eastAsia="Arial" w:hAnsi="Arial"/>
          <w:sz w:val="18"/>
          <w:szCs w:val="18"/>
          <w:color w:val="auto"/>
        </w:rPr>
      </w:pPr>
    </w:p>
    <w:p>
      <w:pPr>
        <w:ind w:left="1620" w:hanging="464"/>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1620" w:right="620" w:hanging="464"/>
        <w:spacing w:after="0" w:line="250"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strategic partnerships, capital commitments, new technologies, or patents;</w:t>
      </w:r>
    </w:p>
    <w:p>
      <w:pPr>
        <w:ind w:left="1620" w:hanging="464"/>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9" w:lineRule="exact"/>
        <w:rPr>
          <w:rFonts w:ascii="Arial" w:cs="Arial" w:eastAsia="Arial" w:hAnsi="Arial"/>
          <w:sz w:val="18"/>
          <w:szCs w:val="18"/>
          <w:color w:val="auto"/>
        </w:rPr>
      </w:pPr>
    </w:p>
    <w:p>
      <w:pPr>
        <w:ind w:left="1620" w:hanging="464"/>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9" w:lineRule="exact"/>
        <w:rPr>
          <w:rFonts w:ascii="Arial" w:cs="Arial" w:eastAsia="Arial" w:hAnsi="Arial"/>
          <w:sz w:val="18"/>
          <w:szCs w:val="18"/>
          <w:color w:val="auto"/>
        </w:rPr>
      </w:pPr>
    </w:p>
    <w:p>
      <w:pPr>
        <w:ind w:left="1620" w:hanging="464"/>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market prices of the securities of technology companies have been highly volatile and are likely to remain highly volatile in the future. The stock market as a whole also has experienced extreme price and volume fluctuations that have affected the market price of many technology companies in ways that may have been unrelated to these companies' operating performance. Furthermore, we believe that fluctuations in our stock price can also be impacted by court rulings and/or other developments in our patent licensing and enforcement actions and stock price may reflect certain future growth and profitability expectations. If we fail to meet these expectations then our stock price may significantly decline which could have an adverse impact on investor confidence.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for us to raise capital privately through equity or equity-linked transactions, stockholder approval is required to enable us to issue more than 19.99% of our outstanding shares of common stock pursuant to the rules and regulations of the NASDAQ Capital Market. Should stockholders not approve such issuances, one means to raise capital would be through debt, which could have a material adverse effect on our consolidated balance sheet and overall financial condition.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raise additional capital. Moreover, additional financing may have an adverse effect on the value of the equity instruments held by our stockholders.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may choose to raise additional funds in connection with any potential acquisition of patent portfolios or other intellectual property assets or operating businesses. In addition, we may also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currently have two offices for which the annual rent amounts total $209,000. Our New York office, which serves as our corporate U.S. executive office, is located at 780 3rd Avenue, New York, New York. During January 2014, we entered into an amended lease agreement with the landlord for a new office space within the building. Once the new office space becomes available and we move to the new office, the annual rent will increase to approximately $403,000. The lease for the New York office will expire 5 years and 3 months after the new office is available. Our other office is located in Israel for which the lease will expire in May 2014. We believe that our facilities are adequate to accommodate our business needs.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Search Patents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2011, I/P Engine acquired eight patents from Lycos, Inc. (“Lycos”) through its wholly-owned subsidiary, I/P Engine. On September 15, 2011, I/P Engine initiated litigation in the United States District Court, Eastern District of Virginia, against AOL Inc. (“AOL”), Google, Inc. (“Google”), IAC Search &amp; Media, Inc., Gannett Company, Inc., and Target Corporation (collectively, the “Defendants”) for infringement of U.S. Patent Nos. 6,314,420 (the "'420 Patent") and 6,775,664 (the "'664 Patent", and collectively the “Asserted Patents”).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November 6, 2012, a jury in Norfolk, Virginia unanimously returned a verdict in favor of I/P Engine as follows: (i) I/P Engine had proven by a preponderance of the evidence that the Defendants infringed all of the asserted claims of the Asserted Patents; (ii) Defendants had not proven by clear and convincing evidence that any of the asserted claims of the Asserted Patents were invalid by anticipation; (iii) damages should be based on a "running royalty,"</w:t>
      </w:r>
    </w:p>
    <w:p>
      <w:pPr>
        <w:jc w:val="both"/>
        <w:ind w:firstLine="8"/>
        <w:spacing w:after="0" w:line="255" w:lineRule="auto"/>
        <w:tabs>
          <w:tab w:leader="none" w:pos="3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running royalty rate should be 3.5%; and (v) damages totaling of approximately $30.5 million should be awarded to I/P Engine. The jury also found certain specific facts related to the ultimate question of whether the patents were invalid as obvious. Based on such facts, on November 20, 2012, the District Court issued a ruling that Asserted Patents were not invalid as obvious, and the Court entered final judgment.</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3, 2014, the District Court ordered that I/P Engine recover an additional sum of $17.32 million from Defendants for supplemental damages and prejudgment interest. On January 21, 2014, the District Court ruled that Defendants' alleged design-around was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Asserted Patents that "would reasonably compensate [I/P Engine] for giving up [its] right to exclude yet allow an ongoing willful infringer to make a reasonable profit" is a rate of 6.5% of the 20.9% royalty base previously set by the District Court.</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Both I/P Engine and the Defendants have appealed the case to the U.S. Court of Appeals for the Federal Circuit. The case number for the District Court case is 2:11 CV 512-RAJ. The case numbers for the cases in the Court of Appeals for the Federal Circuit are 13-1307, 13-1313, 14-1233 and 14-1289. The court dockets for proceedings in District Court and the Court of Appeals for the Federal Circuit, including the parties’ briefs, are publicly available on the Public Access to Court Electronic Records website (“PACER”), www.pacer.gov, which is operated by the Administrative Office of the U.S. Courts.</w:t>
      </w:r>
    </w:p>
    <w:p>
      <w:pPr>
        <w:spacing w:after="0" w:line="1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January 31, 2013, I/P Engine initiated litigation in the United States District Court, Southern District of New York, against Microsoft Corporation (“Microsoft”). On May 30, 2013, I/P Engine entered into a settlement and license agreement with Microsoft to resolve the litigation. According to the agreement, Microsoft paid I/P Engine $1,000,000 and agreed to pay 5% of any future amount Google pays for its use of the patents acquired from Lycos. The parties also agreed to a limitation on Microsoft's total liability, which would not impact us unless the amounts received from Google substantially exceed the judgment previously awarded. In addition, the parties entered into a patent assignment agreement, pursuant to which Microsoft assigned six patents to I/P Engine. The assigned patents relate to telecommunications, data management, and other technology areas. The case number was 1:13 CV 00688.</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Requests for reexamination are a standard tactic used by defendants in patent litigation cases. Google has filed four separate requests for reexamination of the asserted patents at the USPTO, with the two requests on the '664 patent being merged. To date, three of the reexaminations have been resolved in I/P Engine's favor. On December 13, 2013, the USPTO issued a reexamination certificate confirming that all of the claims of the '664 Patent remain valid and unchanged. On September 13, 2013, the USPTO issued a reexamination certificate confirming that all of the claims of the '420 Patent remain valid and unchanged. Thereafter, Google filed an additional request for reexamination of the '420 patent based solely on a single reference, a reference that had been considered during one of the previous ‘664 Patent reexamination applications. On January 31, 2014, the USPTO issued a first, non-final rejection of the challenged claims in the '420 Patent. I/P Engine is permitted to follow USPTO procedures to defend the validity of the '420 patent. Documents regarding USPTO proceedings are publicly available on the Patent Application Information Retrieval website, http://portal.uspto.gov/pair/PublicPair, which is operated by the USPTO.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Patents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August 9, 2012, we entered into a patent purchase agreement with Nokia Corporation ("Nokia"), comprising of 124 patent families with counterparts world-wide. We paid Nokia a cash payment of $22,000,000 and granted Nokia certain ongoing rights in revenues generated from the patent portfolio. The portfolio encompasses technologies relating to telecom infrastructure, including communication management, data and signal transmission, mobility management, radio resources management and services. Declarations were filed by Nokia indicating that 31 of the 124 patent families acquired may be essential to wireless communications standards. Copies of the declarations are available on our website at </w:t>
      </w:r>
      <w:r>
        <w:rPr>
          <w:rFonts w:ascii="Arial" w:cs="Arial" w:eastAsia="Arial" w:hAnsi="Arial"/>
          <w:sz w:val="18"/>
          <w:szCs w:val="18"/>
          <w:u w:val="single" w:color="auto"/>
          <w:color w:val="auto"/>
        </w:rPr>
        <w:t>http://www.vringoip.com/documents/FG/vringo/ip/99208_Nokia_ETSI_Declarations.pdf</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one of the means of realizing the value of the patents on telecom infrastructure, our wholly-owned subsidiaries, Vringo Infrastructure, Inc. (“Vringo Infrastructure”) and Vringo Germany GmbH (“Vringo Germany”) have filed a number of suits against ZTE Corporation (“ZTE”), ASUSTeK Computer Inc. (“ASUS”), ADT Corporation (“ADT”) and Tyco Integrated Security, LLC (“Tyco”) and their subsidiaries and affiliates in the United States, European jurisdictions, India and Australia, alleging infringement of certain U.S., European, Indian and Australian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European Patents (UK) 1,212,919; 1,166,589; and 1,808,029. ZTE’s formal response to the complaint was received on December 19, 2012 and included a counterclaim for invalidity of the patents in suit. Vringo Infrastructure responded to the defense on January 16, 2013. Vringo Infrastructure filed a further UK suit on December 3, 2012, alleging infringement of European Patents (UK) 1,221,212; 1,330,933; and 1,186,119. The first UK case will hold a trial in late October 2014 and the second UK case will hold a trial in early June 2015.</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991" w:gutter="0" w:footer="0" w:header="0"/>
        </w:sectPr>
      </w:pPr>
    </w:p>
    <w:bookmarkStart w:id="16" w:name="page17"/>
    <w:bookmarkEnd w:id="16"/>
    <w:p>
      <w:pPr>
        <w:jc w:val="both"/>
        <w:ind w:firstLine="648"/>
        <w:spacing w:after="0" w:line="293" w:lineRule="auto"/>
        <w:rPr>
          <w:sz w:val="20"/>
          <w:szCs w:val="20"/>
          <w:color w:val="auto"/>
        </w:rPr>
      </w:pPr>
      <w:r>
        <w:rPr>
          <w:rFonts w:ascii="Arial" w:cs="Arial" w:eastAsia="Arial" w:hAnsi="Arial"/>
          <w:sz w:val="16"/>
          <w:szCs w:val="16"/>
          <w:color w:val="auto"/>
        </w:rPr>
        <w:t>On November 15, 2012, Vringo Germany filed a suit in the Mannheim Regional Court in Germany, alleging infringement of European Patent (DE) 1,212,919. The litigation was expanded to include a second patent on February 21, 2013, alleging infringement of European Patent (DE) 1,186,119. At the Mannheim Court’s request, both cases were scheduled to be heard on the same day, October 15, 2013, but were later moved to November 12, 2013. On November 4, 2013 we filed a further brief in the European Patent 1,212,919 proceedings introducing an additional independent patent claim and asserting infringement by ZTE eNode B infrastructure equipment used in 4G networks. In light of the additional products accused, the European Patent 1,186,119 case was heard on November 12, 2013 and the hearing in the European Patent 1,212,919 case was moved to April 28, 2014.</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17, 2013, the Court issued its judgment, finding that ZTE infringed European Patent 1,186,119 and ordered an accounting and an injunction upon payment of the appropriate bonds. Vringo Germany paid in the bonds for the accounting, which is now in process. On February 19, 2014, Vringo Germany filed suit in the Mannheim Regional Court seeking enforcement of the accounting ordered in European Patent 1,186,119 and a further order that non-compliance be subject to civil and criminal penalties. Trial in this suit is scheduled for July 4, 2014.</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December 27, 2013, ZTE filed a notice of appeal of the Mannheim Regional Court’s judgment. On January 24, 2014, ZTE filed an emergency motion with the Court of Appeals seeking a stay of the judge’s order pending appeal. On February 24, 2014, ZTE’s motion was denied.</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14, 2013, ZTE filed a nullity suit with respect to European Patent (DE) 1,212,919 in the Federal Patents Court, Munich, Germany, alleging invalidity of the patent. Trial in the nullity suit has not been scheduled but is not anticipated before the third quarter of 2014.</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3, 2013, ZTE filed a nullity suit with respect to European Patent (DE) 1,186,119 in the Federal Patents Court in Munich, Germany. Trial in the nullity suit has not been scheduled but is not anticipated before the third quarter of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13, 2013, Vringo Germany filed a suit in the Regional Court of Düsseldorf, alleging infringement of European Patent (DE) 0,748,136.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case is scheduled to be heard on November 27, 2014.</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20, 2013, ZTE filed a nullity suit with respect to European Patent (DE) 0,748,136 in the Federal Patents Court in Munich, Germany. A schedule has not yet been set. Trial is not anticipated before the third quarter of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28, 2014, Vringo Germany filed a suit in the Regional Court of Düsseldorf alleging infringement of European Patent (DE) 0,710,941.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case is scheduled to be heard on November 27, 2014.</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In November and December 2012, ZTE initiated invalidity proceedings in China against Chinese Patents ZL 00806049.5; ZL 00812876.6; and ZL 200480044232.1, before the Patent Reexamination Board of the Patent Office of the People’s Republic of China. These patents are the Chinese counterparts of European Patents 1,166,589; 1,212,919; and 1,808,029. On July 3, 2013, the patent rights for ZL 200480044232.1 (counterpart to European Patent 1,808,029) were upheld. An oral hearing for ZL00806049.5 (equivalent to European Patent 1,166,589) occurred on May 9, 2013 and a ruling is still pending. </w:t>
      </w:r>
      <w:r>
        <w:rPr>
          <w:rFonts w:ascii="Arial" w:cs="Arial" w:eastAsia="Arial" w:hAnsi="Arial"/>
          <w:sz w:val="16"/>
          <w:szCs w:val="16"/>
          <w:color w:val="181818"/>
        </w:rPr>
        <w:t xml:space="preserve">An oral hearing for </w:t>
      </w:r>
      <w:r>
        <w:rPr>
          <w:rFonts w:ascii="Arial" w:cs="Arial" w:eastAsia="Arial" w:hAnsi="Arial"/>
          <w:sz w:val="16"/>
          <w:szCs w:val="16"/>
          <w:color w:val="000000"/>
        </w:rPr>
        <w:t>ZL 00812876.6</w:t>
      </w:r>
      <w:r>
        <w:rPr>
          <w:rFonts w:ascii="Arial" w:cs="Arial" w:eastAsia="Arial" w:hAnsi="Arial"/>
          <w:sz w:val="16"/>
          <w:szCs w:val="16"/>
          <w:color w:val="181818"/>
        </w:rPr>
        <w:t xml:space="preserve"> (equivalent to European Patent 1,212,919) was held on December 23, 2013, and a ruling is still pending.</w:t>
      </w:r>
    </w:p>
    <w:p>
      <w:pPr>
        <w:spacing w:after="0" w:line="158"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7"/>
          <w:szCs w:val="17"/>
          <w:color w:val="auto"/>
        </w:rPr>
        <w:t>On March 29, 2013, Vringo Infrastructure filed a patent infringement lawsuit in France in the Tribunal de Grande Instance de Paris, alleging infringement of the French part of European Patents 1,186,119 and 1,221,212 by ZTE devices, which are believed to fall within the scope of these patents. Vringo Infrastructure filed the lawsuit based on particular information uncovered during a seizure to obtain evidence of infringement, known as a saisie-contrefaçon, which was executed at two of ZTE's facilities in France. The oral hearing in relation to EP (FR) 1,186,119 and 1,221,212 has been scheduled for December 8, 2014 before 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division of 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chamber of the Tribunal de Grande Instance de Paris (specializing in IP matters).</w:t>
      </w:r>
    </w:p>
    <w:p>
      <w:pPr>
        <w:spacing w:after="0" w:line="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Australian Standard Patents AU 2005/212,893 and AU 773,182. We currently anticipate that the Court will set a trial date in the second half of 2014.</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6, 2013, Vringo Infrastructure filed a preliminary inquiry order against ZTE in the Commercial Court of Madrid, Spain, requiring ZTE to provide discovery relating to alleged infringement of Spanish Patent 2220484 (EP (ES) 1,186,119). In light of ZTE’s non-responsiveness to the order, on March 24, 2014 the Court granted our request to seek discovery of certain of ZTE’s Spanish customers.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7, 2013, we and our subsidiary, Vringo Infrastructure, filed a patent infringement lawsuit in the High Court of Delhi at New Delhi, India, alleging infringement of Indian patent 243,980. On November 8, 2013, the Court granted an ex-parte preliminary injunction and appointed commissioners to inspect ZTE’s facilities and collect evidence. ZTE appealed the preliminary injunction and, on December 12, 2013, the appellate panel instituted an interim arrangement, requiring ZTE to file an accounting affidavit disclosing the number of CDMA devices sold by its entities in India, revenue derived therefrom, and other supporting documentation. The Court also required ZTE to pay a bond of 50 million rupees (approximately $800,000 USD), directed Indian customs authorities to notify us when all relevant ZTE goods are imported into India, and required ZTE to give us the opportunity to inspect those goods. ZTE filed its accounting affidavit on January 13, 2014. On February 3, 2014, we filed a motion for contempt for ZTE’s failure to comply with the Court’s order, and requested that the Court order ZTE to pay an increased bond.</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On January 31, 2014, we and our subsidiary, Vringo Infrastructure, filed a patent infringement lawsuit in the High Court of Delhi at New Delhi, alleging infringement of Indian patent 200,572. The Court, finding a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case of infringement, granted an ex-parte preliminary injunction, restraining ZTE and its officers, directors, agents, distributors and customers from importing, selling, offering for sale, advertising, installing, or operating any infringing products, and giving us the right to inspect any infringing goods arriving in India, which are to be detained by customs authorities. The judge granted the injunction after ruling that we would suffer an irreparable loss if such an injunction were not put into place.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4, 2013, Vringo Germany filed a patent infringement lawsuit against ASUS in the Düsseldorf Regional Court, alleging infringement of European Patent (DE) 0,748,136. The case is scheduled to be heard on November 27, 2014.</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302"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color w:val="auto"/>
        </w:rPr>
        <w:t>On January 29, 2014, Vringo Germany filed a suit in the Düsseldorf Regional Court alleging infringement of European Patent (DE) 0,710,941. The case is scheduled to be heard on November 27, 2014.</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7, 2014, Vringo Infrastructure, Inc. filed a suit in the Commercial Court of Barcelona alleging infringement of European Patent (ES) 0,748,136.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ADT/Tyco</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On September 12, 2013, Vringo Infrastructure filed a patent infringement lawsuit against ADT and Tyco in the United States District Court for the Southern District of Florida. The lawsuit alleges infringement of U.S. Patent No. 6,288,641, entitled "Assembly, and Associated Method, for Remotely Monitoring a Surveillance Area."</w:t>
      </w:r>
    </w:p>
    <w:p>
      <w:pPr>
        <w:spacing w:after="0" w:line="181"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On January 15, 2014, Vringo Germany filed a patent infringement lawsuit against Tyco in the Regional Court of Mannheim, alleging infringement of European Patent 1,221,149, entitled “Process and Device for Surveillance of a Room.”</w:t>
      </w:r>
    </w:p>
    <w:p>
      <w:pPr>
        <w:spacing w:after="0" w:line="170" w:lineRule="exact"/>
        <w:rPr>
          <w:sz w:val="20"/>
          <w:szCs w:val="20"/>
          <w:color w:val="auto"/>
        </w:rPr>
      </w:pPr>
    </w:p>
    <w:p>
      <w:pPr>
        <w:jc w:val="both"/>
        <w:ind w:firstLine="492"/>
        <w:spacing w:after="0" w:line="342" w:lineRule="auto"/>
        <w:rPr>
          <w:sz w:val="20"/>
          <w:szCs w:val="20"/>
          <w:color w:val="auto"/>
        </w:rPr>
      </w:pPr>
      <w:r>
        <w:rPr>
          <w:rFonts w:ascii="Arial" w:cs="Arial" w:eastAsia="Arial" w:hAnsi="Arial"/>
          <w:sz w:val="16"/>
          <w:szCs w:val="16"/>
          <w:color w:val="auto"/>
        </w:rPr>
        <w:t>On January 28, 2014, Vringo Infrastructure announced that it had entered into a confidential agreement with ADT. The agreement resolved litigation pending between the parties in the United States District Court for the Southern District of Florida. Tyco remains a defendant in the ongoing litigation.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was listed on the NYSE MKT until April 29, 2013 under the symbol “VRNG.” As of April 30, 2013, our common stock is listed on the NASDAQ Capital Market under the same symbol “VRNG.” The following table sets forth, for the periods indicated, the high and low sales prices for our common stock as reported by the NYSE MKT and the NASDAQ Capital Market:</w:t>
      </w:r>
    </w:p>
    <w:p>
      <w:pPr>
        <w:spacing w:after="0" w:line="17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r>
      <w:tr>
        <w:trPr>
          <w:trHeight w:val="190"/>
        </w:trPr>
        <w:tc>
          <w:tcPr>
            <w:tcW w:w="20" w:type="dxa"/>
            <w:vAlign w:val="bottom"/>
          </w:tcPr>
          <w:p>
            <w:pPr>
              <w:spacing w:after="0"/>
              <w:rPr>
                <w:sz w:val="16"/>
                <w:szCs w:val="16"/>
                <w:color w:val="auto"/>
              </w:rPr>
            </w:pPr>
          </w:p>
        </w:tc>
        <w:tc>
          <w:tcPr>
            <w:tcW w:w="4420" w:type="dxa"/>
            <w:vAlign w:val="bottom"/>
            <w:tcBorders>
              <w:top w:val="single" w:sz="8" w:color="CCFFCC"/>
            </w:tcBorders>
            <w:gridSpan w:val="2"/>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Year ended December 31, 2013</w:t>
            </w:r>
          </w:p>
        </w:tc>
        <w:tc>
          <w:tcPr>
            <w:tcW w:w="2060" w:type="dxa"/>
            <w:vAlign w:val="bottom"/>
            <w:tcBorders>
              <w:top w:val="single" w:sz="8" w:color="CCFFCC"/>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4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6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quarter</w:t>
            </w:r>
          </w:p>
        </w:tc>
        <w:tc>
          <w:tcPr>
            <w:tcW w:w="2080" w:type="dxa"/>
            <w:vAlign w:val="bottom"/>
            <w:tcBorders>
              <w:top w:val="single" w:sz="8" w:color="CCFFCC"/>
            </w:tcBorders>
          </w:tcPr>
          <w:p>
            <w:pPr>
              <w:spacing w:after="0"/>
              <w:rPr>
                <w:sz w:val="18"/>
                <w:szCs w:val="18"/>
                <w:color w:val="auto"/>
              </w:rPr>
            </w:pPr>
          </w:p>
        </w:tc>
        <w:tc>
          <w:tcPr>
            <w:tcW w:w="3080" w:type="dxa"/>
            <w:vAlign w:val="bottom"/>
            <w:tcBorders>
              <w:top w:val="single" w:sz="8" w:color="CCFFCC"/>
            </w:tcBorders>
            <w:gridSpan w:val="2"/>
          </w:tcPr>
          <w:p>
            <w:pPr>
              <w:jc w:val="right"/>
              <w:ind w:right="85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3.83</w:t>
            </w:r>
          </w:p>
        </w:tc>
        <w:tc>
          <w:tcPr>
            <w:tcW w:w="420" w:type="dxa"/>
            <w:vAlign w:val="bottom"/>
            <w:tcBorders>
              <w:top w:val="single" w:sz="8" w:color="CCFFC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20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3080" w:type="dxa"/>
            <w:vAlign w:val="bottom"/>
            <w:gridSpan w:val="2"/>
            <w:shd w:val="clear" w:color="auto" w:fill="CCFFCC"/>
          </w:tcPr>
          <w:p>
            <w:pPr>
              <w:jc w:val="right"/>
              <w:ind w:right="8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3.34</w:t>
            </w:r>
          </w:p>
        </w:tc>
        <w:tc>
          <w:tcPr>
            <w:tcW w:w="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FFCC"/>
          </w:tcPr>
          <w:p>
            <w:pPr>
              <w:spacing w:after="0"/>
              <w:rPr>
                <w:sz w:val="18"/>
                <w:szCs w:val="18"/>
                <w:color w:val="auto"/>
              </w:rPr>
            </w:pPr>
          </w:p>
        </w:tc>
      </w:tr>
    </w:tbl>
    <w:p>
      <w:pPr>
        <w:spacing w:after="0" w:line="198"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r>
      <w:tr>
        <w:trPr>
          <w:trHeight w:val="190"/>
        </w:trPr>
        <w:tc>
          <w:tcPr>
            <w:tcW w:w="20" w:type="dxa"/>
            <w:vAlign w:val="bottom"/>
          </w:tcPr>
          <w:p>
            <w:pPr>
              <w:spacing w:after="0"/>
              <w:rPr>
                <w:sz w:val="16"/>
                <w:szCs w:val="16"/>
                <w:color w:val="auto"/>
              </w:rPr>
            </w:pPr>
          </w:p>
        </w:tc>
        <w:tc>
          <w:tcPr>
            <w:tcW w:w="4420" w:type="dxa"/>
            <w:vAlign w:val="bottom"/>
            <w:tcBorders>
              <w:top w:val="single" w:sz="8" w:color="CCFFCC"/>
            </w:tcBorders>
            <w:gridSpan w:val="2"/>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Year ended December 31, 2012</w:t>
            </w:r>
          </w:p>
        </w:tc>
        <w:tc>
          <w:tcPr>
            <w:tcW w:w="2060" w:type="dxa"/>
            <w:vAlign w:val="bottom"/>
            <w:tcBorders>
              <w:top w:val="single" w:sz="8" w:color="CCFFCC"/>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4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6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quarter</w:t>
            </w:r>
          </w:p>
        </w:tc>
        <w:tc>
          <w:tcPr>
            <w:tcW w:w="2080" w:type="dxa"/>
            <w:vAlign w:val="bottom"/>
            <w:tcBorders>
              <w:top w:val="single" w:sz="8" w:color="CCFFCC"/>
            </w:tcBorders>
          </w:tcPr>
          <w:p>
            <w:pPr>
              <w:spacing w:after="0"/>
              <w:rPr>
                <w:sz w:val="18"/>
                <w:szCs w:val="18"/>
                <w:color w:val="auto"/>
              </w:rPr>
            </w:pPr>
          </w:p>
        </w:tc>
        <w:tc>
          <w:tcPr>
            <w:tcW w:w="3080" w:type="dxa"/>
            <w:vAlign w:val="bottom"/>
            <w:tcBorders>
              <w:top w:val="single" w:sz="8" w:color="CCFFCC"/>
            </w:tcBorders>
            <w:gridSpan w:val="2"/>
          </w:tcPr>
          <w:p>
            <w:pPr>
              <w:jc w:val="right"/>
              <w:ind w:right="85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2.19</w:t>
            </w:r>
          </w:p>
        </w:tc>
        <w:tc>
          <w:tcPr>
            <w:tcW w:w="420" w:type="dxa"/>
            <w:vAlign w:val="bottom"/>
            <w:tcBorders>
              <w:top w:val="single" w:sz="8" w:color="CCFFC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20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3080" w:type="dxa"/>
            <w:vAlign w:val="bottom"/>
            <w:gridSpan w:val="2"/>
            <w:shd w:val="clear" w:color="auto" w:fill="CCFFCC"/>
          </w:tcPr>
          <w:p>
            <w:pPr>
              <w:jc w:val="right"/>
              <w:ind w:right="8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5.73</w:t>
            </w:r>
          </w:p>
        </w:tc>
        <w:tc>
          <w:tcPr>
            <w:tcW w:w="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public warrants were listed on the NYSE MKT until April 30, 2013 under the symbol “VRNGW.” As of April 30, 2013, our public warrants were listed on the NASDAQ Capital Market under the same symbol “VRNGW.” The following table sets forth, for the periods indicated, the high and low sales prices for our public warrants as reported by the NYSE MKT and the NASDAQ Capital Market:</w:t>
      </w:r>
    </w:p>
    <w:p>
      <w:pPr>
        <w:spacing w:after="0" w:line="17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r>
      <w:tr>
        <w:trPr>
          <w:trHeight w:val="190"/>
        </w:trPr>
        <w:tc>
          <w:tcPr>
            <w:tcW w:w="20" w:type="dxa"/>
            <w:vAlign w:val="bottom"/>
          </w:tcPr>
          <w:p>
            <w:pPr>
              <w:spacing w:after="0"/>
              <w:rPr>
                <w:sz w:val="16"/>
                <w:szCs w:val="16"/>
                <w:color w:val="auto"/>
              </w:rPr>
            </w:pPr>
          </w:p>
        </w:tc>
        <w:tc>
          <w:tcPr>
            <w:tcW w:w="4420" w:type="dxa"/>
            <w:vAlign w:val="bottom"/>
            <w:tcBorders>
              <w:top w:val="single" w:sz="8" w:color="CCFFCC"/>
            </w:tcBorders>
            <w:gridSpan w:val="2"/>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Year ended December 31, 2013</w:t>
            </w:r>
          </w:p>
        </w:tc>
        <w:tc>
          <w:tcPr>
            <w:tcW w:w="2060" w:type="dxa"/>
            <w:vAlign w:val="bottom"/>
            <w:tcBorders>
              <w:top w:val="single" w:sz="8" w:color="CCFFCC"/>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4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6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quarter</w:t>
            </w:r>
          </w:p>
        </w:tc>
        <w:tc>
          <w:tcPr>
            <w:tcW w:w="2080" w:type="dxa"/>
            <w:vAlign w:val="bottom"/>
            <w:tcBorders>
              <w:top w:val="single" w:sz="8" w:color="CCFFCC"/>
            </w:tcBorders>
          </w:tcPr>
          <w:p>
            <w:pPr>
              <w:spacing w:after="0"/>
              <w:rPr>
                <w:sz w:val="18"/>
                <w:szCs w:val="18"/>
                <w:color w:val="auto"/>
              </w:rPr>
            </w:pPr>
          </w:p>
        </w:tc>
        <w:tc>
          <w:tcPr>
            <w:tcW w:w="3080" w:type="dxa"/>
            <w:vAlign w:val="bottom"/>
            <w:tcBorders>
              <w:top w:val="single" w:sz="8" w:color="CCFFCC"/>
            </w:tcBorders>
            <w:gridSpan w:val="2"/>
          </w:tcPr>
          <w:p>
            <w:pPr>
              <w:jc w:val="right"/>
              <w:ind w:right="85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1.45</w:t>
            </w:r>
          </w:p>
        </w:tc>
        <w:tc>
          <w:tcPr>
            <w:tcW w:w="420" w:type="dxa"/>
            <w:vAlign w:val="bottom"/>
            <w:tcBorders>
              <w:top w:val="single" w:sz="8" w:color="CCFFC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20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3080" w:type="dxa"/>
            <w:vAlign w:val="bottom"/>
            <w:gridSpan w:val="2"/>
            <w:shd w:val="clear" w:color="auto" w:fill="CCFFCC"/>
          </w:tcPr>
          <w:p>
            <w:pPr>
              <w:jc w:val="right"/>
              <w:ind w:right="8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w:t>
            </w:r>
          </w:p>
        </w:tc>
        <w:tc>
          <w:tcPr>
            <w:tcW w:w="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CCFFCC"/>
          </w:tcPr>
          <w:p>
            <w:pPr>
              <w:spacing w:after="0"/>
              <w:rPr>
                <w:sz w:val="18"/>
                <w:szCs w:val="18"/>
                <w:color w:val="auto"/>
              </w:rPr>
            </w:pPr>
          </w:p>
        </w:tc>
      </w:tr>
    </w:tbl>
    <w:p>
      <w:pPr>
        <w:spacing w:after="0" w:line="198"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r>
      <w:tr>
        <w:trPr>
          <w:trHeight w:val="190"/>
        </w:trPr>
        <w:tc>
          <w:tcPr>
            <w:tcW w:w="20" w:type="dxa"/>
            <w:vAlign w:val="bottom"/>
          </w:tcPr>
          <w:p>
            <w:pPr>
              <w:spacing w:after="0"/>
              <w:rPr>
                <w:sz w:val="16"/>
                <w:szCs w:val="16"/>
                <w:color w:val="auto"/>
              </w:rPr>
            </w:pPr>
          </w:p>
        </w:tc>
        <w:tc>
          <w:tcPr>
            <w:tcW w:w="4420" w:type="dxa"/>
            <w:vAlign w:val="bottom"/>
            <w:tcBorders>
              <w:top w:val="single" w:sz="8" w:color="CCFFCC"/>
            </w:tcBorders>
            <w:gridSpan w:val="2"/>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Year ended December 31, 2012</w:t>
            </w:r>
          </w:p>
        </w:tc>
        <w:tc>
          <w:tcPr>
            <w:tcW w:w="2060" w:type="dxa"/>
            <w:vAlign w:val="bottom"/>
            <w:tcBorders>
              <w:top w:val="single" w:sz="8" w:color="CCFFCC"/>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4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6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quarter</w:t>
            </w:r>
          </w:p>
        </w:tc>
        <w:tc>
          <w:tcPr>
            <w:tcW w:w="2080" w:type="dxa"/>
            <w:vAlign w:val="bottom"/>
            <w:tcBorders>
              <w:top w:val="single" w:sz="8" w:color="CCFFCC"/>
            </w:tcBorders>
          </w:tcPr>
          <w:p>
            <w:pPr>
              <w:spacing w:after="0"/>
              <w:rPr>
                <w:sz w:val="18"/>
                <w:szCs w:val="18"/>
                <w:color w:val="auto"/>
              </w:rPr>
            </w:pPr>
          </w:p>
        </w:tc>
        <w:tc>
          <w:tcPr>
            <w:tcW w:w="3080" w:type="dxa"/>
            <w:vAlign w:val="bottom"/>
            <w:tcBorders>
              <w:top w:val="single" w:sz="8" w:color="CCFFCC"/>
            </w:tcBorders>
            <w:gridSpan w:val="2"/>
          </w:tcPr>
          <w:p>
            <w:pPr>
              <w:jc w:val="right"/>
              <w:ind w:right="85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0.70</w:t>
            </w:r>
          </w:p>
        </w:tc>
        <w:tc>
          <w:tcPr>
            <w:tcW w:w="420" w:type="dxa"/>
            <w:vAlign w:val="bottom"/>
            <w:tcBorders>
              <w:top w:val="single" w:sz="8" w:color="CCFFC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20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3080" w:type="dxa"/>
            <w:vAlign w:val="bottom"/>
            <w:gridSpan w:val="2"/>
            <w:shd w:val="clear" w:color="auto" w:fill="CCFFCC"/>
          </w:tcPr>
          <w:p>
            <w:pPr>
              <w:jc w:val="right"/>
              <w:ind w:right="8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w:t>
            </w:r>
          </w:p>
        </w:tc>
        <w:tc>
          <w:tcPr>
            <w:tcW w:w="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FFCC"/>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February 21, 2014, we had 16 stockholders of record of the 85,797,826 outstanding shares of our common stock. This does not reflect persons or entities that hold their stock in nominee or "street" name through various brokerage firms.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w:t>
      </w:r>
    </w:p>
    <w:p>
      <w:pPr>
        <w:sectPr>
          <w:pgSz w:w="11900" w:h="16838" w:orient="portrait"/>
          <w:cols w:equalWidth="0" w:num="1">
            <w:col w:w="11420"/>
          </w:cols>
          <w:pgMar w:left="240" w:top="341" w:right="239" w:bottom="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cash dividends will be at the discretion of our board of directors and will be dependent upon our financial condition, operating results, capital requirements and other factors that our board of directors considers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93"/>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were incorporated in Delaware on January 9, 2006 and commenced operations during the first quarter of 2006. In March 2006, we formed a wholly-owned subsidiary, Vringo (Israel) Ltd., for the primary purpose of providing research and development services. On July 19, 2012, Innovate/Protect, Inc., (“I/P”) merged with us through an exchange of equity instruments of I/P for those of Vringo (the “Merger”). The Merger was accounted for as a reverse acquisition pursuant to which I/P was considered the accounting acquirer of Vringo. As such, the financial statements of I/P are treated as the historical financial statements of the combined company, with the results of Vringo included from July 19, 2012.</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business strives to develop, acquire, license and protect innovation worldwide. We are currently focused on identifying, generating, acquiring, and driving economic benefits from intellectual property assets. Our intellectual property portfolio consists of over 500 patents and patent applications covering telecom infrastructure, internet search and mobile technologies. Our patents and patent applications have been developed internally and acquired from third parties.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58" w:lineRule="exact"/>
        <w:rPr>
          <w:sz w:val="20"/>
          <w:szCs w:val="20"/>
          <w:color w:val="auto"/>
        </w:rPr>
      </w:pPr>
    </w:p>
    <w:p>
      <w:pPr>
        <w:ind w:left="2080" w:hanging="721"/>
        <w:spacing w:after="0"/>
        <w:tabs>
          <w:tab w:leader="none" w:pos="2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2080" w:hanging="721"/>
        <w:spacing w:after="0"/>
        <w:tabs>
          <w:tab w:leader="none" w:pos="2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2080" w:hanging="721"/>
        <w:spacing w:after="0"/>
        <w:tabs>
          <w:tab w:leader="none" w:pos="2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181818"/>
        </w:rPr>
        <w:t>Prior to December 31, 2013, we operated a global platform for the distribution of mobile social applications and services. On December 31, 2013, we entered into a definitive agreement to sell our mobile social application business. In February 2014, we consummated the sale of this business.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181818"/>
        </w:rPr>
        <w:t>We are still a development stage company. From the inception of I/P on June 8, 2011 (“Inception”) to date, we have raised approximately $97,403,000. These amounts have been used to finance our operations, as until now, we have not yet generated any significant revenues. From Inception through December 31, 2013, we recorded losses of approximately $76,028,000 and net cash used in operations was approximately $39,461,000. Our average monthly use of cash from operations for the years ended December 31, 2013 and 2012 was approximately $1,955,000 and $1,205,000, respectively. This is not necessarily indicative of the future use of our working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 from patent licensing and enforcement is recognized when collection is reasonably assured, persuasive evidence of an arrangement exists, the sales price is fixed or determinable and delivery of the service has been rendered. We use management's best estimate of selling price for individual elements in multiple-element arrangements, where vendor specific evidence or third party evidence of selling price is not available.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legal costs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Operating legal costs mainly include the costs and expenses incurred in connection with our patent licensing and enforcement activities, patent-related legal expenses paid to external patent counsel (including contingent legal fees), licensing and enforcement related research, consulting and other expenses paid to third parties, as well as internal payroll expenses, stock-based compensation, and the amortization of acquired patents.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expenses consisted primarily of the cost of our development and operations personnel, as well as of the cost of outsourced development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include management and administrative personnel, public and investor relations, overhead/office costs and various professional fees, as well as insurance, non-operational depreciation and amortization.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775"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Non-operating income (expenses) includes transaction gains (losses) from foreign exchange rate differences, interest on deposits, bank charges, as well as fair value adjustments of derivative liabilities on account of the Preferential Reload Warrants, Special Bridge Warrants, Series 1 Warrants and the Conversion Warrants. The value of such derivative warrants is highly influenced by assumptions used in its valuation, as well as by our stock price at the period end (revaluation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At December 31, 2013, deferred tax assets generated from our U.S. activities were mostly offset by a valuation allowance because realization depends on generating future taxable income, which, in our estimation, is not more likely than not to be generated before such net operating loss carryforwards expire.</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Prior to the sale of our mobile social application business, our subsidiary in Israel generated net taxable income from services it provided to us. The subsidiary in Israel charged us for research, development, certain management and other services provided to us, plus a profit margin on such costs, which was 8%. In the zone where the production facilities of the subsidiary in Israel were located, the statutory tax rate was 12.5% in 2013. In addition, our income tax expense has been adjusted for the effect of foreign income from our wholly-owned subsidiary in Israel. The deferred tax assets and liabilities generated from our subsidiary in Israel’s operations are not offset by an allowance, as in our estimation, they are more likely than not to be realized.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Year ended December 31, 2013 compared to the year ended December 31, 2012 and the development stage period (cumulative from Inception through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from Inception</w:t>
            </w:r>
          </w:p>
        </w:tc>
      </w:tr>
      <w:tr>
        <w:trPr>
          <w:trHeight w:val="216"/>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through</w:t>
            </w:r>
          </w:p>
        </w:tc>
      </w:tr>
      <w:tr>
        <w:trPr>
          <w:trHeight w:val="234"/>
        </w:trPr>
        <w:tc>
          <w:tcPr>
            <w:tcW w:w="2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6"/>
          </w:tcPr>
          <w:p>
            <w:pPr>
              <w:jc w:val="center"/>
              <w:ind w:left="770"/>
              <w:spacing w:after="0"/>
              <w:rPr>
                <w:sz w:val="20"/>
                <w:szCs w:val="20"/>
                <w:color w:val="auto"/>
              </w:rPr>
            </w:pPr>
            <w:r>
              <w:rPr>
                <w:rFonts w:ascii="Arial" w:cs="Arial" w:eastAsia="Arial" w:hAnsi="Arial"/>
                <w:sz w:val="18"/>
                <w:szCs w:val="18"/>
                <w:b w:val="1"/>
                <w:bCs w:val="1"/>
                <w:color w:val="auto"/>
                <w:w w:val="89"/>
              </w:rPr>
              <w:t>Year ended December 31,</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r>
      <w:tr>
        <w:trPr>
          <w:trHeight w:val="210"/>
        </w:trPr>
        <w:tc>
          <w:tcPr>
            <w:tcW w:w="238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bottom w:val="single" w:sz="8" w:color="CCFF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8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CFFCC"/>
            </w:tcBorders>
          </w:tcPr>
          <w:p>
            <w:pPr>
              <w:spacing w:after="0"/>
              <w:rPr>
                <w:sz w:val="18"/>
                <w:szCs w:val="18"/>
                <w:color w:val="auto"/>
              </w:rPr>
            </w:pPr>
          </w:p>
        </w:tc>
      </w:tr>
      <w:tr>
        <w:trPr>
          <w:trHeight w:val="210"/>
        </w:trPr>
        <w:tc>
          <w:tcPr>
            <w:tcW w:w="23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tcBorders>
              <w:bottom w:val="single" w:sz="8" w:color="CCFFCC"/>
            </w:tcBorders>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1,200,000</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During the year ended December 31, 2013, we recorded total revenue (excluding mobile social application business revenue included within discontinued operations) of $1,100,000, which represents an increase of $1,000,000 (or 1,000%) from revenues recorded for the year ended December 31, 2012. The increase was due to revenue from a one-time payment in connection with the license and settlement agreement entered into with Microsoft, as disclosed in Note 10 to our accompanying consolidated financial statements. In 2012, our revenue consisted of proceeds from a partial settlement with AOL in the total amount of $100,000.</w:t>
      </w:r>
    </w:p>
    <w:p>
      <w:pPr>
        <w:spacing w:after="0" w:line="188"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We seek to generate revenue through the monetization of our intellectual property through licensing, strategic partnerships and litigation, when required, which may be resolved through a settlement or collection. We also intend to continue to expand our planned operations through acquisitions and monetization of additional patents, other intellectual property or operating business. In particular, following the incorporation of our subsidiary in Germany and the acquisition of a patent portfolio from Nokia, we intend to continue to expand our intellectual property monetization efforts worldwide.</w:t>
      </w:r>
    </w:p>
    <w:p>
      <w:pPr>
        <w:spacing w:after="0" w:line="18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We anticipate that our legal proceedings may continue for several years and may require significant expenditures for legal fees and other expenses. Disputes regarding the assertion of patents and other intellectual property rights are highly complex and technical.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legal costs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6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from Inception</w:t>
            </w:r>
          </w:p>
        </w:tc>
      </w:tr>
      <w:tr>
        <w:trPr>
          <w:trHeight w:val="216"/>
        </w:trPr>
        <w:tc>
          <w:tcPr>
            <w:tcW w:w="6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r>
      <w:tr>
        <w:trPr>
          <w:trHeight w:val="234"/>
        </w:trPr>
        <w:tc>
          <w:tcPr>
            <w:tcW w:w="6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660" w:type="dxa"/>
            <w:vAlign w:val="bottom"/>
          </w:tcPr>
          <w:p>
            <w:pPr>
              <w:spacing w:after="0"/>
              <w:rPr>
                <w:sz w:val="18"/>
                <w:szCs w:val="18"/>
                <w:color w:val="auto"/>
              </w:rPr>
            </w:pPr>
          </w:p>
        </w:tc>
        <w:tc>
          <w:tcPr>
            <w:tcW w:w="470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bottom w:val="single" w:sz="8" w:color="CCFF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3,445,000</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1,692,000</w:t>
            </w: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1,753,000</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5,465,000</w:t>
            </w:r>
          </w:p>
        </w:tc>
        <w:tc>
          <w:tcPr>
            <w:tcW w:w="100" w:type="dxa"/>
            <w:vAlign w:val="bottom"/>
            <w:shd w:val="clear" w:color="auto" w:fill="CCFFCC"/>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legal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21,590,000</w:t>
            </w:r>
          </w:p>
        </w:tc>
        <w:tc>
          <w:tcPr>
            <w:tcW w:w="1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10,010,000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11,580,000</w:t>
            </w:r>
          </w:p>
        </w:tc>
        <w:tc>
          <w:tcPr>
            <w:tcW w:w="1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32,833,000</w:t>
            </w:r>
          </w:p>
        </w:tc>
        <w:tc>
          <w:tcPr>
            <w:tcW w:w="1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7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25,035,000</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11,702,000</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13,333,000</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38,298,000</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7"/>
          <w:szCs w:val="17"/>
          <w:color w:val="auto"/>
        </w:rPr>
        <w:t>During the year ended December 31, 2013, our operating legal costs were $25,035,000, which represents an increase of $13,333,000 (or 114%) from operating legal costs recorded for the year ended December 31, 2012. The increase was mainly related to consulting and litigation costs ($20,369,000, compared to $9,487,000 in 2012), mostly in connection with our worldwide proceedings against ZTE, which commenced in the fourth quarter of 2012. This increase was partially offset by a decrease in litigation costs relating to proceedings against Google. Further, stock-based compensation costs increased ($1,221,000, compared to $523,000 in 2012) due to our efforts to increase our in-house legal department staff. The increase in amortization expense of intangibles ($3,445,000, compared to $1,692,000 in 2012) was mainly due to a full year of amortization of the patents acquired from Nokia, compared to partial year amortization in 2012.</w:t>
      </w:r>
    </w:p>
    <w:p>
      <w:pPr>
        <w:spacing w:after="0" w:line="178"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From Inception through December 31, 2013, operating legal costs expenses amounted to $38,298,000. Of this amount, $1,744,000 was attributed to stock-based compensation to employees, management and consultants, $31,089,000 was attributed to operating legal expenses, mainly related to patent litigations against Google and ZTE, and $5,465,000 was attributed to patent amortization.</w:t>
      </w:r>
    </w:p>
    <w:p>
      <w:pPr>
        <w:sectPr>
          <w:pgSz w:w="11900" w:h="16838" w:orient="portrait"/>
          <w:cols w:equalWidth="0" w:num="1">
            <w:col w:w="11420"/>
          </w:cols>
          <w:pgMar w:left="240" w:top="341" w:right="239" w:bottom="0" w:gutter="0" w:footer="0" w:header="0"/>
        </w:sectPr>
      </w:pPr>
    </w:p>
    <w:bookmarkStart w:id="21" w:name="page22"/>
    <w:bookmarkEnd w:id="21"/>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252730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jc w:val="both"/>
        <w:ind w:left="660" w:firstLine="648"/>
        <w:spacing w:after="0" w:line="255" w:lineRule="auto"/>
        <w:rPr>
          <w:sz w:val="20"/>
          <w:szCs w:val="20"/>
          <w:color w:val="auto"/>
        </w:rPr>
      </w:pPr>
      <w:r>
        <w:rPr>
          <w:rFonts w:ascii="Arial" w:cs="Arial" w:eastAsia="Arial" w:hAnsi="Arial"/>
          <w:sz w:val="18"/>
          <w:szCs w:val="18"/>
          <w:color w:val="auto"/>
        </w:rPr>
        <w:t>It is not certain whether our operating legal costs will increase over time. Though we aim to diversify our portfolio of products and increase our intellectual property monetization efforts, we have also increased the size of our in-house legal and technical team. The goal is to decrease our overall legal expenses by bringing more work in-house, which we believe will cost less than outsourcing to external firms. There is no guarantee, however, that an in-house team will be less expensive or more efficient than outsourcing this work. Moreover, as we expand the scope of our monetization efforts, the amount of legal work will increase leading to a concomitant increase in our operating legal costs, regardless of if such work is performed in-house or outsourced.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6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from Inception</w:t>
            </w:r>
          </w:p>
        </w:tc>
      </w:tr>
      <w:tr>
        <w:trPr>
          <w:trHeight w:val="216"/>
        </w:trPr>
        <w:tc>
          <w:tcPr>
            <w:tcW w:w="6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r>
      <w:tr>
        <w:trPr>
          <w:trHeight w:val="234"/>
        </w:trPr>
        <w:tc>
          <w:tcPr>
            <w:tcW w:w="6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88"/>
              </w:rPr>
              <w:t>Year ended December 31,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10"/>
        </w:trPr>
        <w:tc>
          <w:tcPr>
            <w:tcW w:w="660" w:type="dxa"/>
            <w:vAlign w:val="bottom"/>
          </w:tcPr>
          <w:p>
            <w:pPr>
              <w:spacing w:after="0"/>
              <w:rPr>
                <w:sz w:val="18"/>
                <w:szCs w:val="18"/>
                <w:color w:val="auto"/>
              </w:rPr>
            </w:pPr>
          </w:p>
        </w:tc>
        <w:tc>
          <w:tcPr>
            <w:tcW w:w="44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bottom w:val="single" w:sz="8" w:color="CCFF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4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FFCC"/>
          </w:tcPr>
          <w:p>
            <w:pPr>
              <w:ind w:left="180"/>
              <w:spacing w:after="0"/>
              <w:rPr>
                <w:sz w:val="20"/>
                <w:szCs w:val="20"/>
                <w:color w:val="auto"/>
              </w:rPr>
            </w:pPr>
            <w:r>
              <w:rPr>
                <w:rFonts w:ascii="Arial" w:cs="Arial" w:eastAsia="Arial" w:hAnsi="Arial"/>
                <w:sz w:val="18"/>
                <w:szCs w:val="18"/>
                <w:color w:val="auto"/>
                <w:w w:val="94"/>
              </w:rPr>
              <w:t>1,512,000</w:t>
            </w:r>
          </w:p>
        </w:tc>
        <w:tc>
          <w:tcPr>
            <w:tcW w:w="10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543,000</w:t>
            </w:r>
          </w:p>
        </w:tc>
        <w:tc>
          <w:tcPr>
            <w:tcW w:w="10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969,000</w:t>
            </w:r>
          </w:p>
        </w:tc>
        <w:tc>
          <w:tcPr>
            <w:tcW w:w="1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2,055,000</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During the year ended December 31, 2013 and 2012, our research and development expenses (excluding mobile social application business research and development expense included within discontinued operations) amounted to $1,512,000 and $543,000, respectively. The increase of $969,000 (or 178%) was primarily due to increased development team cost ($520,000, compared to $173,000 in 2012), and related non-cash, stock-based compensation cost ($470,000, compared to $366,000 in 2012). In addition, this increase was due to an increase in consulting costs ($499,000, compared to $0 in 2012).</w:t>
      </w:r>
    </w:p>
    <w:p>
      <w:pPr>
        <w:spacing w:after="0" w:line="188"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From Inception through December 31, 2013, research and development expenses, in the total amount of $2,055,000, recorded following the Merger with I/P, consist primarily of labor related cost of $693,000, consulting expenses of $499,000 and related stock-based compensation cost of $836,000.</w:t>
      </w:r>
    </w:p>
    <w:p>
      <w:pPr>
        <w:spacing w:after="0" w:line="181"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6"/>
          <w:szCs w:val="16"/>
          <w:color w:val="auto"/>
        </w:rPr>
        <w:t>In February 2014, we sold our mobile social application business to Infomedia. As part of the agreement, our then remaining research and development personnel were assumed by Infomedia. Should we seek to introduce new products or new business opportunities, such as a merger or acquisition relating to our intellectual property or other technology, we expect that our research and development costs would increase.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6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from Inception</w:t>
            </w:r>
          </w:p>
        </w:tc>
      </w:tr>
      <w:tr>
        <w:trPr>
          <w:trHeight w:val="216"/>
        </w:trPr>
        <w:tc>
          <w:tcPr>
            <w:tcW w:w="6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through</w:t>
            </w:r>
          </w:p>
        </w:tc>
      </w:tr>
      <w:tr>
        <w:trPr>
          <w:trHeight w:val="234"/>
        </w:trPr>
        <w:tc>
          <w:tcPr>
            <w:tcW w:w="6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980" w:type="dxa"/>
            <w:vAlign w:val="bottom"/>
            <w:gridSpan w:val="6"/>
          </w:tcPr>
          <w:p>
            <w:pPr>
              <w:jc w:val="center"/>
              <w:ind w:left="870"/>
              <w:spacing w:after="0"/>
              <w:rPr>
                <w:sz w:val="20"/>
                <w:szCs w:val="20"/>
                <w:color w:val="auto"/>
              </w:rPr>
            </w:pPr>
            <w:r>
              <w:rPr>
                <w:rFonts w:ascii="Arial" w:cs="Arial" w:eastAsia="Arial" w:hAnsi="Arial"/>
                <w:sz w:val="18"/>
                <w:szCs w:val="18"/>
                <w:b w:val="1"/>
                <w:bCs w:val="1"/>
                <w:color w:val="auto"/>
                <w:w w:val="88"/>
              </w:rPr>
              <w:t>Year ended December 31,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10"/>
        </w:trPr>
        <w:tc>
          <w:tcPr>
            <w:tcW w:w="660" w:type="dxa"/>
            <w:vAlign w:val="bottom"/>
          </w:tcPr>
          <w:p>
            <w:pPr>
              <w:spacing w:after="0"/>
              <w:rPr>
                <w:sz w:val="18"/>
                <w:szCs w:val="18"/>
                <w:color w:val="auto"/>
              </w:rPr>
            </w:pPr>
          </w:p>
        </w:tc>
        <w:tc>
          <w:tcPr>
            <w:tcW w:w="446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bottom w:val="single" w:sz="8" w:color="CCFF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4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   15,330,000</w:t>
            </w:r>
          </w:p>
        </w:tc>
        <w:tc>
          <w:tcPr>
            <w:tcW w:w="10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10,226,000</w:t>
            </w:r>
          </w:p>
        </w:tc>
        <w:tc>
          <w:tcPr>
            <w:tcW w:w="10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5,104,000</w:t>
            </w:r>
          </w:p>
        </w:tc>
        <w:tc>
          <w:tcPr>
            <w:tcW w:w="1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26,741,000</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During the year ended December 31, 2013, general and administrative expenses increased by $5,104,000 (or 50%), to $15,330,000, from $10,226,000 recorded during the year ended December 31, 2012. General and administrative expenses increased mostly due to an increase in payroll expense ($2,349,000, compared to $1,301,000 in 2012), an increase in stock-based compensation expense ($10,037,000, compared to $6,731,000 in 2012), and increased various professional fees ($2,093,000, compared to $1,544,000 in 2012).</w:t>
      </w:r>
    </w:p>
    <w:p>
      <w:pPr>
        <w:spacing w:after="0" w:line="171"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From Inception through December 31, 2013, general and administrative expenses amounted to $26,741,000. Of that amount, $3,869,000 was attributed to salaries and related expenses, $17,242,000 was attributed to stock-based payments and $5,630,000 was attributed to various professional fees.</w:t>
      </w:r>
    </w:p>
    <w:p>
      <w:pPr>
        <w:spacing w:after="0" w:line="181"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We expect that our general and administrative expenses will increase, as our expenses will incorporate full costs of our management and administration, as well as increased rent, office, accounting, legal and insurance costs. New merger and acquisition opportunities, should such arise, may also significantly increase our general and administrative costs.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Non-operating income (expense), net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from Inception</w:t>
            </w:r>
          </w:p>
        </w:tc>
      </w:tr>
      <w:tr>
        <w:trPr>
          <w:trHeight w:val="216"/>
        </w:trPr>
        <w:tc>
          <w:tcPr>
            <w:tcW w:w="6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through</w:t>
            </w:r>
          </w:p>
        </w:tc>
      </w:tr>
      <w:tr>
        <w:trPr>
          <w:trHeight w:val="234"/>
        </w:trPr>
        <w:tc>
          <w:tcPr>
            <w:tcW w:w="6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r>
      <w:tr>
        <w:trPr>
          <w:trHeight w:val="210"/>
        </w:trPr>
        <w:tc>
          <w:tcPr>
            <w:tcW w:w="660" w:type="dxa"/>
            <w:vAlign w:val="bottom"/>
          </w:tcPr>
          <w:p>
            <w:pPr>
              <w:spacing w:after="0"/>
              <w:rPr>
                <w:sz w:val="18"/>
                <w:szCs w:val="18"/>
                <w:color w:val="auto"/>
              </w:rPr>
            </w:pPr>
          </w:p>
        </w:tc>
        <w:tc>
          <w:tcPr>
            <w:tcW w:w="436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bottom w:val="single" w:sz="8" w:color="CCFF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Change</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3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Non-operating income (expense), net</w:t>
            </w:r>
          </w:p>
        </w:tc>
        <w:tc>
          <w:tcPr>
            <w:tcW w:w="260" w:type="dxa"/>
            <w:vAlign w:val="bottom"/>
            <w:tcBorders>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(971,000)</w:t>
            </w:r>
          </w:p>
        </w:tc>
        <w:tc>
          <w:tcPr>
            <w:tcW w:w="10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ind w:left="200"/>
              <w:spacing w:after="0"/>
              <w:rPr>
                <w:sz w:val="20"/>
                <w:szCs w:val="20"/>
                <w:color w:val="auto"/>
              </w:rPr>
            </w:pPr>
            <w:r>
              <w:rPr>
                <w:rFonts w:ascii="Arial" w:cs="Arial" w:eastAsia="Arial" w:hAnsi="Arial"/>
                <w:sz w:val="18"/>
                <w:szCs w:val="18"/>
                <w:color w:val="auto"/>
                <w:w w:val="94"/>
              </w:rPr>
              <w:t>3,962,000</w:t>
            </w:r>
          </w:p>
        </w:tc>
        <w:tc>
          <w:tcPr>
            <w:tcW w:w="10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(4,933,000)</w:t>
            </w: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2,983,000</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7"/>
          <w:szCs w:val="17"/>
          <w:color w:val="auto"/>
        </w:rPr>
        <w:t>During the year ended December 31, 2013, we recorded non-operating expense in the amount of $971,000, compared to non-operating income in the amount of $3,962,000 recorded in the year ended December 31, 2012. During the year ended December 31, 2013, we recorded approximately $421,000 of income related to a decrease in the fair value of our derivative warrant liabilities. In addition, as part of the issuance of October 2012 Warrants, the down-round protection clauses in certain then outstanding Series 1 Warrants were removed. The impact of the removal of the down-round warrant protection, which was not material, was recorded during the year ended December 31, 2013. As a result of the removal of the down-round warrant protection, we recorded an additional, non-operating expense of $1,617,000. Following the Merger, our non-operating income, net, included mainly the impact of changes in the fair value of derivative warrants, the fair value of which is highly affected by our share price at the measurement date. Consequently, as of December 31, 2012, we recorded income of $6,847,000 due to the decrease of our share price, compared to the share price on the date of the Merger.</w:t>
      </w:r>
    </w:p>
    <w:p>
      <w:pPr>
        <w:spacing w:after="0" w:line="182"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6"/>
          <w:szCs w:val="16"/>
          <w:color w:val="181818"/>
        </w:rPr>
        <w:t>In addition, in October 2012, we entered into an agreement with certain of our warrant holders, pursuant to which such warrant holders exercised in cash 3,721,062 of their outstanding warrants, with an exercise price of $1.76 per share, and we issued such warrant holders unregistered warrants to purchase an aggregate of 3,000,000 of our shares of common stock, par value $0.01 per share, at an exercise price of $5.06 per share.</w:t>
      </w:r>
    </w:p>
    <w:p>
      <w:pPr>
        <w:sectPr>
          <w:pgSz w:w="11900" w:h="16838" w:orient="portrait"/>
          <w:cols w:equalWidth="0" w:num="1">
            <w:col w:w="11420"/>
          </w:cols>
          <w:pgMar w:left="240" w:top="341" w:right="239" w:bottom="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181818"/>
        </w:rPr>
        <w:t>The newly issued warrants do not bear down-round protection clauses. As a result of this issuance, additional non-operational expense in the total amount of $2,883,000 was recorded (refer to Note 9 to the accompanying consolidated financial statements).</w:t>
      </w:r>
    </w:p>
    <w:p>
      <w:pPr>
        <w:spacing w:after="0" w:line="200" w:lineRule="exact"/>
        <w:rPr>
          <w:sz w:val="20"/>
          <w:szCs w:val="20"/>
          <w:color w:val="auto"/>
        </w:rPr>
      </w:pPr>
    </w:p>
    <w:p>
      <w:pPr>
        <w:spacing w:after="0" w:line="2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238125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24" w:name="page25"/>
    <w:bookmarkEnd w:id="24"/>
    <w:p>
      <w:pPr>
        <w:spacing w:after="0" w:line="114"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181818"/>
        </w:rPr>
        <w:t>We expect that our non-operating income (expense) will remain highly volatile, and we may choose to fund our operations through additional financing. In particular, non-operating income (expense) will be affected by the adjustments to fair value of our derivative instruments. Fair value of these derivative instruments depends on a variety of assumptions, such as estimations regarding triggering of down-round protection and estimated future share price. An estimated increase in the price of our common stock increases the value of the warrants and thus results in a loss on our statement of operations. In addition, high estimated probability of a down-round protection increases the value of the warrants and again results in a loss on our statement of operations. Also refer to Note 9 to the accompanying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mobile social application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Cumulative from</w:t>
            </w:r>
          </w:p>
        </w:tc>
      </w:tr>
      <w:tr>
        <w:trPr>
          <w:trHeight w:val="216"/>
        </w:trPr>
        <w:tc>
          <w:tcPr>
            <w:tcW w:w="3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Inception through</w:t>
            </w:r>
          </w:p>
        </w:tc>
      </w:tr>
      <w:tr>
        <w:trPr>
          <w:trHeight w:val="234"/>
        </w:trPr>
        <w:tc>
          <w:tcPr>
            <w:tcW w:w="3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8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w w:val="87"/>
              </w:rPr>
              <w:t>As of December 31,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ind w:left="36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3560" w:type="dxa"/>
            <w:vAlign w:val="bottom"/>
            <w:tcBorders>
              <w:bottom w:val="single" w:sz="8" w:color="CCFFCC"/>
            </w:tcBorders>
          </w:tcPr>
          <w:p>
            <w:pPr>
              <w:spacing w:after="0"/>
              <w:rPr>
                <w:sz w:val="18"/>
                <w:szCs w:val="18"/>
                <w:color w:val="auto"/>
              </w:rPr>
            </w:pPr>
          </w:p>
        </w:tc>
        <w:tc>
          <w:tcPr>
            <w:tcW w:w="90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60" w:type="dxa"/>
            <w:vAlign w:val="bottom"/>
            <w:tcBorders>
              <w:top w:val="single" w:sz="8" w:color="auto"/>
              <w:bottom w:val="single" w:sz="8" w:color="CCFFCC"/>
            </w:tcBorders>
          </w:tcPr>
          <w:p>
            <w:pPr>
              <w:spacing w:after="0"/>
              <w:rPr>
                <w:sz w:val="18"/>
                <w:szCs w:val="18"/>
                <w:color w:val="auto"/>
              </w:rPr>
            </w:pPr>
          </w:p>
        </w:tc>
        <w:tc>
          <w:tcPr>
            <w:tcW w:w="40" w:type="dxa"/>
            <w:vAlign w:val="bottom"/>
            <w:tcBorders>
              <w:top w:val="single" w:sz="8" w:color="auto"/>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r>
      <w:tr>
        <w:trPr>
          <w:trHeight w:val="210"/>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224,000</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269,000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493,000</w:t>
            </w: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(3,334,000)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(2,666,000)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(668,000)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Loss on impairment</w:t>
            </w: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(7,253,000)</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(7,253,000)</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(7,253,000)</w:t>
            </w: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0"/>
        </w:trPr>
        <w:tc>
          <w:tcPr>
            <w:tcW w:w="35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Operating loss</w:t>
            </w:r>
          </w:p>
        </w:tc>
        <w:tc>
          <w:tcPr>
            <w:tcW w:w="90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(10,363,000)</w:t>
            </w:r>
          </w:p>
        </w:tc>
        <w:tc>
          <w:tcPr>
            <w:tcW w:w="10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(2,397,000)</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(7,966,000)</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(12,760,000)</w:t>
            </w:r>
          </w:p>
        </w:tc>
        <w:tc>
          <w:tcPr>
            <w:tcW w:w="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r>
      <w:tr>
        <w:trPr>
          <w:trHeight w:val="210"/>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Non-operating income (expense)</w:t>
            </w:r>
          </w:p>
        </w:tc>
        <w:tc>
          <w:tcPr>
            <w:tcW w:w="90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2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(45,000)</w:t>
            </w: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0"/>
        </w:trPr>
        <w:tc>
          <w:tcPr>
            <w:tcW w:w="35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Loss before taxes on income</w:t>
            </w:r>
          </w:p>
        </w:tc>
        <w:tc>
          <w:tcPr>
            <w:tcW w:w="90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(10,428,000)</w:t>
            </w: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(2,377,000)</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(8,051,000)</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(12,805,000)</w:t>
            </w:r>
          </w:p>
        </w:tc>
        <w:tc>
          <w:tcPr>
            <w:tcW w:w="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r>
      <w:tr>
        <w:trPr>
          <w:trHeight w:val="210"/>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(257,000)</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(55,000)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(202,000)</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2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(312,000)</w:t>
            </w: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w:t>
            </w:r>
          </w:p>
        </w:tc>
        <w:tc>
          <w:tcPr>
            <w:tcW w:w="9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(10,685,000)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(2,432,000)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(8,253,000)</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(13,117,000)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On February 18, 2014, we executed the sale of our mobile social application business to Infomedia, in exchange for 18 Class B shares of Infomedia, which represent an 8.25% ownership interest. The Infomedia Class B shares were accounted for as a cost-method investment. Cash requirements for termination of mobile operations include mainly post-employment obligations, which are expected to be incurred in the first quarter of 2014, and are considered to be immaterial. We expect the consummation of the sale agreement to reduce our annual cost and cash used in operations, by approximately $3,000,000 per annum.</w:t>
      </w:r>
    </w:p>
    <w:p>
      <w:pPr>
        <w:spacing w:after="0" w:line="188"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During the year ended December 31, 2013, we recorded revenues of $224,000, which represents a decrease of $45,000 (or -17%) from revenues recorded for the year ended December 31, 2012. Mobile revenue recorded in 2012 only reflect our revenue from the day of the Merger. Mobile revenue in 2013 decreased, compared to 2012, mainly due to a one-time development project with Nokia, for a total amount of $100,000, recorded in 2012. In 2013, due to the change in mobile strategy for Nokia and its announced sale of its handset business to Microsoft, there was significant impact on the personnel and budgets dedicated to development partner relations, such as the one previously enjoyed by Vringo. As a result, no new revenue contracts were issued for app customization on Nokia devices during 2013.</w:t>
      </w:r>
    </w:p>
    <w:p>
      <w:pPr>
        <w:spacing w:after="0" w:line="178"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During the year ended December 31, 2013, operating expenses increased by $668,000 (or 25%), to $3,334,000, from $2,666,000 recorded during the year ended December 31, 2012. Operating expenses increased mostly due to full year amortization of our technology, the value to which was allocated upon consummation of the Merger ($1,688,000 amortization expense, compared to $763,000 in 2012). This increase was partially offset by the decrease in stock-based compensation costs ($365,000, compared to $467,000 in 2012).</w:t>
      </w:r>
    </w:p>
    <w:p>
      <w:pPr>
        <w:spacing w:after="0" w:line="171"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During the fourth quarter of 2013, an impairment loss of $7,253,000 was recorded in connection with the sale of our mobile social application business, which represents the excess of the carrying value (which includes the portion of goodwill allocated to the mobile social application business) over the estimated fair value of the related asset group. The fair value of the related asset group was estimated using an income approach by developing a discounted future net cash flows model. Refer to Note 7 to the accompanying consolidated financial statements for further discussion of the accounting related to this transaction.</w:t>
      </w:r>
    </w:p>
    <w:p>
      <w:pPr>
        <w:spacing w:after="0" w:line="188"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During the year ended December 31, 2013, we recorded income tax expense of $257,000, which represents an increase of $202,000 (or 354%) from income tax expense recorded for the year ended December 31, 2012. In general, current taxes on income are mainly due to taxable profits generated by our subsidiary in Israel, as a result of the intercompany cost plus agreement between us and the subsidiary in Israel, whereby the subsidiary in Israel performs development and other services for us and is reimbursed for its expenses plus 8% profit. For financial statements purposes, these profits are eliminated upon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225"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As of December 31, 2013, we had approximately $88,204,000 in aggregate total net tax loss carryforwards ("NOL") for U.S. federal, state and local purposes expiring 20 years from the respective tax years to which they relate (beginning with 2006 for the Legal Parent and 2011 for I/P). The Tax Reform Act of 1986 imposed substantial restrictions on the utilization of NOL and tax credits in the event of an ownership change of a corporation. Thus, in accordance with Internal Revenue Code, Section 382, our initial public offering, financing activities, as well as the Merger, may limit the Company's ability to utilize all such NOL and credit carryforwards.</w:t>
      </w:r>
    </w:p>
    <w:p>
      <w:pPr>
        <w:spacing w:after="0" w:line="188"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We file our tax returns in the U.S. federal jurisdiction, as well as in various state and local jurisdictions. Vringo has open tax assessments for the years 2010 through 2013. As of December 31, 2013, all tax assessments for I/P are still open. The Israeli subsidiary files its income tax returns in Israel. As of December 31, 2013, the Israeli subsidiary has open tax assessments for the years 2010 through 2013.</w:t>
      </w:r>
    </w:p>
    <w:p>
      <w:pPr>
        <w:spacing w:after="0" w:line="166"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As of December 31, 2013, with the sale of our mobile social application business, and its classification as assets held to sale, we do not meet the criteria for the exception of indefinite reversal criteria for its Israeli subsidiary. We did not record any additional material provisions related to such event.</w:t>
      </w:r>
    </w:p>
    <w:p>
      <w:pPr>
        <w:spacing w:after="0" w:line="181"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A valuation allowance has been recorded against the net deferred tax asset in the U.S., as it is in the opinion of the Company’s management that it is more likely than not that the operating loss carryforwards will not be utilized in the foreseeable future. No valuation allowance has been provided for the deferred tax assets of the Israeli subsidiary, since they are more likely than not to be realized.</w:t>
      </w:r>
    </w:p>
    <w:p>
      <w:pPr>
        <w:spacing w:after="0" w:line="166"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6"/>
          <w:szCs w:val="16"/>
          <w:color w:val="auto"/>
        </w:rPr>
        <w:t>We file our tax returns in the U.S. federal jurisdiction, as well as in various state and local jurisdictions. Vringo, Inc. has open tax assessments for the years 2010 through 2013. As of December 31, 2013, all tax assessments for Innovate/Protect are still open. The Israeli subsidiary files its income tax returns in Israel. As of December 31, 2013, the Israeli subsidiary has open tax assessments for the years 2010 through 2013.</w:t>
      </w:r>
    </w:p>
    <w:p>
      <w:pPr>
        <w:sectPr>
          <w:pgSz w:w="11900" w:h="16952" w:orient="portrait"/>
          <w:cols w:equalWidth="0" w:num="1">
            <w:col w:w="11420"/>
          </w:cols>
          <w:pgMar w:left="240" w:top="341" w:right="239" w:bottom="0" w:gutter="0" w:footer="0" w:header="0"/>
        </w:sectPr>
      </w:pPr>
    </w:p>
    <w:bookmarkStart w:id="25" w:name="page26"/>
    <w:bookmarkEnd w:id="25"/>
    <w:p>
      <w:pPr>
        <w:jc w:val="both"/>
        <w:ind w:left="660" w:firstLine="648"/>
        <w:spacing w:after="0" w:line="277" w:lineRule="auto"/>
        <w:rPr>
          <w:sz w:val="20"/>
          <w:szCs w:val="20"/>
          <w:color w:val="auto"/>
        </w:rPr>
      </w:pPr>
      <w:r>
        <w:rPr>
          <w:rFonts w:ascii="Arial" w:cs="Arial" w:eastAsia="Arial" w:hAnsi="Arial"/>
          <w:sz w:val="18"/>
          <w:szCs w:val="18"/>
          <w:color w:val="auto"/>
        </w:rPr>
        <w:t>We did not have any material unrecognized tax benefits in 2013 and 2012. We do not expect to record any additional material provisions for unrecognized tax benefits within the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As of December 31, 2013, we had a cash balance of $33,586,000 and $29,340,000 in net working capital. The decrease of $23,374,000 in our cash balance from December 31, 2012, was mainly due to net cash used by us in our business operations, in the total amount of approximately $23,462,000 and $1,420,000 used to acquire patents. This decrease was slightly offset by $1,564,000 received from the exercise of options and warrants. As of December 31, 2013, our total stockholders' equity was $114,282,000, mainly decreased by continuing operating deficits from Inception to date.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both"/>
        <w:ind w:firstLine="648"/>
        <w:spacing w:after="0" w:line="271" w:lineRule="auto"/>
        <w:rPr>
          <w:sz w:val="20"/>
          <w:szCs w:val="20"/>
          <w:color w:val="auto"/>
        </w:rPr>
      </w:pPr>
      <w:r>
        <w:rPr>
          <w:rFonts w:ascii="Arial" w:cs="Arial" w:eastAsia="Arial" w:hAnsi="Arial"/>
          <w:sz w:val="17"/>
          <w:szCs w:val="17"/>
          <w:color w:val="auto"/>
        </w:rPr>
        <w:t>During the year ended December 31, 2013, a total of 435,783 warrants to purchase an aggregate of 435,783 shares of our common stock, at an exercise price range from $0.94 to $1.76 per share, were exercised by our warrant holders, pursuant to which we received an additional $590,522. In addition, 2,177,644 options and restricted stock units (“RSUs”), collectively, to purchase 2,177,644 shares of our common stock, issued to consultants, employees, directors and management, were exercised or vested, as applicable. As a result, we received an additional $973,986. In addition, during 2014 through February 21, 2014, 626,805 warrants to purchase an aggregate of 626,805 shares of our common stock, at an exercise price of $1.76 per share, were exercised by our warrant holders, pursuant to which we received an additional $1,103,177. In addition, 699,606 options and RSUs, collectively, to purchase 699,606 shares of our common stock, issued to employees, directors and management, were exercised or vested, as applicable. As a result, we received an additional $1,455,066.</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February 21, 2014, we had approximately $30,378,000 in cash and cash equivalents. Based on current operating plans, we expect to have sufficient funds for our operations for at least the next twelve months. In addition, until we generate sufficient revenue, we may need to raise additional funds, which can be achieved through exercise of outstanding warrants and options, issuance of additional equity or through loans from financial institutions. There can be no assurance, however, that any such opportunities will materialize.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anticipate that we will continue to search for additional sources of liquidity, when needed, until we generate positive cash flow to support our operations. We cannot give any assurance that the necessary capital will be raised or that, if funds are raised, it will be on favorable terms. Any future sales of securities to finance our operations may require stockholder approval and will dilute existing stockholders' ownership. We cannot guarantee when or if we will ever generate positive cash flow.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Cumulative</w:t>
            </w:r>
          </w:p>
        </w:tc>
      </w:tr>
      <w:tr>
        <w:trPr>
          <w:trHeight w:val="216"/>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from Inception</w:t>
            </w:r>
          </w:p>
        </w:tc>
      </w:tr>
      <w:tr>
        <w:trPr>
          <w:trHeight w:val="216"/>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89"/>
              </w:rPr>
              <w:t>Year ended December 31,</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10"/>
        </w:trPr>
        <w:tc>
          <w:tcPr>
            <w:tcW w:w="470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Change</w:t>
            </w:r>
          </w:p>
        </w:tc>
        <w:tc>
          <w:tcPr>
            <w:tcW w:w="12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CFFCC"/>
            </w:tcBorders>
          </w:tcPr>
          <w:p>
            <w:pPr>
              <w:spacing w:after="0"/>
              <w:rPr>
                <w:sz w:val="18"/>
                <w:szCs w:val="18"/>
                <w:color w:val="auto"/>
              </w:rPr>
            </w:pPr>
          </w:p>
        </w:tc>
      </w:tr>
      <w:tr>
        <w:trPr>
          <w:trHeight w:val="21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(23,465,000)</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2"/>
              </w:rPr>
              <w:t>(14,468,000)</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(8,997,000)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FFCC"/>
          </w:tcPr>
          <w:p>
            <w:pPr>
              <w:jc w:val="center"/>
              <w:ind w:left="470"/>
              <w:spacing w:after="0"/>
              <w:rPr>
                <w:sz w:val="20"/>
                <w:szCs w:val="20"/>
                <w:color w:val="auto"/>
              </w:rPr>
            </w:pPr>
            <w:r>
              <w:rPr>
                <w:rFonts w:ascii="Arial" w:cs="Arial" w:eastAsia="Arial" w:hAnsi="Arial"/>
                <w:sz w:val="18"/>
                <w:szCs w:val="18"/>
                <w:color w:val="auto"/>
                <w:w w:val="90"/>
              </w:rPr>
              <w:t>(39,461,000)</w:t>
            </w:r>
          </w:p>
        </w:tc>
        <w:tc>
          <w:tcPr>
            <w:tcW w:w="100" w:type="dxa"/>
            <w:vAlign w:val="bottom"/>
            <w:shd w:val="clear" w:color="auto" w:fill="CCFFC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(1,636,000)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2"/>
              </w:rPr>
              <w:t>(19,476,000)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17,840,000</w:t>
            </w:r>
          </w:p>
        </w:tc>
        <w:tc>
          <w:tcPr>
            <w:tcW w:w="1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(24,517,000)</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1,564,000</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85,694,000</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2"/>
              </w:rPr>
              <w:t>(84,130,000)</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FFCC"/>
          </w:tcPr>
          <w:p>
            <w:pPr>
              <w:jc w:val="center"/>
              <w:ind w:left="450"/>
              <w:spacing w:after="0"/>
              <w:rPr>
                <w:sz w:val="20"/>
                <w:szCs w:val="20"/>
                <w:color w:val="auto"/>
              </w:rPr>
            </w:pPr>
            <w:r>
              <w:rPr>
                <w:rFonts w:ascii="Arial" w:cs="Arial" w:eastAsia="Arial" w:hAnsi="Arial"/>
                <w:sz w:val="18"/>
                <w:szCs w:val="18"/>
                <w:color w:val="auto"/>
                <w:w w:val="90"/>
              </w:rPr>
              <w:t>97,403,000</w:t>
            </w:r>
          </w:p>
        </w:tc>
        <w:tc>
          <w:tcPr>
            <w:tcW w:w="100" w:type="dxa"/>
            <w:vAlign w:val="bottom"/>
            <w:shd w:val="clear" w:color="auto" w:fill="CCFFCC"/>
          </w:tcPr>
          <w:p>
            <w:pPr>
              <w:spacing w:after="0"/>
              <w:rPr>
                <w:sz w:val="18"/>
                <w:szCs w:val="18"/>
                <w:color w:val="auto"/>
              </w:rPr>
            </w:pPr>
          </w:p>
        </w:tc>
      </w:tr>
      <w:tr>
        <w:trPr>
          <w:trHeight w:val="20"/>
        </w:trPr>
        <w:tc>
          <w:tcPr>
            <w:tcW w:w="47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2013, net cash used in operating activities totaled $23,465,000. During the year ended December 31, 2012, net cash used in operating activities totaled $14,468,000. The $8,997,000 increase in net cash used in operating activities was mainly due to increased litigation costs, as well as an increase in cost of our in-house staff.</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expect our net cash used in operating activities to increase due to further development of our business. As we expect to move towards greater revenue generation, we expect that these amounts will be offset over time by collection of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year ended December 31, 2013, net cash used in investing activities totaled $1,636,000. During the year ended December 31, 2012, net cash used in investing activities totaled $19,476,000. The decrease in cash used in investing activities, in the total amount of $17,840,000, was primarily due to a patent purchase in the total amount of $1,420,000, compared to the cost of patents acquired from Nokia in 2012, for $22,548,000. Fixed asset purchases in the year ended December 31, 2013 amounted to $23,000 compared to $208,000 for the year ended December 31, 2012, due to post-Merger relocation of our headquarters and the development of internal technology infrastructure in 2012. In addition, in 2012, cash used in investing activities was offset by $3,326,000 recorded in connection with the consummation of the Merger.</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acquire additional intellectual property assets and invest surplus cash, according to our investment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708"/>
        <w:spacing w:after="0" w:line="297" w:lineRule="auto"/>
        <w:rPr>
          <w:sz w:val="20"/>
          <w:szCs w:val="20"/>
          <w:color w:val="auto"/>
        </w:rPr>
      </w:pPr>
      <w:r>
        <w:rPr>
          <w:rFonts w:ascii="Arial" w:cs="Arial" w:eastAsia="Arial" w:hAnsi="Arial"/>
          <w:sz w:val="16"/>
          <w:szCs w:val="16"/>
          <w:color w:val="auto"/>
        </w:rPr>
        <w:t>During the year ended December 31, 2013, net cash provided by financing activities totaled $1,564,000, which relates to funds received from the exercise of warrants and options in the total amount of $590,000 and $974,000, respectively. During the year ended December 31, 2012, net cash provided by financing activities totaled $85,694,000, which relates to the August and October registered direct financings, in which we raised approximately, $31,148,000 and $44,962,000, respectively, offset by repayment of note payable to Hudson Bay Master Fund Ltd., in the total amount of $3,200,000 and funds received from the exercise of warrants and options in the total amount of $12,784,000.</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mentioned above, a significant portion of our issued and outstanding warrants are currently “in the money” and the shares of common stock underlying such warrants held by non-affiliates are freely tradable, with, as of December 31, 2013, the potential of up to $18,703,114 of additional incoming funds. We may choose to raise additional funds in connection with any acquisition of patent portfolios or other intellectual property assets that we may pursue. There can be no assurance, however, that any such opportunity will materialize, and moreover, any such financing would likely be dilutive to our current stockholders.</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238125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currently pursuing several potential strategic partners and have identified patent portfolios, other intellectual property assets and operating businesses that we may wish to acquire. In addition, we are continuing to explore further opportunities for strategic business alliances. However, there can be no assurance that any such opportunities will be consummated.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October 2012 through December 31, 2013, our subsidiaries filed patent infringement lawsuits against the subsidiaries of ZTE Corporation in the United Kingdom, France, Germany, and Australia. Should we be deemed the losing party in any of its applications to the court in the UK, we may be held responsible for a portion of the defendant’s legal fees for the relevant application or for the litigation. Pursuant to negotiation with ZTE’s UK subsidiary, in the United Kingdom, we placed two written commitments to ensure the payment of a potential liability by Vringo Infrastructure resulting for the two cases filed in the fourth quarter of 2012 and second quarter of 2013, which the defendants estimated to be approximately $2,900,000 each. In addition, we may be required to grant additional written commitments, as necessary, in connection with our commenced proceedings against ZTE Corporation in Europe and Australia. It should be noted, however, that if we were successful on any court applications or the entirety of any litigation, ZTE Corporation would be responsible for a substantial portion of our legal fees.</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Other than the arrangements described in the preceding paragraph, 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for the year ended December 31, 2013, we believe the following accounting policies to be the most critical in understanding the judgments and estimates we used in preparing our consolidated financial statements for the year ended December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long-lived assets include property and equipment and amortizable intangible assets. In assessing the recoverability of these long-lived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we may be required to record impairment charges related to our long-lived assets.</w:t>
      </w:r>
    </w:p>
    <w:p>
      <w:pPr>
        <w:spacing w:after="0" w:line="165" w:lineRule="exact"/>
        <w:rPr>
          <w:sz w:val="20"/>
          <w:szCs w:val="20"/>
          <w:color w:val="auto"/>
        </w:rPr>
      </w:pPr>
    </w:p>
    <w:p>
      <w:pPr>
        <w:jc w:val="both"/>
        <w:ind w:firstLine="707"/>
        <w:spacing w:after="0" w:line="273" w:lineRule="auto"/>
        <w:rPr>
          <w:sz w:val="20"/>
          <w:szCs w:val="20"/>
          <w:color w:val="auto"/>
        </w:rPr>
      </w:pPr>
      <w:r>
        <w:rPr>
          <w:rFonts w:ascii="Arial" w:cs="Arial" w:eastAsia="Arial" w:hAnsi="Arial"/>
          <w:sz w:val="17"/>
          <w:szCs w:val="17"/>
          <w:color w:val="auto"/>
        </w:rPr>
        <w:t>During the fourth quarter of 2013, we recorded an impairment loss of $7,045,000 related to technology assets in connection with the sale of our mobile social application business, which was completed in February 2014. This amount was calculated based upon a discounted future cash flows model. Significant judgments and assumptions inherent in a discounted cash flow valuation include the selection of appropriate discount rates, estimating the amount and timing of estimated future cash flows and identification of appropriate continuing growth rate assumptions. The discount rates used in the analysis are intended to reflect the risk inherent in the projected future cash flows generated by the respective asset group. Such judgments and assumptions, particularly related to mobile technology, are sensitive to rapid changes in the industry and technological advances.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Goodwill is an asset representing the future economic benefits arising from other assets acquired in a business combination that are not individually identified and separately recognized. Goodwill is reviewed for impairment at least annually, and when triggering events occur, in accordance with the provisions of </w:t>
      </w:r>
      <w:r>
        <w:rPr>
          <w:rFonts w:ascii="Arial" w:cs="Arial" w:eastAsia="Arial" w:hAnsi="Arial"/>
          <w:sz w:val="18"/>
          <w:szCs w:val="18"/>
          <w:i w:val="1"/>
          <w:iCs w:val="1"/>
          <w:color w:val="auto"/>
        </w:rPr>
        <w:t>Financial Accounting Standards Board (“FASB”) Accounting Standards Codification (“ASC”) Topic 350, Intangibles - Goodwill and Other</w:t>
      </w:r>
      <w:r>
        <w:rPr>
          <w:rFonts w:ascii="Arial" w:cs="Arial" w:eastAsia="Arial" w:hAnsi="Arial"/>
          <w:sz w:val="18"/>
          <w:szCs w:val="18"/>
          <w:color w:val="auto"/>
        </w:rPr>
        <w:t>. We have one reporting unit for purposes of evaluating goodwill impairment.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has the option to perform a qualitative assessment to determine if an impairment is more likely than not to have occurred. If the company can support the conclusion that it is not more likely than not that the fair value of a reporting unit is less than its carrying amount, the company would not need to perform the two-step impairment test for the reporting unit. If the company cannot support such a conclusion or the company does not elect to perform the qualitative assessment then the first step of the goodwill impairment test is used to identify potential impairment by comparing the fair value of the reporting unit with its carrying amount, including goodwill. If the fair value of the reporting unit exceeds its carrying value, then step two of the impairment test (measurement) does not need to be performed. If the fair value of the reporting unit is less than its carrying value, an indication of goodwill impairment exists for the reporting unit and the entity must perform step two of the impairment test. Under step two,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Fair value of the reporting unit is determined using certain valuation techniques in addition to the company’s market capitalization.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jc w:val="both"/>
        <w:ind w:firstLine="648"/>
        <w:spacing w:after="0" w:line="257" w:lineRule="auto"/>
        <w:rPr>
          <w:sz w:val="20"/>
          <w:szCs w:val="20"/>
          <w:color w:val="auto"/>
        </w:rPr>
      </w:pPr>
      <w:r>
        <w:rPr>
          <w:rFonts w:ascii="Arial" w:cs="Arial" w:eastAsia="Arial" w:hAnsi="Arial"/>
          <w:sz w:val="18"/>
          <w:szCs w:val="18"/>
          <w:color w:val="auto"/>
        </w:rPr>
        <w:t>We performed our annual impairment test of goodwill as of December 31, 2013. Based on this test, we did not recognize an impairment charge related to goodwill since the fair value of the reporting unit significantly exceeded its carrying value. The fair value as of December 31, 2013 was approximated to be $250,127,000, exceeding the carrying value by 118%. We did however recognize an impairment charge related to goodwill of approximately $208,000 during the fourth quarter of 2013 in connection with the sale of our mobile social application business. Refer to Note 7 to the accompanying consolidated financial statements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2013, we had 21,198 Special Bridge Warrants and 14,491 Conversion Warrants at an exercise price of $0.94, with a fair value of $43,000 and $30,000, respectively. In addition, we had 160,609 Preferential Reload Warrants and 2,303,717 Series 1 Warrants at an exercise price of $1.76, with a fair value of $255,000 and $3,755,000, respectively. (Refer to Note 9 to the accompanying consolidated financial statements). The following table represents the assumptions, valuation models and inputs used, as of December 31, 2013: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00" w:type="dxa"/>
            <w:vAlign w:val="bottom"/>
          </w:tcPr>
          <w:p>
            <w:pPr>
              <w:spacing w:after="0"/>
              <w:rPr>
                <w:sz w:val="18"/>
                <w:szCs w:val="18"/>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Unobservable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460" w:type="dxa"/>
            <w:vAlign w:val="bottom"/>
          </w:tcPr>
          <w:p>
            <w:pPr>
              <w:ind w:left="130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00" w:type="dxa"/>
            <w:vAlign w:val="bottom"/>
          </w:tcPr>
          <w:p>
            <w:pPr>
              <w:spacing w:after="0"/>
              <w:rPr>
                <w:sz w:val="20"/>
                <w:szCs w:val="20"/>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Inputs</w:t>
            </w:r>
          </w:p>
        </w:tc>
        <w:tc>
          <w:tcPr>
            <w:tcW w:w="1860" w:type="dxa"/>
            <w:vAlign w:val="bottom"/>
            <w:gridSpan w:val="2"/>
          </w:tcPr>
          <w:p>
            <w:pPr>
              <w:ind w:left="620"/>
              <w:spacing w:after="0"/>
              <w:rPr>
                <w:sz w:val="20"/>
                <w:szCs w:val="20"/>
                <w:color w:val="auto"/>
              </w:rPr>
            </w:pPr>
            <w:r>
              <w:rPr>
                <w:rFonts w:ascii="Arial" w:cs="Arial" w:eastAsia="Arial" w:hAnsi="Arial"/>
                <w:sz w:val="18"/>
                <w:szCs w:val="18"/>
                <w:b w:val="1"/>
                <w:bCs w:val="1"/>
                <w:color w:val="auto"/>
              </w:rPr>
              <w:t>Range</w:t>
            </w:r>
          </w:p>
        </w:tc>
      </w:tr>
      <w:tr>
        <w:trPr>
          <w:trHeight w:val="195"/>
        </w:trPr>
        <w:tc>
          <w:tcPr>
            <w:tcW w:w="346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w w:val="90"/>
              </w:rPr>
              <w:t>Special Bridge Warrants, Conversion Warrants,</w:t>
            </w:r>
          </w:p>
        </w:tc>
        <w:tc>
          <w:tcPr>
            <w:tcW w:w="120" w:type="dxa"/>
            <w:vAlign w:val="bottom"/>
            <w:tcBorders>
              <w:top w:val="single" w:sz="8" w:color="CCFFCC"/>
            </w:tcBorders>
            <w:shd w:val="clear" w:color="auto" w:fill="CCFFCC"/>
          </w:tcPr>
          <w:p>
            <w:pPr>
              <w:spacing w:after="0"/>
              <w:rPr>
                <w:sz w:val="16"/>
                <w:szCs w:val="16"/>
                <w:color w:val="auto"/>
              </w:rPr>
            </w:pPr>
          </w:p>
        </w:tc>
        <w:tc>
          <w:tcPr>
            <w:tcW w:w="346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w w:val="99"/>
              </w:rPr>
              <w:t>Black-Scholes-Merton and the Monte-Carlo</w:t>
            </w:r>
          </w:p>
        </w:tc>
        <w:tc>
          <w:tcPr>
            <w:tcW w:w="100" w:type="dxa"/>
            <w:vAlign w:val="bottom"/>
            <w:tcBorders>
              <w:top w:val="single" w:sz="8" w:color="CCFFCC"/>
            </w:tcBorders>
            <w:shd w:val="clear" w:color="auto" w:fill="CCFFCC"/>
          </w:tcPr>
          <w:p>
            <w:pPr>
              <w:spacing w:after="0"/>
              <w:rPr>
                <w:sz w:val="16"/>
                <w:szCs w:val="16"/>
                <w:color w:val="auto"/>
              </w:rPr>
            </w:pPr>
          </w:p>
        </w:tc>
        <w:tc>
          <w:tcPr>
            <w:tcW w:w="2320" w:type="dxa"/>
            <w:vAlign w:val="bottom"/>
            <w:tcBorders>
              <w:top w:val="single" w:sz="8" w:color="auto"/>
            </w:tcBorders>
            <w:shd w:val="clear" w:color="auto" w:fill="CCFFCC"/>
          </w:tcPr>
          <w:p>
            <w:pPr>
              <w:spacing w:after="0" w:line="195" w:lineRule="exact"/>
              <w:rPr>
                <w:sz w:val="20"/>
                <w:szCs w:val="20"/>
                <w:color w:val="auto"/>
              </w:rPr>
            </w:pPr>
            <w:r>
              <w:rPr>
                <w:rFonts w:ascii="Arial" w:cs="Arial" w:eastAsia="Arial" w:hAnsi="Arial"/>
                <w:sz w:val="18"/>
                <w:szCs w:val="18"/>
                <w:color w:val="auto"/>
              </w:rPr>
              <w:t>Volatility</w:t>
            </w:r>
          </w:p>
        </w:tc>
        <w:tc>
          <w:tcPr>
            <w:tcW w:w="100" w:type="dxa"/>
            <w:vAlign w:val="bottom"/>
            <w:tcBorders>
              <w:top w:val="single" w:sz="8" w:color="CCFFCC"/>
            </w:tcBorders>
            <w:shd w:val="clear" w:color="auto" w:fill="CCFFCC"/>
          </w:tcPr>
          <w:p>
            <w:pPr>
              <w:spacing w:after="0"/>
              <w:rPr>
                <w:sz w:val="16"/>
                <w:szCs w:val="16"/>
                <w:color w:val="auto"/>
              </w:rPr>
            </w:pPr>
          </w:p>
        </w:tc>
        <w:tc>
          <w:tcPr>
            <w:tcW w:w="1740" w:type="dxa"/>
            <w:vAlign w:val="bottom"/>
            <w:tcBorders>
              <w:top w:val="single" w:sz="8" w:color="auto"/>
            </w:tcBorders>
            <w:shd w:val="clear" w:color="auto" w:fill="CCFFCC"/>
          </w:tcPr>
          <w:p>
            <w:pPr>
              <w:jc w:val="right"/>
              <w:spacing w:after="0" w:line="195" w:lineRule="exact"/>
              <w:rPr>
                <w:sz w:val="20"/>
                <w:szCs w:val="20"/>
                <w:color w:val="auto"/>
              </w:rPr>
            </w:pPr>
            <w:r>
              <w:rPr>
                <w:rFonts w:ascii="Arial" w:cs="Arial" w:eastAsia="Arial" w:hAnsi="Arial"/>
                <w:sz w:val="18"/>
                <w:szCs w:val="18"/>
                <w:color w:val="auto"/>
              </w:rPr>
              <w:t>46.85% – 52.63%</w:t>
            </w:r>
          </w:p>
        </w:tc>
        <w:tc>
          <w:tcPr>
            <w:tcW w:w="120" w:type="dxa"/>
            <w:vAlign w:val="bottom"/>
            <w:tcBorders>
              <w:top w:val="single" w:sz="8" w:color="CCFFCC"/>
            </w:tcBorders>
            <w:shd w:val="clear" w:color="auto" w:fill="CCFFCC"/>
          </w:tcPr>
          <w:p>
            <w:pPr>
              <w:spacing w:after="0"/>
              <w:rPr>
                <w:sz w:val="16"/>
                <w:szCs w:val="16"/>
                <w:color w:val="auto"/>
              </w:rPr>
            </w:pPr>
          </w:p>
        </w:tc>
      </w:tr>
      <w:tr>
        <w:trPr>
          <w:trHeight w:val="216"/>
        </w:trPr>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Preferential Reload Warrants and the</w:t>
            </w:r>
          </w:p>
        </w:tc>
        <w:tc>
          <w:tcPr>
            <w:tcW w:w="35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models</w:t>
            </w:r>
          </w:p>
        </w:tc>
        <w:tc>
          <w:tcPr>
            <w:tcW w:w="100" w:type="dxa"/>
            <w:vAlign w:val="bottom"/>
            <w:shd w:val="clear" w:color="auto" w:fill="CCFFCC"/>
          </w:tcPr>
          <w:p>
            <w:pPr>
              <w:spacing w:after="0"/>
              <w:rPr>
                <w:sz w:val="18"/>
                <w:szCs w:val="18"/>
                <w:color w:val="auto"/>
              </w:rPr>
            </w:pPr>
          </w:p>
        </w:tc>
        <w:tc>
          <w:tcPr>
            <w:tcW w:w="2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30"/>
        </w:trPr>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outstanding derivative Series 1 Warrants</w:t>
            </w:r>
          </w:p>
        </w:tc>
        <w:tc>
          <w:tcPr>
            <w:tcW w:w="120" w:type="dxa"/>
            <w:vAlign w:val="bottom"/>
            <w:shd w:val="clear" w:color="auto" w:fill="CCFFCC"/>
          </w:tcPr>
          <w:p>
            <w:pPr>
              <w:spacing w:after="0"/>
              <w:rPr>
                <w:sz w:val="20"/>
                <w:szCs w:val="20"/>
                <w:color w:val="auto"/>
              </w:rPr>
            </w:pPr>
          </w:p>
        </w:tc>
        <w:tc>
          <w:tcPr>
            <w:tcW w:w="34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3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7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520" w:type="dxa"/>
            <w:vAlign w:val="bottom"/>
            <w:gridSpan w:val="3"/>
          </w:tcPr>
          <w:p>
            <w:pPr>
              <w:ind w:left="100"/>
              <w:spacing w:after="0"/>
              <w:rPr>
                <w:sz w:val="20"/>
                <w:szCs w:val="20"/>
                <w:color w:val="auto"/>
              </w:rPr>
            </w:pPr>
            <w:r>
              <w:rPr>
                <w:rFonts w:ascii="Arial" w:cs="Arial" w:eastAsia="Arial" w:hAnsi="Arial"/>
                <w:sz w:val="18"/>
                <w:szCs w:val="18"/>
                <w:color w:val="auto"/>
              </w:rPr>
              <w:t>Risk free interest rate</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0.16% – 1.11%</w:t>
            </w:r>
          </w:p>
        </w:tc>
      </w:tr>
      <w:tr>
        <w:trPr>
          <w:trHeight w:val="216"/>
        </w:trPr>
        <w:tc>
          <w:tcPr>
            <w:tcW w:w="34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60" w:type="dxa"/>
            <w:vAlign w:val="bottom"/>
            <w:shd w:val="clear" w:color="auto" w:fill="CCFFCC"/>
          </w:tcPr>
          <w:p>
            <w:pPr>
              <w:spacing w:after="0"/>
              <w:rPr>
                <w:sz w:val="18"/>
                <w:szCs w:val="18"/>
                <w:color w:val="auto"/>
              </w:rPr>
            </w:pPr>
          </w:p>
        </w:tc>
        <w:tc>
          <w:tcPr>
            <w:tcW w:w="252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rPr>
              <w:t>Expected term, in years</w:t>
            </w:r>
          </w:p>
        </w:tc>
        <w:tc>
          <w:tcPr>
            <w:tcW w:w="1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0.99 – 3.55</w:t>
            </w:r>
          </w:p>
        </w:tc>
      </w:t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520" w:type="dxa"/>
            <w:vAlign w:val="bottom"/>
            <w:gridSpan w:val="3"/>
          </w:tcPr>
          <w:p>
            <w:pPr>
              <w:ind w:left="100"/>
              <w:spacing w:after="0"/>
              <w:rPr>
                <w:sz w:val="20"/>
                <w:szCs w:val="20"/>
                <w:color w:val="auto"/>
              </w:rPr>
            </w:pPr>
            <w:r>
              <w:rPr>
                <w:rFonts w:ascii="Arial" w:cs="Arial" w:eastAsia="Arial" w:hAnsi="Arial"/>
                <w:sz w:val="18"/>
                <w:szCs w:val="18"/>
                <w:color w:val="auto"/>
              </w:rPr>
              <w:t>Dividend yield</w:t>
            </w:r>
          </w:p>
        </w:tc>
        <w:tc>
          <w:tcPr>
            <w:tcW w:w="17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02"/>
        </w:trPr>
        <w:tc>
          <w:tcPr>
            <w:tcW w:w="34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460" w:type="dxa"/>
            <w:vAlign w:val="bottom"/>
            <w:shd w:val="clear" w:color="auto" w:fill="CCFFCC"/>
          </w:tcPr>
          <w:p>
            <w:pPr>
              <w:spacing w:after="0"/>
              <w:rPr>
                <w:sz w:val="17"/>
                <w:szCs w:val="17"/>
                <w:color w:val="auto"/>
              </w:rPr>
            </w:pPr>
          </w:p>
        </w:tc>
        <w:tc>
          <w:tcPr>
            <w:tcW w:w="2520" w:type="dxa"/>
            <w:vAlign w:val="bottom"/>
            <w:gridSpan w:val="3"/>
            <w:shd w:val="clear" w:color="auto" w:fill="CCFFCC"/>
          </w:tcPr>
          <w:p>
            <w:pPr>
              <w:ind w:left="100"/>
              <w:spacing w:after="0" w:line="201" w:lineRule="exact"/>
              <w:rPr>
                <w:sz w:val="20"/>
                <w:szCs w:val="20"/>
                <w:color w:val="auto"/>
              </w:rPr>
            </w:pPr>
            <w:r>
              <w:rPr>
                <w:rFonts w:ascii="Arial" w:cs="Arial" w:eastAsia="Arial" w:hAnsi="Arial"/>
                <w:sz w:val="18"/>
                <w:szCs w:val="18"/>
                <w:color w:val="auto"/>
                <w:w w:val="97"/>
              </w:rPr>
              <w:t>Probability and timing of down-</w:t>
            </w:r>
          </w:p>
        </w:tc>
        <w:tc>
          <w:tcPr>
            <w:tcW w:w="1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5% occurrence in</w:t>
            </w:r>
          </w:p>
        </w:tc>
      </w:tr>
      <w:tr>
        <w:trPr>
          <w:trHeight w:val="230"/>
        </w:trPr>
        <w:tc>
          <w:tcPr>
            <w:tcW w:w="34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460" w:type="dxa"/>
            <w:vAlign w:val="bottom"/>
            <w:shd w:val="clear" w:color="auto" w:fill="CCFFCC"/>
          </w:tcPr>
          <w:p>
            <w:pPr>
              <w:spacing w:after="0"/>
              <w:rPr>
                <w:sz w:val="20"/>
                <w:szCs w:val="20"/>
                <w:color w:val="auto"/>
              </w:rPr>
            </w:pPr>
          </w:p>
        </w:tc>
        <w:tc>
          <w:tcPr>
            <w:tcW w:w="2520" w:type="dxa"/>
            <w:vAlign w:val="bottom"/>
            <w:gridSpan w:val="3"/>
            <w:shd w:val="clear" w:color="auto" w:fill="CCFFCC"/>
          </w:tcPr>
          <w:p>
            <w:pPr>
              <w:ind w:left="100"/>
              <w:spacing w:after="0"/>
              <w:rPr>
                <w:sz w:val="20"/>
                <w:szCs w:val="20"/>
                <w:color w:val="auto"/>
              </w:rPr>
            </w:pPr>
            <w:r>
              <w:rPr>
                <w:rFonts w:ascii="Arial" w:cs="Arial" w:eastAsia="Arial" w:hAnsi="Arial"/>
                <w:sz w:val="18"/>
                <w:szCs w:val="18"/>
                <w:color w:val="auto"/>
              </w:rPr>
              <w:t>round triggering event</w:t>
            </w:r>
          </w:p>
        </w:tc>
        <w:tc>
          <w:tcPr>
            <w:tcW w:w="1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December 2014</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Had we made different assumptions about the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measure compensation cost for stock-based awards at fair value on the date of grant and recognize the cost over the service period in which the awards are expected to vest. For options granted to consultants, the measurement date of the option is the earlier of counterparty performance or performance commitment. Such options are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determine the fair value of stock options granted to employees, directors and consultants using the Black-Scholes-Merton and the Monte-Carlo (for grants that include market conditions) valuation models. Those models require us to make significant assumptions regarding the expected stock price volatility, the risk-free interest rate and the dividend yield, and the estimated period of time option grants will be outstanding before they are ultimately exercised. Since the Merger occurred on July 19, 2012, we still lack sufficient history to use our own historical volatility; as a result, we estimate our expected stock volatility based on historical stock volatility from comparable companies. The risk-free rate for the expected term of the option is based on the U.S. Treasury yield curve at the date of grant.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various inputs and assumptions utilized in connection with our option pricing models are highly subjective. Had we made different assumptions about the risk-free interest rate, expected stock price, volatility, or the estimated time that the options will be outstanding before they are ultimately exercised, the recorded expense, our net loss and net loss per share amounts could have been significantly different.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As part of the Merger purchase price allocation, we recorded a deferred tax liability in connection with the acquired technology. This deferred tax liability was offset by a deferred tax asset in the same amount. The deferred tax asset in respect of the remaining tax loss carryforwards has been offset by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FASB ASC 740, Income Taxes</w:t>
      </w:r>
      <w:r>
        <w:rPr>
          <w:rFonts w:ascii="Arial" w:cs="Arial" w:eastAsia="Arial" w:hAnsi="Arial"/>
          <w:sz w:val="18"/>
          <w:szCs w:val="18"/>
          <w:color w:val="auto"/>
        </w:rPr>
        <w:t>, prescribes how a company should recognize, measure, present and disclose in its financial statements uncertain tax</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December 2011, the FASB issued </w:t>
      </w:r>
      <w:r>
        <w:rPr>
          <w:rFonts w:ascii="Arial" w:cs="Arial" w:eastAsia="Arial" w:hAnsi="Arial"/>
          <w:sz w:val="17"/>
          <w:szCs w:val="17"/>
          <w:i w:val="1"/>
          <w:iCs w:val="1"/>
          <w:color w:val="auto"/>
        </w:rPr>
        <w:t>ASU No. 2011-11, Balance Sheet (Topic 210): Disclosures about Offsetting Assets and Liabilities</w:t>
      </w:r>
      <w:r>
        <w:rPr>
          <w:rFonts w:ascii="Arial" w:cs="Arial" w:eastAsia="Arial" w:hAnsi="Arial"/>
          <w:sz w:val="17"/>
          <w:szCs w:val="17"/>
          <w:color w:val="auto"/>
        </w:rPr>
        <w:t>.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The new standards are effective for annual periods beginning January 1, 2013, and interim periods within those annual periods. Retrospective application is required. We adopted the guidance as of January 1, 2013, as required. There was no material impact on our consolidated financial statements resulting from the adoption.</w:t>
      </w:r>
    </w:p>
    <w:p>
      <w:pPr>
        <w:sectPr>
          <w:pgSz w:w="11900" w:h="16838" w:orient="portrait"/>
          <w:cols w:equalWidth="0" w:num="1">
            <w:col w:w="11420"/>
          </w:cols>
          <w:pgMar w:left="240" w:top="341" w:right="239" w:bottom="0" w:gutter="0" w:footer="0" w:header="0"/>
        </w:sectPr>
      </w:pPr>
    </w:p>
    <w:bookmarkStart w:id="29" w:name="page30"/>
    <w:bookmarkEnd w:id="29"/>
    <w:p>
      <w:pPr>
        <w:jc w:val="center"/>
        <w:ind w:right="-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252730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Impact of Recently Issued But Not yet Adopted Accounting Pronouncements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In July 2013, the FASB issued </w:t>
      </w:r>
      <w:r>
        <w:rPr>
          <w:rFonts w:ascii="Arial" w:cs="Arial" w:eastAsia="Arial" w:hAnsi="Arial"/>
          <w:sz w:val="16"/>
          <w:szCs w:val="16"/>
          <w:i w:val="1"/>
          <w:iCs w:val="1"/>
          <w:color w:val="auto"/>
        </w:rPr>
        <w:t>ASU No. 2013-11, Presentation of an Unrecognized Tax Benefit When a Net Operating Loss Carryforward, a Similar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 Loss, or a Tax Credit Carryforward Exists, </w:t>
      </w:r>
      <w:r>
        <w:rPr>
          <w:rFonts w:ascii="Arial" w:cs="Arial" w:eastAsia="Arial" w:hAnsi="Arial"/>
          <w:sz w:val="16"/>
          <w:szCs w:val="16"/>
          <w:color w:val="auto"/>
        </w:rPr>
        <w:t>which provides guidance on the presentation of unrecognized tax benefits. This guidance requires an entity to</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an unrecognized tax benefit, or a portion of an unrecognized tax benefit,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guidance is effective for us beginning January 1, 2014 and should be applied prospectively with retroactive application permitted. We are currently evaluating the impact of this guidance on our consolidated financial statements, but we do not expect such impact to be 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Consolidated Financial Statements required by this Item are set forth in Item 15 beginning on page F-1 of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after evaluating the effectiveness of our disclosure controls and procedures (as defined in Rules 13a-15(e) and 15d-15(e) of the Securities Exchange Act of 1934, as amended) as of the end of the period covered by this Annual Report on Form 10-K, have concluded that, based on such evaluation,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and principal financial officers, or persons performing similar functions, as appropriate, to allow timely decisions regarding required disclosure.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of such internal control that occurred during the fourth quarter ended December 31, 2013 that have materially affected, or are reasonably likely to materially affect, our internal control over financial reporting.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as amended.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management conducted an evaluation of the effectiveness of our internal control over financial reporting as of December 31, 2013, based on the framework in Internal Control—Integrated Framework issued by the Committee of Sponsoring Organizations of the Treadway Commission (1992 framework). Based on this evaluation, management concluded that our internal control over financial reporting was effective as of December 31, 2013.</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independent registered public accounting firm, Somekh Chaikin, a member firm of KPMG International, has issued an audit report on the Company’s internal control over financial reporting, which appears in Part IV, Item 15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2014 Annual Meeting of Stockholders to be filed with the SEC under the captions “Management and Corporate Governance Matters,” “Section 16(a) Beneficial Ownership Reporting Compliance,” and “Code of Conduct and Ethics” is incorporated by reference in this Item 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2014 Annual Meeting of Stockholders to be filed with the SEC under the captions “Executive Officer and Director Compensation” and “Management and Corporate Governance” and is incorporated by reference in this Item 11.</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2014 Annual Meeting of Stockholders to be filed with the SEC under the captions “Security Ownership of Certain Beneficial Owners and Management” and “Equity Compensation Plan Information” and is incorporated by reference in this Item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2014 Annual Meeting of Stockholders to be filed with the SEC under the captions “Certain Relationships and Related Person Transactions” and “Management and Corporate Governance” and is incorporated by reference in this Item 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called for by this Item may be found in our definitive Proxy Statement in connection with our 2014 Annual Meeting of Stockholders to be filed with the SEC under the caption “Independent Registered Public Accounting Firm” and is incorporated by reference in this Item 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For the financial statements included in this annual report, see “Index to the Financial Statements” on page F-1.</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All schedules are omitted because they are not applicable or because the required information is shown under Item 8, “Financial Statements and Supplementary Data.”</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list of exhibits filed as a part of this annual report is set forth on the Exhibit Index immediately preceding such exhibits and is incorporated by reference in this Item 15(a)(3).</w:t>
      </w:r>
    </w:p>
    <w:p>
      <w:pPr>
        <w:spacing w:after="0" w:line="170"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Exhibit Index.</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Separate Financial Statements and Schedules</w:t>
      </w:r>
      <w:r>
        <w:rPr>
          <w:rFonts w:ascii="Arial" w:cs="Arial" w:eastAsia="Arial" w:hAnsi="Arial"/>
          <w:sz w:val="18"/>
          <w:szCs w:val="18"/>
          <w:color w:val="auto"/>
        </w:rPr>
        <w:t>. None.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00" w:type="dxa"/>
            <w:vAlign w:val="bottom"/>
            <w:tcBorders>
              <w:bottom w:val="single" w:sz="8" w:color="CCFFCC"/>
            </w:tcBorders>
          </w:tcPr>
          <w:p>
            <w:pPr>
              <w:spacing w:after="0"/>
              <w:rPr>
                <w:sz w:val="20"/>
                <w:szCs w:val="20"/>
                <w:color w:val="auto"/>
              </w:rPr>
            </w:pPr>
          </w:p>
        </w:tc>
        <w:tc>
          <w:tcPr>
            <w:tcW w:w="536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536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w:t>
            </w:r>
          </w:p>
        </w:tc>
        <w:tc>
          <w:tcPr>
            <w:tcW w:w="536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Operations</w:t>
            </w:r>
          </w:p>
        </w:tc>
        <w:tc>
          <w:tcPr>
            <w:tcW w:w="536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Statements of Changes in Stockholders' Equity</w:t>
            </w:r>
          </w:p>
        </w:tc>
        <w:tc>
          <w:tcPr>
            <w:tcW w:w="536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536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F-6-F-7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Notes to the Consolidated Financial Statements</w:t>
            </w:r>
          </w:p>
        </w:tc>
        <w:tc>
          <w:tcPr>
            <w:tcW w:w="5360" w:type="dxa"/>
            <w:vAlign w:val="bottom"/>
            <w:shd w:val="clear" w:color="auto" w:fill="CCFFCC"/>
          </w:tcPr>
          <w:p>
            <w:pPr>
              <w:spacing w:after="0"/>
              <w:rPr>
                <w:sz w:val="18"/>
                <w:szCs w:val="18"/>
                <w:color w:val="auto"/>
              </w:rPr>
            </w:pP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F-8-F-20</w:t>
            </w: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500" w:type="dxa"/>
            <w:vAlign w:val="bottom"/>
            <w:gridSpan w:val="2"/>
          </w:tcPr>
          <w:p>
            <w:pPr>
              <w:ind w:left="6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33" w:name="page34"/>
    <w:bookmarkEnd w:id="33"/>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and Stockholders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audited the accompanying consolidated balance sheets of Vringo, Inc. and subsidiaries (a development stage company) (the “Company”) as of December 31, 2013 and 2012, and the related consolidated statements of operations, stockholders’ equity, and cash flows for the years ended December 31, 2013 and 2012 and for the period from June 8, 2011 (inception) to December 31, 2013. We also have audited Vringo Inc.’s internal control over financial reporting as of December 31, 2013, based on criteria established in Internal Control – Integrated Framework (1992),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consolidated financial statements and an opinion on the Company’s internal control over financial reporting based on our audits.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Vringo, Inc. and subsidiaries (a development stage company) as of December 31, 2013 and 2012, and the results of their operations and their cash flows for each of the years then ended, and for the cumulative period from June 8, 2011 (date of inception) to December 31, 2013, in conformity with U.S. generally accepted accounting principles. Also in our opinion, the Company maintained, in all material respects, effective internal control over financial reporting as of December 31, 2013, based on criteria established in Internal Control – Integrated Framework (1992) issued by the Committee of Sponsoring Organizations of the Treadway Commission (“COSO”).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Somekh Chaikin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member firm of KPMG International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Jerusalem, Israel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March 10, 2014</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December 31,</w:t>
            </w: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shd w:val="clear" w:color="auto" w:fill="CCFFCC"/>
          </w:tcPr>
          <w:p>
            <w:pPr>
              <w:spacing w:after="0"/>
              <w:rPr>
                <w:sz w:val="18"/>
                <w:szCs w:val="18"/>
                <w:color w:val="auto"/>
              </w:rPr>
            </w:pPr>
          </w:p>
        </w:tc>
        <w:tc>
          <w:tcPr>
            <w:tcW w:w="14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33,586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56,960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Assets held for sale</w:t>
            </w:r>
          </w:p>
        </w:tc>
        <w:tc>
          <w:tcPr>
            <w:tcW w:w="140" w:type="dxa"/>
            <w:vAlign w:val="bottom"/>
            <w:shd w:val="clear" w:color="auto" w:fill="CCFFCC"/>
          </w:tcPr>
          <w:p>
            <w:pPr>
              <w:spacing w:after="0"/>
              <w:rPr>
                <w:sz w:val="18"/>
                <w:szCs w:val="18"/>
                <w:color w:val="auto"/>
              </w:rPr>
            </w:pPr>
          </w:p>
        </w:tc>
        <w:tc>
          <w:tcPr>
            <w:tcW w:w="1460" w:type="dxa"/>
            <w:vAlign w:val="bottom"/>
            <w:tcBorders>
              <w:right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787</w:t>
            </w: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455</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auto"/>
            </w:tcBorders>
            <w:shd w:val="clear" w:color="auto" w:fill="CCFFCC"/>
          </w:tcPr>
          <w:p>
            <w:pPr>
              <w:spacing w:after="0"/>
              <w:rPr>
                <w:sz w:val="18"/>
                <w:szCs w:val="18"/>
                <w:color w:val="auto"/>
              </w:rPr>
            </w:pPr>
          </w:p>
        </w:tc>
        <w:tc>
          <w:tcPr>
            <w:tcW w:w="1460" w:type="dxa"/>
            <w:vAlign w:val="bottom"/>
            <w:tcBorders>
              <w:bottom w:val="single" w:sz="8" w:color="auto"/>
              <w:right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34,828</w:t>
            </w:r>
          </w:p>
        </w:tc>
        <w:tc>
          <w:tcPr>
            <w:tcW w:w="14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57,429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Long-term deposits</w:t>
            </w:r>
          </w:p>
        </w:tc>
        <w:tc>
          <w:tcPr>
            <w:tcW w:w="140" w:type="dxa"/>
            <w:vAlign w:val="bottom"/>
            <w:shd w:val="clear" w:color="auto" w:fill="CCFFCC"/>
          </w:tcPr>
          <w:p>
            <w:pPr>
              <w:spacing w:after="0"/>
              <w:rPr>
                <w:sz w:val="18"/>
                <w:szCs w:val="18"/>
                <w:color w:val="auto"/>
              </w:rPr>
            </w:pPr>
          </w:p>
        </w:tc>
        <w:tc>
          <w:tcPr>
            <w:tcW w:w="1460" w:type="dxa"/>
            <w:vAlign w:val="bottom"/>
            <w:tcBorders>
              <w:right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247</w:t>
            </w: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230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FFCC"/>
          </w:tcPr>
          <w:p>
            <w:pPr>
              <w:spacing w:after="0"/>
              <w:rPr>
                <w:sz w:val="18"/>
                <w:szCs w:val="18"/>
                <w:color w:val="auto"/>
              </w:rPr>
            </w:pPr>
          </w:p>
        </w:tc>
        <w:tc>
          <w:tcPr>
            <w:tcW w:w="1460" w:type="dxa"/>
            <w:vAlign w:val="bottom"/>
            <w:tcBorders>
              <w:right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22,748</w:t>
            </w: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34,044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65,757</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123,810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157,786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460" w:type="dxa"/>
            <w:vAlign w:val="bottom"/>
            <w:tcBorders>
              <w:top w:val="single" w:sz="8" w:color="auto"/>
              <w:right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3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right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5,146</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14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299</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Derivative liabilities on account of warrants</w:t>
            </w:r>
          </w:p>
        </w:tc>
        <w:tc>
          <w:tcPr>
            <w:tcW w:w="140" w:type="dxa"/>
            <w:vAlign w:val="bottom"/>
            <w:shd w:val="clear" w:color="auto" w:fill="CCFFCC"/>
          </w:tcPr>
          <w:p>
            <w:pPr>
              <w:spacing w:after="0"/>
              <w:rPr>
                <w:sz w:val="18"/>
                <w:szCs w:val="18"/>
                <w:color w:val="auto"/>
              </w:rPr>
            </w:pPr>
          </w:p>
        </w:tc>
        <w:tc>
          <w:tcPr>
            <w:tcW w:w="1460" w:type="dxa"/>
            <w:vAlign w:val="bottom"/>
            <w:tcBorders>
              <w:right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43</w:t>
            </w: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5,488</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Derivative liabilities on account of warrants</w:t>
            </w:r>
          </w:p>
        </w:tc>
        <w:tc>
          <w:tcPr>
            <w:tcW w:w="140" w:type="dxa"/>
            <w:vAlign w:val="bottom"/>
            <w:shd w:val="clear" w:color="auto" w:fill="CCFFCC"/>
          </w:tcPr>
          <w:p>
            <w:pPr>
              <w:spacing w:after="0"/>
              <w:rPr>
                <w:sz w:val="18"/>
                <w:szCs w:val="18"/>
                <w:color w:val="auto"/>
              </w:rPr>
            </w:pPr>
          </w:p>
        </w:tc>
        <w:tc>
          <w:tcPr>
            <w:tcW w:w="1460" w:type="dxa"/>
            <w:vAlign w:val="bottom"/>
            <w:tcBorders>
              <w:right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4,040</w:t>
            </w: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7,612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Commitments and contingencies (Note 12)</w:t>
            </w:r>
          </w:p>
        </w:tc>
        <w:tc>
          <w:tcPr>
            <w:tcW w:w="140" w:type="dxa"/>
            <w:vAlign w:val="bottom"/>
            <w:shd w:val="clear" w:color="auto" w:fill="CCFFCC"/>
          </w:tcPr>
          <w:p>
            <w:pPr>
              <w:spacing w:after="0"/>
              <w:rPr>
                <w:sz w:val="18"/>
                <w:szCs w:val="18"/>
                <w:color w:val="auto"/>
              </w:rPr>
            </w:pPr>
          </w:p>
        </w:tc>
        <w:tc>
          <w:tcPr>
            <w:tcW w:w="14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FFCC"/>
          </w:tcPr>
          <w:p>
            <w:pPr>
              <w:spacing w:after="0"/>
              <w:rPr>
                <w:sz w:val="18"/>
                <w:szCs w:val="18"/>
                <w:color w:val="auto"/>
              </w:rPr>
            </w:pPr>
          </w:p>
        </w:tc>
        <w:tc>
          <w:tcPr>
            <w:tcW w:w="14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tcPr>
          <w:p>
            <w:pPr>
              <w:spacing w:after="0" w:line="201" w:lineRule="exact"/>
              <w:rPr>
                <w:sz w:val="20"/>
                <w:szCs w:val="20"/>
                <w:color w:val="auto"/>
              </w:rPr>
            </w:pPr>
            <w:r>
              <w:rPr>
                <w:rFonts w:ascii="Arial" w:cs="Arial" w:eastAsia="Arial" w:hAnsi="Arial"/>
                <w:sz w:val="18"/>
                <w:szCs w:val="18"/>
                <w:color w:val="auto"/>
              </w:rPr>
              <w:t>Series A Convertible Preferred stock, $0.01 par value per share; 5,000,000</w:t>
            </w:r>
          </w:p>
        </w:tc>
        <w:tc>
          <w:tcPr>
            <w:tcW w:w="140" w:type="dxa"/>
            <w:vAlign w:val="bottom"/>
          </w:tcPr>
          <w:p>
            <w:pPr>
              <w:spacing w:after="0"/>
              <w:rPr>
                <w:sz w:val="17"/>
                <w:szCs w:val="17"/>
                <w:color w:val="auto"/>
              </w:rPr>
            </w:pPr>
          </w:p>
        </w:tc>
        <w:tc>
          <w:tcPr>
            <w:tcW w:w="14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authorized; none issued and outstanding</w:t>
            </w:r>
          </w:p>
        </w:tc>
        <w:tc>
          <w:tcPr>
            <w:tcW w:w="14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Common stock, $0.01 par value per share 150,000,000 and 100,000,000</w:t>
            </w:r>
          </w:p>
        </w:tc>
        <w:tc>
          <w:tcPr>
            <w:tcW w:w="140" w:type="dxa"/>
            <w:vAlign w:val="bottom"/>
            <w:shd w:val="clear" w:color="auto" w:fill="CCFFCC"/>
          </w:tcPr>
          <w:p>
            <w:pPr>
              <w:spacing w:after="0"/>
              <w:rPr>
                <w:sz w:val="17"/>
                <w:szCs w:val="17"/>
                <w:color w:val="auto"/>
              </w:rPr>
            </w:pPr>
          </w:p>
        </w:tc>
        <w:tc>
          <w:tcPr>
            <w:tcW w:w="1460" w:type="dxa"/>
            <w:vAlign w:val="bottom"/>
            <w:tcBorders>
              <w:right w:val="single" w:sz="8" w:color="CCFFCC"/>
            </w:tcBorders>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authorized; 84,502,653 and 81,889,226 issued and outstanding as</w:t>
            </w:r>
          </w:p>
        </w:tc>
        <w:tc>
          <w:tcPr>
            <w:tcW w:w="140" w:type="dxa"/>
            <w:vAlign w:val="bottom"/>
            <w:shd w:val="clear" w:color="auto" w:fill="CCFFCC"/>
          </w:tcPr>
          <w:p>
            <w:pPr>
              <w:spacing w:after="0"/>
              <w:rPr>
                <w:sz w:val="18"/>
                <w:szCs w:val="18"/>
                <w:color w:val="auto"/>
              </w:rPr>
            </w:pPr>
          </w:p>
        </w:tc>
        <w:tc>
          <w:tcPr>
            <w:tcW w:w="1460" w:type="dxa"/>
            <w:vAlign w:val="bottom"/>
            <w:tcBorders>
              <w:right w:val="single" w:sz="8" w:color="CCFFCC"/>
            </w:tcBorders>
            <w:vMerge w:val="restart"/>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845</w:t>
            </w: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of December 31, 2013 and 2012, respectively</w:t>
            </w:r>
          </w:p>
        </w:tc>
        <w:tc>
          <w:tcPr>
            <w:tcW w:w="140" w:type="dxa"/>
            <w:vAlign w:val="bottom"/>
            <w:shd w:val="clear" w:color="auto" w:fill="CCFFCC"/>
          </w:tcPr>
          <w:p>
            <w:pPr>
              <w:spacing w:after="0"/>
              <w:rPr>
                <w:sz w:val="20"/>
                <w:szCs w:val="20"/>
                <w:color w:val="auto"/>
              </w:rPr>
            </w:pPr>
          </w:p>
        </w:tc>
        <w:tc>
          <w:tcPr>
            <w:tcW w:w="1460" w:type="dxa"/>
            <w:vAlign w:val="bottom"/>
            <w:tcBorders>
              <w:right w:val="single" w:sz="8" w:color="CCFFCC"/>
            </w:tcBorders>
            <w:vMerge w:val="continue"/>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189,465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color w:val="auto"/>
              </w:rPr>
              <w:t>Deficit accumulated during the development stage</w:t>
            </w:r>
          </w:p>
        </w:tc>
        <w:tc>
          <w:tcPr>
            <w:tcW w:w="140" w:type="dxa"/>
            <w:vAlign w:val="bottom"/>
            <w:shd w:val="clear" w:color="auto" w:fill="CCFFCC"/>
          </w:tcPr>
          <w:p>
            <w:pPr>
              <w:spacing w:after="0"/>
              <w:rPr>
                <w:sz w:val="18"/>
                <w:szCs w:val="18"/>
                <w:color w:val="auto"/>
              </w:rPr>
            </w:pPr>
          </w:p>
        </w:tc>
        <w:tc>
          <w:tcPr>
            <w:tcW w:w="146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(76,028)</w:t>
            </w: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(23,595)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auto"/>
            </w:tcBorders>
            <w:shd w:val="clear" w:color="auto" w:fill="CCFFCC"/>
          </w:tcPr>
          <w:p>
            <w:pPr>
              <w:spacing w:after="0"/>
              <w:rPr>
                <w:sz w:val="18"/>
                <w:szCs w:val="18"/>
                <w:color w:val="auto"/>
              </w:rPr>
            </w:pPr>
          </w:p>
        </w:tc>
        <w:tc>
          <w:tcPr>
            <w:tcW w:w="1460" w:type="dxa"/>
            <w:vAlign w:val="bottom"/>
            <w:tcBorders>
              <w:bottom w:val="single" w:sz="8" w:color="auto"/>
              <w:right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114,282</w:t>
            </w:r>
          </w:p>
        </w:tc>
        <w:tc>
          <w:tcPr>
            <w:tcW w:w="14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148,332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right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123,810</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157,786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8220" w:type="dxa"/>
            <w:vAlign w:val="bottom"/>
          </w:tcPr>
          <w:p>
            <w:pPr>
              <w:ind w:left="5580"/>
              <w:spacing w:after="0"/>
              <w:rPr>
                <w:sz w:val="20"/>
                <w:szCs w:val="20"/>
                <w:color w:val="auto"/>
              </w:rPr>
            </w:pPr>
            <w:r>
              <w:rPr>
                <w:rFonts w:ascii="Arial" w:cs="Arial" w:eastAsia="Arial" w:hAnsi="Arial"/>
                <w:sz w:val="18"/>
                <w:szCs w:val="18"/>
                <w:color w:val="auto"/>
              </w:rPr>
              <w:t>F-3</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Cumulative from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8, 2011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(Inception) through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For the year ended December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Borders>
              <w:bottom w:val="single" w:sz="8" w:color="CCFFC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top w:val="single" w:sz="8" w:color="auto"/>
              <w:bottom w:val="single" w:sz="8" w:color="CCFFC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2012</w:t>
            </w:r>
          </w:p>
        </w:tc>
        <w:tc>
          <w:tcPr>
            <w:tcW w:w="40" w:type="dxa"/>
            <w:vAlign w:val="bottom"/>
            <w:tcBorders>
              <w:bottom w:val="single" w:sz="8" w:color="CCFFCC"/>
            </w:tcBorders>
          </w:tcPr>
          <w:p>
            <w:pPr>
              <w:spacing w:after="0"/>
              <w:rPr>
                <w:sz w:val="17"/>
                <w:szCs w:val="17"/>
                <w:color w:val="auto"/>
              </w:rPr>
            </w:pPr>
          </w:p>
        </w:tc>
        <w:tc>
          <w:tcPr>
            <w:tcW w:w="60" w:type="dxa"/>
            <w:vAlign w:val="bottom"/>
            <w:tcBorders>
              <w:bottom w:val="single" w:sz="8" w:color="CCFFC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Revenue</w:t>
            </w:r>
          </w:p>
        </w:tc>
        <w:tc>
          <w:tcPr>
            <w:tcW w:w="400" w:type="dxa"/>
            <w:vAlign w:val="bottom"/>
            <w:tcBorders>
              <w:bottom w:val="single" w:sz="8" w:color="auto"/>
            </w:tcBorders>
            <w:shd w:val="clear" w:color="auto" w:fill="CCFFCC"/>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1,100</w:t>
            </w:r>
          </w:p>
        </w:tc>
        <w:tc>
          <w:tcPr>
            <w:tcW w:w="140" w:type="dxa"/>
            <w:vAlign w:val="bottom"/>
            <w:shd w:val="clear" w:color="auto" w:fill="CCFFCC"/>
          </w:tcPr>
          <w:p>
            <w:pPr>
              <w:spacing w:after="0"/>
              <w:rPr>
                <w:sz w:val="17"/>
                <w:szCs w:val="17"/>
                <w:color w:val="auto"/>
              </w:rPr>
            </w:pPr>
          </w:p>
        </w:tc>
        <w:tc>
          <w:tcPr>
            <w:tcW w:w="400" w:type="dxa"/>
            <w:vAlign w:val="bottom"/>
            <w:tcBorders>
              <w:bottom w:val="single" w:sz="8" w:color="auto"/>
            </w:tcBorders>
            <w:shd w:val="clear" w:color="auto" w:fill="CCFFCC"/>
          </w:tcPr>
          <w:p>
            <w:pPr>
              <w:jc w:val="right"/>
              <w:ind w:right="24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Costs and Expenses*</w:t>
            </w:r>
          </w:p>
        </w:tc>
        <w:tc>
          <w:tcPr>
            <w:tcW w:w="400" w:type="dxa"/>
            <w:vAlign w:val="bottom"/>
            <w:shd w:val="clear" w:color="auto" w:fill="CCFFCC"/>
          </w:tcPr>
          <w:p>
            <w:pPr>
              <w:spacing w:after="0"/>
              <w:rPr>
                <w:sz w:val="17"/>
                <w:szCs w:val="17"/>
                <w:color w:val="auto"/>
              </w:rPr>
            </w:pPr>
          </w:p>
        </w:tc>
        <w:tc>
          <w:tcPr>
            <w:tcW w:w="14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4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Operating legal costs</w:t>
            </w: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25,035</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11,702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38,298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6"/>
                <w:szCs w:val="16"/>
                <w:color w:val="auto"/>
              </w:rPr>
              <w:t>Research and development</w:t>
            </w:r>
          </w:p>
        </w:tc>
        <w:tc>
          <w:tcPr>
            <w:tcW w:w="400" w:type="dxa"/>
            <w:vAlign w:val="bottom"/>
            <w:shd w:val="clear" w:color="auto" w:fill="CCFFCC"/>
          </w:tcPr>
          <w:p>
            <w:pPr>
              <w:spacing w:after="0"/>
              <w:rPr>
                <w:sz w:val="17"/>
                <w:szCs w:val="17"/>
                <w:color w:val="auto"/>
              </w:rPr>
            </w:pPr>
          </w:p>
        </w:tc>
        <w:tc>
          <w:tcPr>
            <w:tcW w:w="14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1,512</w:t>
            </w:r>
          </w:p>
        </w:tc>
        <w:tc>
          <w:tcPr>
            <w:tcW w:w="1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4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543</w:t>
            </w: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bottom w:val="single" w:sz="8" w:color="CCFFCC"/>
            </w:tcBorders>
          </w:tcPr>
          <w:p>
            <w:pPr>
              <w:spacing w:after="0"/>
              <w:rPr>
                <w:sz w:val="20"/>
                <w:szCs w:val="20"/>
                <w:color w:val="auto"/>
              </w:rPr>
            </w:pPr>
            <w:r>
              <w:rPr>
                <w:rFonts w:ascii="Arial" w:cs="Arial" w:eastAsia="Arial" w:hAnsi="Arial"/>
                <w:sz w:val="16"/>
                <w:szCs w:val="16"/>
                <w:color w:val="auto"/>
              </w:rPr>
              <w:t>General and administrative</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15,330</w:t>
            </w:r>
          </w:p>
        </w:tc>
        <w:tc>
          <w:tcPr>
            <w:tcW w:w="140" w:type="dxa"/>
            <w:vAlign w:val="bottom"/>
            <w:tcBorders>
              <w:bottom w:val="single" w:sz="8" w:color="CCFFC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10,226</w:t>
            </w:r>
          </w:p>
        </w:tc>
        <w:tc>
          <w:tcPr>
            <w:tcW w:w="40" w:type="dxa"/>
            <w:vAlign w:val="bottom"/>
            <w:tcBorders>
              <w:bottom w:val="single" w:sz="8" w:color="CCFFCC"/>
            </w:tcBorders>
          </w:tcPr>
          <w:p>
            <w:pPr>
              <w:spacing w:after="0"/>
              <w:rPr>
                <w:sz w:val="17"/>
                <w:szCs w:val="17"/>
                <w:color w:val="auto"/>
              </w:rPr>
            </w:pPr>
          </w:p>
        </w:tc>
        <w:tc>
          <w:tcPr>
            <w:tcW w:w="60" w:type="dxa"/>
            <w:vAlign w:val="bottom"/>
            <w:tcBorders>
              <w:bottom w:val="single" w:sz="8" w:color="CCFFC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26,741</w:t>
            </w:r>
          </w:p>
        </w:tc>
        <w:tc>
          <w:tcPr>
            <w:tcW w:w="10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Total operating expenses</w:t>
            </w:r>
          </w:p>
        </w:tc>
        <w:tc>
          <w:tcPr>
            <w:tcW w:w="400" w:type="dxa"/>
            <w:vAlign w:val="bottom"/>
            <w:tcBorders>
              <w:bottom w:val="single" w:sz="8" w:color="auto"/>
            </w:tcBorders>
            <w:shd w:val="clear" w:color="auto" w:fill="CCFFCC"/>
          </w:tcPr>
          <w:p>
            <w:pPr>
              <w:spacing w:after="0"/>
              <w:rPr>
                <w:sz w:val="17"/>
                <w:szCs w:val="17"/>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41,877</w:t>
            </w:r>
          </w:p>
        </w:tc>
        <w:tc>
          <w:tcPr>
            <w:tcW w:w="140" w:type="dxa"/>
            <w:vAlign w:val="bottom"/>
            <w:shd w:val="clear" w:color="auto" w:fill="CCFFCC"/>
          </w:tcPr>
          <w:p>
            <w:pPr>
              <w:spacing w:after="0"/>
              <w:rPr>
                <w:sz w:val="17"/>
                <w:szCs w:val="17"/>
                <w:color w:val="auto"/>
              </w:rPr>
            </w:pPr>
          </w:p>
        </w:tc>
        <w:tc>
          <w:tcPr>
            <w:tcW w:w="400" w:type="dxa"/>
            <w:vAlign w:val="bottom"/>
            <w:tcBorders>
              <w:bottom w:val="single" w:sz="8" w:color="auto"/>
            </w:tcBorders>
            <w:shd w:val="clear" w:color="auto" w:fill="CCFFCC"/>
          </w:tcPr>
          <w:p>
            <w:pPr>
              <w:spacing w:after="0"/>
              <w:rPr>
                <w:sz w:val="17"/>
                <w:szCs w:val="17"/>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22,471</w:t>
            </w: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1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67,094</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CCFFCC"/>
            </w:tcBorders>
          </w:tcPr>
          <w:p>
            <w:pPr>
              <w:spacing w:after="0"/>
              <w:rPr>
                <w:sz w:val="20"/>
                <w:szCs w:val="20"/>
                <w:color w:val="auto"/>
              </w:rPr>
            </w:pPr>
            <w:r>
              <w:rPr>
                <w:rFonts w:ascii="Arial" w:cs="Arial" w:eastAsia="Arial" w:hAnsi="Arial"/>
                <w:sz w:val="16"/>
                <w:szCs w:val="16"/>
                <w:b w:val="1"/>
                <w:bCs w:val="1"/>
                <w:color w:val="auto"/>
              </w:rPr>
              <w:t>Operating loss from continuing operations</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(40,777)</w:t>
            </w:r>
          </w:p>
        </w:tc>
        <w:tc>
          <w:tcPr>
            <w:tcW w:w="140" w:type="dxa"/>
            <w:vAlign w:val="bottom"/>
            <w:tcBorders>
              <w:bottom w:val="single" w:sz="8" w:color="CCFFC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(22,371)</w:t>
            </w:r>
          </w:p>
        </w:tc>
        <w:tc>
          <w:tcPr>
            <w:tcW w:w="40" w:type="dxa"/>
            <w:vAlign w:val="bottom"/>
            <w:tcBorders>
              <w:bottom w:val="single" w:sz="8" w:color="CCFFCC"/>
            </w:tcBorders>
          </w:tcPr>
          <w:p>
            <w:pPr>
              <w:spacing w:after="0"/>
              <w:rPr>
                <w:sz w:val="17"/>
                <w:szCs w:val="17"/>
                <w:color w:val="auto"/>
              </w:rPr>
            </w:pPr>
          </w:p>
        </w:tc>
        <w:tc>
          <w:tcPr>
            <w:tcW w:w="60" w:type="dxa"/>
            <w:vAlign w:val="bottom"/>
            <w:tcBorders>
              <w:bottom w:val="single" w:sz="8" w:color="CCFFC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(65,894)</w:t>
            </w:r>
          </w:p>
        </w:tc>
        <w:tc>
          <w:tcPr>
            <w:tcW w:w="10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4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4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Non-operating income</w:t>
            </w: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245</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6"/>
                <w:szCs w:val="16"/>
                <w:color w:val="auto"/>
              </w:rPr>
              <w:t>Non-operating expenses</w:t>
            </w:r>
          </w:p>
        </w:tc>
        <w:tc>
          <w:tcPr>
            <w:tcW w:w="400" w:type="dxa"/>
            <w:vAlign w:val="bottom"/>
            <w:shd w:val="clear" w:color="auto" w:fill="CCFFCC"/>
          </w:tcPr>
          <w:p>
            <w:pPr>
              <w:spacing w:after="0"/>
              <w:rPr>
                <w:sz w:val="17"/>
                <w:szCs w:val="17"/>
                <w:color w:val="auto"/>
              </w:rPr>
            </w:pP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(20)</w:t>
            </w:r>
          </w:p>
        </w:tc>
        <w:tc>
          <w:tcPr>
            <w:tcW w:w="400" w:type="dxa"/>
            <w:vAlign w:val="bottom"/>
            <w:shd w:val="clear" w:color="auto" w:fill="CCFFCC"/>
          </w:tcPr>
          <w:p>
            <w:pPr>
              <w:spacing w:after="0"/>
              <w:rPr>
                <w:sz w:val="17"/>
                <w:szCs w:val="17"/>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(20)</w:t>
            </w: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7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Issuance of warrants</w:t>
            </w:r>
          </w:p>
        </w:tc>
        <w:tc>
          <w:tcPr>
            <w:tcW w:w="40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7"/>
                <w:szCs w:val="17"/>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(2,883)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(2,883)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6"/>
                <w:szCs w:val="16"/>
                <w:color w:val="auto"/>
              </w:rPr>
              <w:t>Gain (loss) on revaluation of warrants</w:t>
            </w:r>
          </w:p>
        </w:tc>
        <w:tc>
          <w:tcPr>
            <w:tcW w:w="400" w:type="dxa"/>
            <w:vAlign w:val="bottom"/>
            <w:shd w:val="clear" w:color="auto" w:fill="CCFFCC"/>
          </w:tcPr>
          <w:p>
            <w:pPr>
              <w:spacing w:after="0"/>
              <w:rPr>
                <w:sz w:val="17"/>
                <w:szCs w:val="17"/>
                <w:color w:val="auto"/>
              </w:rPr>
            </w:pP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(1,196)</w:t>
            </w:r>
          </w:p>
        </w:tc>
        <w:tc>
          <w:tcPr>
            <w:tcW w:w="400" w:type="dxa"/>
            <w:vAlign w:val="bottom"/>
            <w:shd w:val="clear" w:color="auto" w:fill="CCFFCC"/>
          </w:tcPr>
          <w:p>
            <w:pPr>
              <w:spacing w:after="0"/>
              <w:rPr>
                <w:sz w:val="17"/>
                <w:szCs w:val="17"/>
                <w:color w:val="auto"/>
              </w:rPr>
            </w:pPr>
          </w:p>
        </w:tc>
        <w:tc>
          <w:tcPr>
            <w:tcW w:w="14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6,847</w:t>
            </w: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5,651</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Loss from continuing operations before taxes on income</w:t>
            </w:r>
          </w:p>
        </w:tc>
        <w:tc>
          <w:tcPr>
            <w:tcW w:w="400" w:type="dxa"/>
            <w:vAlign w:val="bottom"/>
            <w:shd w:val="clear" w:color="auto" w:fill="CCFFCC"/>
          </w:tcPr>
          <w:p>
            <w:pPr>
              <w:spacing w:after="0"/>
              <w:rPr>
                <w:sz w:val="17"/>
                <w:szCs w:val="17"/>
                <w:color w:val="auto"/>
              </w:rPr>
            </w:pP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(41,748)</w:t>
            </w:r>
          </w:p>
        </w:tc>
        <w:tc>
          <w:tcPr>
            <w:tcW w:w="400" w:type="dxa"/>
            <w:vAlign w:val="bottom"/>
            <w:shd w:val="clear" w:color="auto" w:fill="CCFFCC"/>
          </w:tcPr>
          <w:p>
            <w:pPr>
              <w:spacing w:after="0"/>
              <w:rPr>
                <w:sz w:val="17"/>
                <w:szCs w:val="17"/>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(18,409)</w:t>
            </w: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7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(62,911)</w:t>
            </w:r>
          </w:p>
        </w:tc>
        <w:tc>
          <w:tcPr>
            <w:tcW w:w="0" w:type="dxa"/>
            <w:vAlign w:val="bottom"/>
          </w:tcPr>
          <w:p>
            <w:pPr>
              <w:spacing w:after="0"/>
              <w:rPr>
                <w:sz w:val="1"/>
                <w:szCs w:val="1"/>
                <w:color w:val="auto"/>
              </w:rPr>
            </w:pPr>
          </w:p>
        </w:tc>
      </w:tr>
      <w:tr>
        <w:trPr>
          <w:trHeight w:val="196"/>
        </w:trPr>
        <w:tc>
          <w:tcPr>
            <w:tcW w:w="562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4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00" w:type="dxa"/>
            <w:vAlign w:val="bottom"/>
            <w:tcBorders>
              <w:top w:val="single" w:sz="8" w:color="CCFFCC"/>
            </w:tcBorders>
            <w:shd w:val="clear" w:color="auto" w:fill="CCFFCC"/>
          </w:tcPr>
          <w:p>
            <w:pPr>
              <w:spacing w:after="0"/>
              <w:rPr>
                <w:sz w:val="17"/>
                <w:szCs w:val="17"/>
                <w:color w:val="auto"/>
              </w:rPr>
            </w:pPr>
          </w:p>
        </w:tc>
        <w:tc>
          <w:tcPr>
            <w:tcW w:w="400" w:type="dxa"/>
            <w:vAlign w:val="bottom"/>
            <w:tcBorders>
              <w:top w:val="single" w:sz="8" w:color="auto"/>
            </w:tcBorders>
            <w:shd w:val="clear" w:color="auto" w:fill="CCFFCC"/>
          </w:tcPr>
          <w:p>
            <w:pPr>
              <w:spacing w:after="0"/>
              <w:rPr>
                <w:sz w:val="17"/>
                <w:szCs w:val="17"/>
                <w:color w:val="auto"/>
              </w:rPr>
            </w:pPr>
          </w:p>
        </w:tc>
        <w:tc>
          <w:tcPr>
            <w:tcW w:w="142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400" w:type="dxa"/>
            <w:vAlign w:val="bottom"/>
            <w:tcBorders>
              <w:top w:val="single" w:sz="8" w:color="auto"/>
            </w:tcBorders>
            <w:shd w:val="clear" w:color="auto" w:fill="CCFFCC"/>
          </w:tcPr>
          <w:p>
            <w:pPr>
              <w:spacing w:after="0"/>
              <w:rPr>
                <w:sz w:val="17"/>
                <w:szCs w:val="17"/>
                <w:color w:val="auto"/>
              </w:rPr>
            </w:pPr>
          </w:p>
        </w:tc>
        <w:tc>
          <w:tcPr>
            <w:tcW w:w="1420" w:type="dxa"/>
            <w:vAlign w:val="bottom"/>
            <w:tcBorders>
              <w:top w:val="single" w:sz="8" w:color="auto"/>
            </w:tcBorders>
            <w:shd w:val="clear" w:color="auto" w:fill="CCFFCC"/>
          </w:tcPr>
          <w:p>
            <w:pPr>
              <w:spacing w:after="0"/>
              <w:rPr>
                <w:sz w:val="17"/>
                <w:szCs w:val="17"/>
                <w:color w:val="auto"/>
              </w:rPr>
            </w:pPr>
          </w:p>
        </w:tc>
        <w:tc>
          <w:tcPr>
            <w:tcW w:w="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68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6"/>
                <w:szCs w:val="16"/>
                <w:b w:val="1"/>
                <w:bCs w:val="1"/>
                <w:color w:val="auto"/>
              </w:rPr>
              <w:t>Loss from continuing operations</w:t>
            </w:r>
          </w:p>
        </w:tc>
        <w:tc>
          <w:tcPr>
            <w:tcW w:w="400" w:type="dxa"/>
            <w:vAlign w:val="bottom"/>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15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(41,748)</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(18,409)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(62,911)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0" w:type="dxa"/>
            <w:vAlign w:val="bottom"/>
            <w:tcBorders>
              <w:top w:val="single" w:sz="8" w:color="CCFFCC"/>
            </w:tcBorders>
            <w:shd w:val="clear" w:color="auto" w:fill="CCFFCC"/>
          </w:tcPr>
          <w:p>
            <w:pPr>
              <w:spacing w:after="0"/>
              <w:rPr>
                <w:sz w:val="15"/>
                <w:szCs w:val="15"/>
                <w:color w:val="auto"/>
              </w:rPr>
            </w:pPr>
          </w:p>
        </w:tc>
        <w:tc>
          <w:tcPr>
            <w:tcW w:w="400" w:type="dxa"/>
            <w:vAlign w:val="bottom"/>
            <w:tcBorders>
              <w:top w:val="single" w:sz="8" w:color="auto"/>
            </w:tcBorders>
            <w:shd w:val="clear" w:color="auto" w:fill="CCFFCC"/>
          </w:tcPr>
          <w:p>
            <w:pPr>
              <w:spacing w:after="0"/>
              <w:rPr>
                <w:sz w:val="15"/>
                <w:szCs w:val="15"/>
                <w:color w:val="auto"/>
              </w:rPr>
            </w:pPr>
          </w:p>
        </w:tc>
        <w:tc>
          <w:tcPr>
            <w:tcW w:w="1420" w:type="dxa"/>
            <w:vAlign w:val="bottom"/>
            <w:tcBorders>
              <w:top w:val="single" w:sz="8" w:color="auto"/>
            </w:tcBorders>
            <w:shd w:val="clear" w:color="auto" w:fill="CCFFCC"/>
          </w:tcPr>
          <w:p>
            <w:pPr>
              <w:spacing w:after="0"/>
              <w:rPr>
                <w:sz w:val="15"/>
                <w:szCs w:val="15"/>
                <w:color w:val="auto"/>
              </w:rPr>
            </w:pPr>
          </w:p>
        </w:tc>
        <w:tc>
          <w:tcPr>
            <w:tcW w:w="140" w:type="dxa"/>
            <w:vAlign w:val="bottom"/>
            <w:tcBorders>
              <w:top w:val="single" w:sz="8" w:color="CCFFCC"/>
            </w:tcBorders>
            <w:shd w:val="clear" w:color="auto" w:fill="CCFFCC"/>
          </w:tcPr>
          <w:p>
            <w:pPr>
              <w:spacing w:after="0"/>
              <w:rPr>
                <w:sz w:val="15"/>
                <w:szCs w:val="15"/>
                <w:color w:val="auto"/>
              </w:rPr>
            </w:pPr>
          </w:p>
        </w:tc>
        <w:tc>
          <w:tcPr>
            <w:tcW w:w="400" w:type="dxa"/>
            <w:vAlign w:val="bottom"/>
            <w:tcBorders>
              <w:top w:val="single" w:sz="8" w:color="auto"/>
            </w:tcBorders>
            <w:shd w:val="clear" w:color="auto" w:fill="CCFFCC"/>
          </w:tcPr>
          <w:p>
            <w:pPr>
              <w:spacing w:after="0"/>
              <w:rPr>
                <w:sz w:val="15"/>
                <w:szCs w:val="15"/>
                <w:color w:val="auto"/>
              </w:rPr>
            </w:pPr>
          </w:p>
        </w:tc>
        <w:tc>
          <w:tcPr>
            <w:tcW w:w="1420" w:type="dxa"/>
            <w:vAlign w:val="bottom"/>
            <w:tcBorders>
              <w:top w:val="single" w:sz="8" w:color="auto"/>
            </w:tcBorders>
            <w:shd w:val="clear" w:color="auto" w:fill="CCFFCC"/>
          </w:tcPr>
          <w:p>
            <w:pPr>
              <w:spacing w:after="0"/>
              <w:rPr>
                <w:sz w:val="15"/>
                <w:szCs w:val="15"/>
                <w:color w:val="auto"/>
              </w:rPr>
            </w:pPr>
          </w:p>
        </w:tc>
        <w:tc>
          <w:tcPr>
            <w:tcW w:w="4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spacing w:after="0"/>
              <w:rPr>
                <w:sz w:val="15"/>
                <w:szCs w:val="15"/>
                <w:color w:val="auto"/>
              </w:rPr>
            </w:pPr>
          </w:p>
        </w:tc>
        <w:tc>
          <w:tcPr>
            <w:tcW w:w="168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Loss from discontinued operations (including the impairment</w:t>
            </w:r>
          </w:p>
        </w:tc>
        <w:tc>
          <w:tcPr>
            <w:tcW w:w="400" w:type="dxa"/>
            <w:vAlign w:val="bottom"/>
          </w:tcPr>
          <w:p>
            <w:pPr>
              <w:spacing w:after="0"/>
              <w:rPr>
                <w:sz w:val="16"/>
                <w:szCs w:val="16"/>
                <w:color w:val="auto"/>
              </w:rPr>
            </w:pPr>
          </w:p>
        </w:tc>
        <w:tc>
          <w:tcPr>
            <w:tcW w:w="15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(10,428)</w:t>
            </w: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Pr>
          <w:p>
            <w:pPr>
              <w:ind w:left="160"/>
              <w:spacing w:after="0"/>
              <w:rPr>
                <w:sz w:val="20"/>
                <w:szCs w:val="20"/>
                <w:color w:val="auto"/>
              </w:rPr>
            </w:pPr>
            <w:r>
              <w:rPr>
                <w:rFonts w:ascii="Arial" w:cs="Arial" w:eastAsia="Arial" w:hAnsi="Arial"/>
                <w:sz w:val="16"/>
                <w:szCs w:val="16"/>
                <w:color w:val="auto"/>
              </w:rPr>
              <w:t>loss of $7,253 and $0 in 2013 and 2012, respectively)*</w:t>
            </w:r>
          </w:p>
        </w:tc>
        <w:tc>
          <w:tcPr>
            <w:tcW w:w="40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(2,377)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(12,805)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(257)</w:t>
            </w:r>
          </w:p>
        </w:tc>
        <w:tc>
          <w:tcPr>
            <w:tcW w:w="4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(55)</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36"/>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Loss from discontinued operations</w:t>
            </w:r>
          </w:p>
        </w:tc>
        <w:tc>
          <w:tcPr>
            <w:tcW w:w="4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(10,685)</w:t>
            </w:r>
          </w:p>
        </w:tc>
        <w:tc>
          <w:tcPr>
            <w:tcW w:w="14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0" w:type="dxa"/>
            <w:vAlign w:val="bottom"/>
            <w:tcBorders>
              <w:top w:val="single" w:sz="8" w:color="CCFFCC"/>
            </w:tcBorders>
            <w:shd w:val="clear" w:color="auto" w:fill="CCFFCC"/>
          </w:tcPr>
          <w:p>
            <w:pPr>
              <w:spacing w:after="0"/>
              <w:rPr>
                <w:sz w:val="15"/>
                <w:szCs w:val="15"/>
                <w:color w:val="auto"/>
              </w:rPr>
            </w:pPr>
          </w:p>
        </w:tc>
        <w:tc>
          <w:tcPr>
            <w:tcW w:w="400" w:type="dxa"/>
            <w:vAlign w:val="bottom"/>
            <w:tcBorders>
              <w:top w:val="single" w:sz="8" w:color="auto"/>
            </w:tcBorders>
            <w:shd w:val="clear" w:color="auto" w:fill="CCFFCC"/>
          </w:tcPr>
          <w:p>
            <w:pPr>
              <w:spacing w:after="0"/>
              <w:rPr>
                <w:sz w:val="15"/>
                <w:szCs w:val="15"/>
                <w:color w:val="auto"/>
              </w:rPr>
            </w:pPr>
          </w:p>
        </w:tc>
        <w:tc>
          <w:tcPr>
            <w:tcW w:w="1420" w:type="dxa"/>
            <w:vAlign w:val="bottom"/>
            <w:tcBorders>
              <w:top w:val="single" w:sz="8" w:color="auto"/>
            </w:tcBorders>
            <w:shd w:val="clear" w:color="auto" w:fill="CCFFCC"/>
          </w:tcPr>
          <w:p>
            <w:pPr>
              <w:spacing w:after="0"/>
              <w:rPr>
                <w:sz w:val="15"/>
                <w:szCs w:val="15"/>
                <w:color w:val="auto"/>
              </w:rPr>
            </w:pPr>
          </w:p>
        </w:tc>
        <w:tc>
          <w:tcPr>
            <w:tcW w:w="140" w:type="dxa"/>
            <w:vAlign w:val="bottom"/>
            <w:tcBorders>
              <w:top w:val="single" w:sz="8" w:color="CCFFCC"/>
            </w:tcBorders>
            <w:shd w:val="clear" w:color="auto" w:fill="CCFFCC"/>
          </w:tcPr>
          <w:p>
            <w:pPr>
              <w:spacing w:after="0"/>
              <w:rPr>
                <w:sz w:val="15"/>
                <w:szCs w:val="15"/>
                <w:color w:val="auto"/>
              </w:rPr>
            </w:pPr>
          </w:p>
        </w:tc>
        <w:tc>
          <w:tcPr>
            <w:tcW w:w="400" w:type="dxa"/>
            <w:vAlign w:val="bottom"/>
            <w:tcBorders>
              <w:top w:val="single" w:sz="8" w:color="auto"/>
            </w:tcBorders>
            <w:shd w:val="clear" w:color="auto" w:fill="CCFFCC"/>
          </w:tcPr>
          <w:p>
            <w:pPr>
              <w:spacing w:after="0"/>
              <w:rPr>
                <w:sz w:val="15"/>
                <w:szCs w:val="15"/>
                <w:color w:val="auto"/>
              </w:rPr>
            </w:pPr>
          </w:p>
        </w:tc>
        <w:tc>
          <w:tcPr>
            <w:tcW w:w="1420" w:type="dxa"/>
            <w:vAlign w:val="bottom"/>
            <w:tcBorders>
              <w:top w:val="single" w:sz="8" w:color="auto"/>
            </w:tcBorders>
            <w:shd w:val="clear" w:color="auto" w:fill="CCFFCC"/>
          </w:tcPr>
          <w:p>
            <w:pPr>
              <w:spacing w:after="0"/>
              <w:rPr>
                <w:sz w:val="15"/>
                <w:szCs w:val="15"/>
                <w:color w:val="auto"/>
              </w:rPr>
            </w:pPr>
          </w:p>
        </w:tc>
        <w:tc>
          <w:tcPr>
            <w:tcW w:w="4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spacing w:after="0"/>
              <w:rPr>
                <w:sz w:val="15"/>
                <w:szCs w:val="15"/>
                <w:color w:val="auto"/>
              </w:rPr>
            </w:pPr>
          </w:p>
        </w:tc>
        <w:tc>
          <w:tcPr>
            <w:tcW w:w="168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400" w:type="dxa"/>
            <w:vAlign w:val="bottom"/>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15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(52,433)</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(20,841)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(76,028)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0" w:type="dxa"/>
            <w:vAlign w:val="bottom"/>
            <w:tcBorders>
              <w:top w:val="single" w:sz="8" w:color="CCFFCC"/>
            </w:tcBorders>
            <w:shd w:val="clear" w:color="auto" w:fill="CCFFCC"/>
          </w:tcPr>
          <w:p>
            <w:pPr>
              <w:spacing w:after="0" w:line="177" w:lineRule="exact"/>
              <w:rPr>
                <w:sz w:val="20"/>
                <w:szCs w:val="20"/>
                <w:color w:val="auto"/>
              </w:rPr>
            </w:pPr>
            <w:r>
              <w:rPr>
                <w:rFonts w:ascii="Arial" w:cs="Arial" w:eastAsia="Arial" w:hAnsi="Arial"/>
                <w:sz w:val="16"/>
                <w:szCs w:val="16"/>
                <w:color w:val="auto"/>
              </w:rPr>
              <w:t>Loss per share:</w:t>
            </w:r>
          </w:p>
        </w:tc>
        <w:tc>
          <w:tcPr>
            <w:tcW w:w="400" w:type="dxa"/>
            <w:vAlign w:val="bottom"/>
            <w:tcBorders>
              <w:top w:val="single" w:sz="8" w:color="auto"/>
            </w:tcBorders>
            <w:shd w:val="clear" w:color="auto" w:fill="CCFFCC"/>
          </w:tcPr>
          <w:p>
            <w:pPr>
              <w:spacing w:after="0"/>
              <w:rPr>
                <w:sz w:val="15"/>
                <w:szCs w:val="15"/>
                <w:color w:val="auto"/>
              </w:rPr>
            </w:pPr>
          </w:p>
        </w:tc>
        <w:tc>
          <w:tcPr>
            <w:tcW w:w="1420" w:type="dxa"/>
            <w:vAlign w:val="bottom"/>
            <w:tcBorders>
              <w:top w:val="single" w:sz="8" w:color="auto"/>
            </w:tcBorders>
            <w:shd w:val="clear" w:color="auto" w:fill="CCFFCC"/>
          </w:tcPr>
          <w:p>
            <w:pPr>
              <w:spacing w:after="0"/>
              <w:rPr>
                <w:sz w:val="15"/>
                <w:szCs w:val="15"/>
                <w:color w:val="auto"/>
              </w:rPr>
            </w:pPr>
          </w:p>
        </w:tc>
        <w:tc>
          <w:tcPr>
            <w:tcW w:w="140" w:type="dxa"/>
            <w:vAlign w:val="bottom"/>
            <w:tcBorders>
              <w:top w:val="single" w:sz="8" w:color="CCFFCC"/>
            </w:tcBorders>
            <w:shd w:val="clear" w:color="auto" w:fill="CCFFCC"/>
          </w:tcPr>
          <w:p>
            <w:pPr>
              <w:spacing w:after="0"/>
              <w:rPr>
                <w:sz w:val="15"/>
                <w:szCs w:val="15"/>
                <w:color w:val="auto"/>
              </w:rPr>
            </w:pPr>
          </w:p>
        </w:tc>
        <w:tc>
          <w:tcPr>
            <w:tcW w:w="400" w:type="dxa"/>
            <w:vAlign w:val="bottom"/>
            <w:tcBorders>
              <w:top w:val="single" w:sz="8" w:color="auto"/>
            </w:tcBorders>
            <w:shd w:val="clear" w:color="auto" w:fill="CCFFCC"/>
          </w:tcPr>
          <w:p>
            <w:pPr>
              <w:spacing w:after="0"/>
              <w:rPr>
                <w:sz w:val="15"/>
                <w:szCs w:val="15"/>
                <w:color w:val="auto"/>
              </w:rPr>
            </w:pPr>
          </w:p>
        </w:tc>
        <w:tc>
          <w:tcPr>
            <w:tcW w:w="1420" w:type="dxa"/>
            <w:vAlign w:val="bottom"/>
            <w:tcBorders>
              <w:top w:val="single" w:sz="8" w:color="auto"/>
            </w:tcBorders>
            <w:shd w:val="clear" w:color="auto" w:fill="CCFFCC"/>
          </w:tcPr>
          <w:p>
            <w:pPr>
              <w:spacing w:after="0"/>
              <w:rPr>
                <w:sz w:val="15"/>
                <w:szCs w:val="15"/>
                <w:color w:val="auto"/>
              </w:rPr>
            </w:pPr>
          </w:p>
        </w:tc>
        <w:tc>
          <w:tcPr>
            <w:tcW w:w="4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spacing w:after="0"/>
              <w:rPr>
                <w:sz w:val="15"/>
                <w:szCs w:val="15"/>
                <w:color w:val="auto"/>
              </w:rPr>
            </w:pPr>
          </w:p>
        </w:tc>
        <w:tc>
          <w:tcPr>
            <w:tcW w:w="168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FFCC"/>
          </w:tcPr>
          <w:p>
            <w:pPr>
              <w:ind w:left="340"/>
              <w:spacing w:after="0"/>
              <w:rPr>
                <w:sz w:val="20"/>
                <w:szCs w:val="20"/>
                <w:color w:val="auto"/>
              </w:rPr>
            </w:pPr>
            <w:r>
              <w:rPr>
                <w:rFonts w:ascii="Arial" w:cs="Arial" w:eastAsia="Arial" w:hAnsi="Arial"/>
                <w:sz w:val="16"/>
                <w:szCs w:val="16"/>
                <w:color w:val="auto"/>
              </w:rPr>
              <w:t>Loss per share from continuing operations</w:t>
            </w:r>
          </w:p>
        </w:tc>
        <w:tc>
          <w:tcPr>
            <w:tcW w:w="400" w:type="dxa"/>
            <w:vAlign w:val="bottom"/>
            <w:shd w:val="clear" w:color="auto" w:fill="CCFFCC"/>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(0.50)</w:t>
            </w:r>
          </w:p>
        </w:tc>
        <w:tc>
          <w:tcPr>
            <w:tcW w:w="400" w:type="dxa"/>
            <w:vAlign w:val="bottom"/>
            <w:shd w:val="clear" w:color="auto" w:fill="CCFFCC"/>
          </w:tcPr>
          <w:p>
            <w:pPr>
              <w:jc w:val="right"/>
              <w:ind w:right="24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(0.47)</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340"/>
              <w:spacing w:after="0"/>
              <w:rPr>
                <w:sz w:val="20"/>
                <w:szCs w:val="20"/>
                <w:color w:val="auto"/>
              </w:rPr>
            </w:pPr>
            <w:r>
              <w:rPr>
                <w:rFonts w:ascii="Arial" w:cs="Arial" w:eastAsia="Arial" w:hAnsi="Arial"/>
                <w:sz w:val="16"/>
                <w:szCs w:val="16"/>
                <w:color w:val="auto"/>
              </w:rPr>
              <w:t>Loss per share from discontinued operations</w:t>
            </w:r>
          </w:p>
        </w:tc>
        <w:tc>
          <w:tcPr>
            <w:tcW w:w="40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(0.13)</w:t>
            </w:r>
          </w:p>
        </w:tc>
        <w:tc>
          <w:tcPr>
            <w:tcW w:w="400" w:type="dxa"/>
            <w:vAlign w:val="bottom"/>
          </w:tcPr>
          <w:p>
            <w:pPr>
              <w:spacing w:after="0"/>
              <w:rPr>
                <w:sz w:val="17"/>
                <w:szCs w:val="17"/>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(0.06)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CCFFCC"/>
              <w:bottom w:val="single" w:sz="8" w:color="CCFFCC"/>
            </w:tcBorders>
            <w:shd w:val="clear" w:color="auto" w:fill="CCFFCC"/>
          </w:tcPr>
          <w:p>
            <w:pPr>
              <w:ind w:left="340"/>
              <w:spacing w:after="0"/>
              <w:rPr>
                <w:sz w:val="20"/>
                <w:szCs w:val="20"/>
                <w:color w:val="auto"/>
              </w:rPr>
            </w:pPr>
            <w:r>
              <w:rPr>
                <w:rFonts w:ascii="Arial" w:cs="Arial" w:eastAsia="Arial" w:hAnsi="Arial"/>
                <w:sz w:val="16"/>
                <w:szCs w:val="16"/>
                <w:color w:val="auto"/>
              </w:rPr>
              <w:t>Total net loss per share</w:t>
            </w:r>
          </w:p>
        </w:tc>
        <w:tc>
          <w:tcPr>
            <w:tcW w:w="400" w:type="dxa"/>
            <w:vAlign w:val="bottom"/>
            <w:tcBorders>
              <w:top w:val="single" w:sz="8" w:color="auto"/>
              <w:bottom w:val="single" w:sz="8" w:color="auto"/>
            </w:tcBorders>
            <w:shd w:val="clear" w:color="auto" w:fill="CCFFCC"/>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(0.63)</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400" w:type="dxa"/>
            <w:vAlign w:val="bottom"/>
            <w:tcBorders>
              <w:top w:val="single" w:sz="8" w:color="auto"/>
              <w:bottom w:val="single" w:sz="8" w:color="auto"/>
            </w:tcBorders>
            <w:shd w:val="clear" w:color="auto" w:fill="CCFFCC"/>
          </w:tcPr>
          <w:p>
            <w:pPr>
              <w:jc w:val="right"/>
              <w:ind w:right="24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(0.53)</w:t>
            </w:r>
          </w:p>
        </w:tc>
        <w:tc>
          <w:tcPr>
            <w:tcW w:w="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16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shd w:val="clear" w:color="auto" w:fill="CCFFCC"/>
          </w:tcPr>
          <w:p>
            <w:pPr>
              <w:ind w:left="340"/>
              <w:spacing w:after="0"/>
              <w:rPr>
                <w:sz w:val="20"/>
                <w:szCs w:val="20"/>
                <w:color w:val="auto"/>
              </w:rPr>
            </w:pPr>
            <w:r>
              <w:rPr>
                <w:rFonts w:ascii="Arial" w:cs="Arial" w:eastAsia="Arial" w:hAnsi="Arial"/>
                <w:sz w:val="16"/>
                <w:szCs w:val="16"/>
                <w:color w:val="auto"/>
              </w:rPr>
              <w:t>Loss per share from continuing operations</w:t>
            </w:r>
          </w:p>
        </w:tc>
        <w:tc>
          <w:tcPr>
            <w:tcW w:w="400" w:type="dxa"/>
            <w:vAlign w:val="bottom"/>
            <w:shd w:val="clear" w:color="auto" w:fill="CCFFCC"/>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(0.50)</w:t>
            </w:r>
          </w:p>
        </w:tc>
        <w:tc>
          <w:tcPr>
            <w:tcW w:w="400" w:type="dxa"/>
            <w:vAlign w:val="bottom"/>
            <w:shd w:val="clear" w:color="auto" w:fill="CCFFCC"/>
          </w:tcPr>
          <w:p>
            <w:pPr>
              <w:jc w:val="right"/>
              <w:ind w:right="24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(0.55)</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340"/>
              <w:spacing w:after="0"/>
              <w:rPr>
                <w:sz w:val="20"/>
                <w:szCs w:val="20"/>
                <w:color w:val="auto"/>
              </w:rPr>
            </w:pPr>
            <w:r>
              <w:rPr>
                <w:rFonts w:ascii="Arial" w:cs="Arial" w:eastAsia="Arial" w:hAnsi="Arial"/>
                <w:sz w:val="16"/>
                <w:szCs w:val="16"/>
                <w:color w:val="auto"/>
              </w:rPr>
              <w:t>Loss per share from discontinued operations</w:t>
            </w:r>
          </w:p>
        </w:tc>
        <w:tc>
          <w:tcPr>
            <w:tcW w:w="40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(0.13)</w:t>
            </w:r>
          </w:p>
        </w:tc>
        <w:tc>
          <w:tcPr>
            <w:tcW w:w="400" w:type="dxa"/>
            <w:vAlign w:val="bottom"/>
          </w:tcPr>
          <w:p>
            <w:pPr>
              <w:spacing w:after="0"/>
              <w:rPr>
                <w:sz w:val="17"/>
                <w:szCs w:val="17"/>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(0.06)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CCFFCC"/>
              <w:bottom w:val="single" w:sz="8" w:color="CCFFCC"/>
            </w:tcBorders>
            <w:shd w:val="clear" w:color="auto" w:fill="CCFFCC"/>
          </w:tcPr>
          <w:p>
            <w:pPr>
              <w:ind w:left="340"/>
              <w:spacing w:after="0"/>
              <w:rPr>
                <w:sz w:val="20"/>
                <w:szCs w:val="20"/>
                <w:color w:val="auto"/>
              </w:rPr>
            </w:pPr>
            <w:r>
              <w:rPr>
                <w:rFonts w:ascii="Arial" w:cs="Arial" w:eastAsia="Arial" w:hAnsi="Arial"/>
                <w:sz w:val="16"/>
                <w:szCs w:val="16"/>
                <w:color w:val="auto"/>
              </w:rPr>
              <w:t>Total net loss per share</w:t>
            </w:r>
          </w:p>
        </w:tc>
        <w:tc>
          <w:tcPr>
            <w:tcW w:w="400" w:type="dxa"/>
            <w:vAlign w:val="bottom"/>
            <w:tcBorders>
              <w:top w:val="single" w:sz="8" w:color="auto"/>
              <w:bottom w:val="single" w:sz="8" w:color="auto"/>
            </w:tcBorders>
            <w:shd w:val="clear" w:color="auto" w:fill="CCFFCC"/>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(0.63)</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400" w:type="dxa"/>
            <w:vAlign w:val="bottom"/>
            <w:tcBorders>
              <w:top w:val="single" w:sz="8" w:color="auto"/>
              <w:bottom w:val="single" w:sz="8" w:color="auto"/>
            </w:tcBorders>
            <w:shd w:val="clear" w:color="auto" w:fill="CCFFCC"/>
          </w:tcPr>
          <w:p>
            <w:pPr>
              <w:jc w:val="right"/>
              <w:ind w:right="24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(0.61)</w:t>
            </w:r>
          </w:p>
        </w:tc>
        <w:tc>
          <w:tcPr>
            <w:tcW w:w="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6"/>
                <w:szCs w:val="16"/>
                <w:color w:val="auto"/>
              </w:rPr>
              <w:t>Weighted-average number of shares outstanding during the year:</w:t>
            </w: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shd w:val="clear" w:color="auto" w:fill="CCFFCC"/>
          </w:tcPr>
          <w:p>
            <w:pPr>
              <w:spacing w:after="0"/>
              <w:rPr>
                <w:sz w:val="17"/>
                <w:szCs w:val="17"/>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83,201,691</w:t>
            </w:r>
          </w:p>
        </w:tc>
        <w:tc>
          <w:tcPr>
            <w:tcW w:w="140" w:type="dxa"/>
            <w:vAlign w:val="bottom"/>
            <w:tcBorders>
              <w:bottom w:val="single" w:sz="8" w:color="CCFFCC"/>
            </w:tcBorders>
            <w:shd w:val="clear" w:color="auto" w:fill="CCFFCC"/>
          </w:tcPr>
          <w:p>
            <w:pPr>
              <w:spacing w:after="0"/>
              <w:rPr>
                <w:sz w:val="17"/>
                <w:szCs w:val="17"/>
                <w:color w:val="auto"/>
              </w:rPr>
            </w:pPr>
          </w:p>
        </w:tc>
        <w:tc>
          <w:tcPr>
            <w:tcW w:w="400" w:type="dxa"/>
            <w:vAlign w:val="bottom"/>
            <w:tcBorders>
              <w:bottom w:val="single" w:sz="8" w:color="auto"/>
            </w:tcBorders>
            <w:shd w:val="clear" w:color="auto" w:fill="CCFFCC"/>
          </w:tcPr>
          <w:p>
            <w:pPr>
              <w:spacing w:after="0"/>
              <w:rPr>
                <w:sz w:val="17"/>
                <w:szCs w:val="17"/>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39,111,176</w:t>
            </w:r>
          </w:p>
        </w:tc>
        <w:tc>
          <w:tcPr>
            <w:tcW w:w="4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1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50,105,473</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16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FFCC"/>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83,280,873</w:t>
            </w:r>
          </w:p>
        </w:tc>
        <w:tc>
          <w:tcPr>
            <w:tcW w:w="140" w:type="dxa"/>
            <w:vAlign w:val="bottom"/>
            <w:tcBorders>
              <w:bottom w:val="single" w:sz="8" w:color="CCFFC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41,664,676</w:t>
            </w:r>
          </w:p>
        </w:tc>
        <w:tc>
          <w:tcPr>
            <w:tcW w:w="4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51,618,897</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600" w:type="dxa"/>
            <w:vAlign w:val="bottom"/>
            <w:shd w:val="clear" w:color="auto" w:fill="CCFFCC"/>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14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142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6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b w:val="1"/>
                <w:bCs w:val="1"/>
                <w:color w:val="auto"/>
              </w:rPr>
              <w:t>* Includes stock-based compensation expense, as follows:</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6"/>
                <w:szCs w:val="16"/>
                <w:color w:val="auto"/>
              </w:rPr>
              <w:t>Operating legal costs</w:t>
            </w:r>
          </w:p>
        </w:tc>
        <w:tc>
          <w:tcPr>
            <w:tcW w:w="400" w:type="dxa"/>
            <w:vAlign w:val="bottom"/>
            <w:shd w:val="clear" w:color="auto" w:fill="CCFFCC"/>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1,221</w:t>
            </w:r>
          </w:p>
        </w:tc>
        <w:tc>
          <w:tcPr>
            <w:tcW w:w="140" w:type="dxa"/>
            <w:vAlign w:val="bottom"/>
            <w:shd w:val="clear" w:color="auto" w:fill="CCFFCC"/>
          </w:tcPr>
          <w:p>
            <w:pPr>
              <w:spacing w:after="0"/>
              <w:rPr>
                <w:sz w:val="17"/>
                <w:szCs w:val="17"/>
                <w:color w:val="auto"/>
              </w:rPr>
            </w:pPr>
          </w:p>
        </w:tc>
        <w:tc>
          <w:tcPr>
            <w:tcW w:w="400" w:type="dxa"/>
            <w:vAlign w:val="bottom"/>
            <w:shd w:val="clear" w:color="auto" w:fill="CCFFCC"/>
          </w:tcPr>
          <w:p>
            <w:pPr>
              <w:jc w:val="right"/>
              <w:ind w:right="24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523</w:t>
            </w:r>
          </w:p>
        </w:tc>
        <w:tc>
          <w:tcPr>
            <w:tcW w:w="40" w:type="dxa"/>
            <w:vAlign w:val="bottom"/>
            <w:shd w:val="clear" w:color="auto" w:fill="CCFFCC"/>
          </w:tcPr>
          <w:p>
            <w:pPr>
              <w:spacing w:after="0"/>
              <w:rPr>
                <w:sz w:val="17"/>
                <w:szCs w:val="17"/>
                <w:color w:val="auto"/>
              </w:rPr>
            </w:pP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1,744</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470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6"/>
                <w:szCs w:val="16"/>
                <w:color w:val="auto"/>
              </w:rPr>
              <w:t>General and administrative</w:t>
            </w:r>
          </w:p>
        </w:tc>
        <w:tc>
          <w:tcPr>
            <w:tcW w:w="400" w:type="dxa"/>
            <w:vAlign w:val="bottom"/>
            <w:shd w:val="clear" w:color="auto" w:fill="CCFFCC"/>
          </w:tcPr>
          <w:p>
            <w:pPr>
              <w:spacing w:after="0"/>
              <w:rPr>
                <w:sz w:val="17"/>
                <w:szCs w:val="17"/>
                <w:color w:val="auto"/>
              </w:rPr>
            </w:pPr>
          </w:p>
        </w:tc>
        <w:tc>
          <w:tcPr>
            <w:tcW w:w="14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10,037</w:t>
            </w:r>
          </w:p>
        </w:tc>
        <w:tc>
          <w:tcPr>
            <w:tcW w:w="1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4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6,731</w:t>
            </w: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17,242</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bottom w:val="single" w:sz="8" w:color="CCFFCC"/>
            </w:tcBorders>
          </w:tcPr>
          <w:p>
            <w:pPr>
              <w:spacing w:after="0"/>
              <w:rPr>
                <w:sz w:val="20"/>
                <w:szCs w:val="20"/>
                <w:color w:val="auto"/>
              </w:rPr>
            </w:pPr>
            <w:r>
              <w:rPr>
                <w:rFonts w:ascii="Arial" w:cs="Arial" w:eastAsia="Arial" w:hAnsi="Arial"/>
                <w:sz w:val="16"/>
                <w:szCs w:val="16"/>
                <w:color w:val="auto"/>
              </w:rPr>
              <w:t>Discontinued operations</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w:t>
            </w:r>
          </w:p>
        </w:tc>
        <w:tc>
          <w:tcPr>
            <w:tcW w:w="140" w:type="dxa"/>
            <w:vAlign w:val="bottom"/>
            <w:tcBorders>
              <w:bottom w:val="single" w:sz="8" w:color="CCFFC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40" w:type="dxa"/>
            <w:vAlign w:val="bottom"/>
            <w:tcBorders>
              <w:bottom w:val="single" w:sz="8" w:color="CCFFCC"/>
            </w:tcBorders>
          </w:tcPr>
          <w:p>
            <w:pPr>
              <w:spacing w:after="0"/>
              <w:rPr>
                <w:sz w:val="17"/>
                <w:szCs w:val="17"/>
                <w:color w:val="auto"/>
              </w:rPr>
            </w:pPr>
          </w:p>
        </w:tc>
        <w:tc>
          <w:tcPr>
            <w:tcW w:w="60" w:type="dxa"/>
            <w:vAlign w:val="bottom"/>
            <w:tcBorders>
              <w:bottom w:val="single" w:sz="8" w:color="CCFFC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bottom w:val="single" w:sz="8" w:color="CCFFCC"/>
            </w:tcBorders>
            <w:shd w:val="clear" w:color="auto" w:fill="CCFFCC"/>
          </w:tcPr>
          <w:p>
            <w:pPr>
              <w:spacing w:after="0"/>
              <w:rPr>
                <w:sz w:val="17"/>
                <w:szCs w:val="17"/>
                <w:color w:val="auto"/>
              </w:rPr>
            </w:pPr>
          </w:p>
        </w:tc>
        <w:tc>
          <w:tcPr>
            <w:tcW w:w="400" w:type="dxa"/>
            <w:vAlign w:val="bottom"/>
            <w:tcBorders>
              <w:bottom w:val="single" w:sz="8" w:color="auto"/>
            </w:tcBorders>
            <w:shd w:val="clear" w:color="auto" w:fill="CCFFCC"/>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12,093</w:t>
            </w:r>
          </w:p>
        </w:tc>
        <w:tc>
          <w:tcPr>
            <w:tcW w:w="140" w:type="dxa"/>
            <w:vAlign w:val="bottom"/>
            <w:tcBorders>
              <w:bottom w:val="single" w:sz="8" w:color="CCFFCC"/>
            </w:tcBorders>
            <w:shd w:val="clear" w:color="auto" w:fill="CCFFCC"/>
          </w:tcPr>
          <w:p>
            <w:pPr>
              <w:spacing w:after="0"/>
              <w:rPr>
                <w:sz w:val="17"/>
                <w:szCs w:val="17"/>
                <w:color w:val="auto"/>
              </w:rPr>
            </w:pPr>
          </w:p>
        </w:tc>
        <w:tc>
          <w:tcPr>
            <w:tcW w:w="400" w:type="dxa"/>
            <w:vAlign w:val="bottom"/>
            <w:tcBorders>
              <w:bottom w:val="single" w:sz="8" w:color="auto"/>
            </w:tcBorders>
            <w:shd w:val="clear" w:color="auto" w:fill="CCFFCC"/>
          </w:tcPr>
          <w:p>
            <w:pPr>
              <w:jc w:val="right"/>
              <w:ind w:right="24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8,087</w:t>
            </w:r>
          </w:p>
        </w:tc>
        <w:tc>
          <w:tcPr>
            <w:tcW w:w="4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20,654</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Deficit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during the</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development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paid-in capital</w:t>
            </w:r>
          </w:p>
        </w:tc>
        <w:tc>
          <w:tcPr>
            <w:tcW w:w="16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stage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4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b w:val="1"/>
                <w:bCs w:val="1"/>
                <w:color w:val="auto"/>
              </w:rPr>
              <w:t>Balance as of June 8, 2011 (Inception)</w:t>
            </w:r>
          </w:p>
        </w:tc>
        <w:tc>
          <w:tcPr>
            <w:tcW w:w="64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ind w:right="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jc w:val="right"/>
              <w:ind w:right="16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20"/>
                <w:szCs w:val="20"/>
                <w:color w:val="auto"/>
              </w:rPr>
            </w:pPr>
            <w:r>
              <w:rPr>
                <w:rFonts w:ascii="Arial" w:cs="Arial" w:eastAsia="Arial" w:hAnsi="Arial"/>
                <w:sz w:val="16"/>
                <w:szCs w:val="16"/>
                <w:color w:val="auto"/>
              </w:rPr>
              <w:t>Issuance of shares of common stock</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FFCC"/>
          </w:tcPr>
          <w:p>
            <w:pPr>
              <w:spacing w:after="0"/>
              <w:rPr>
                <w:sz w:val="20"/>
                <w:szCs w:val="20"/>
                <w:color w:val="auto"/>
              </w:rPr>
            </w:pPr>
            <w:r>
              <w:rPr>
                <w:rFonts w:ascii="Arial" w:cs="Arial" w:eastAsia="Arial" w:hAnsi="Arial"/>
                <w:sz w:val="16"/>
                <w:szCs w:val="16"/>
                <w:color w:val="auto"/>
              </w:rPr>
              <w:t>Stock-based compensation</w:t>
            </w:r>
          </w:p>
        </w:tc>
        <w:tc>
          <w:tcPr>
            <w:tcW w:w="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(2,754)</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(2,754)</w:t>
            </w:r>
          </w:p>
        </w:tc>
        <w:tc>
          <w:tcPr>
            <w:tcW w:w="0" w:type="dxa"/>
            <w:vAlign w:val="bottom"/>
          </w:tcPr>
          <w:p>
            <w:pPr>
              <w:spacing w:after="0"/>
              <w:rPr>
                <w:sz w:val="1"/>
                <w:szCs w:val="1"/>
                <w:color w:val="auto"/>
              </w:rPr>
            </w:pPr>
          </w:p>
        </w:tc>
      </w:tr>
      <w:tr>
        <w:trPr>
          <w:trHeight w:val="196"/>
        </w:trPr>
        <w:tc>
          <w:tcPr>
            <w:tcW w:w="4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b w:val="1"/>
                <w:bCs w:val="1"/>
                <w:color w:val="auto"/>
              </w:rPr>
              <w:t>Balance as of December 31, 2011</w:t>
            </w:r>
          </w:p>
        </w:tc>
        <w:tc>
          <w:tcPr>
            <w:tcW w:w="64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spacing w:after="0"/>
              <w:rPr>
                <w:sz w:val="17"/>
                <w:szCs w:val="17"/>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spacing w:after="0"/>
              <w:rPr>
                <w:sz w:val="17"/>
                <w:szCs w:val="17"/>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5,449</w:t>
            </w:r>
          </w:p>
        </w:tc>
        <w:tc>
          <w:tcPr>
            <w:tcW w:w="10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spacing w:after="0"/>
              <w:rPr>
                <w:sz w:val="17"/>
                <w:szCs w:val="17"/>
                <w:color w:val="auto"/>
              </w:rPr>
            </w:pP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(2,754)</w:t>
            </w:r>
          </w:p>
        </w:tc>
        <w:tc>
          <w:tcPr>
            <w:tcW w:w="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spacing w:after="0"/>
              <w:rPr>
                <w:sz w:val="17"/>
                <w:szCs w:val="17"/>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2,865</w:t>
            </w: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line="173" w:lineRule="exact"/>
              <w:rPr>
                <w:sz w:val="20"/>
                <w:szCs w:val="20"/>
                <w:color w:val="auto"/>
              </w:rPr>
            </w:pPr>
            <w:r>
              <w:rPr>
                <w:rFonts w:ascii="Arial" w:cs="Arial" w:eastAsia="Arial" w:hAnsi="Arial"/>
                <w:sz w:val="16"/>
                <w:szCs w:val="16"/>
                <w:color w:val="auto"/>
              </w:rPr>
              <w:t>Conversion of Series A Convertible Preferred stock,</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400" w:type="dxa"/>
            <w:vAlign w:val="bottom"/>
          </w:tcPr>
          <w:p>
            <w:pPr>
              <w:ind w:left="180"/>
              <w:spacing w:after="0"/>
              <w:rPr>
                <w:sz w:val="20"/>
                <w:szCs w:val="20"/>
                <w:color w:val="auto"/>
              </w:rPr>
            </w:pPr>
            <w:r>
              <w:rPr>
                <w:rFonts w:ascii="Arial" w:cs="Arial" w:eastAsia="Arial" w:hAnsi="Arial"/>
                <w:sz w:val="16"/>
                <w:szCs w:val="16"/>
                <w:color w:val="auto"/>
              </w:rPr>
              <w:t>classified as mezzanine equity</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00" w:type="dxa"/>
            <w:vAlign w:val="bottom"/>
            <w:shd w:val="clear" w:color="auto" w:fill="CCFFCC"/>
          </w:tcPr>
          <w:p>
            <w:pPr>
              <w:spacing w:after="0"/>
              <w:rPr>
                <w:sz w:val="20"/>
                <w:szCs w:val="20"/>
                <w:color w:val="auto"/>
              </w:rPr>
            </w:pPr>
            <w:r>
              <w:rPr>
                <w:rFonts w:ascii="Arial" w:cs="Arial" w:eastAsia="Arial" w:hAnsi="Arial"/>
                <w:sz w:val="16"/>
                <w:szCs w:val="16"/>
                <w:color w:val="auto"/>
              </w:rPr>
              <w:t>Stock-based compensation, including grant of shares</w:t>
            </w:r>
          </w:p>
        </w:tc>
        <w:tc>
          <w:tcPr>
            <w:tcW w:w="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to consultants</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8,084</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8,087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00" w:type="dxa"/>
            <w:vAlign w:val="bottom"/>
          </w:tcPr>
          <w:p>
            <w:pPr>
              <w:spacing w:after="0"/>
              <w:rPr>
                <w:sz w:val="20"/>
                <w:szCs w:val="20"/>
                <w:color w:val="auto"/>
              </w:rPr>
            </w:pPr>
            <w:r>
              <w:rPr>
                <w:rFonts w:ascii="Arial" w:cs="Arial" w:eastAsia="Arial" w:hAnsi="Arial"/>
                <w:sz w:val="16"/>
                <w:szCs w:val="16"/>
                <w:color w:val="auto"/>
              </w:rPr>
              <w:t>Recording of equity instruments upon Merger, net of</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fair value of issued warrants $21,954 and issuance cost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tcPr>
          <w:p>
            <w:pPr>
              <w:ind w:left="180"/>
              <w:spacing w:after="0"/>
              <w:rPr>
                <w:sz w:val="20"/>
                <w:szCs w:val="20"/>
                <w:color w:val="auto"/>
              </w:rPr>
            </w:pPr>
            <w:r>
              <w:rPr>
                <w:rFonts w:ascii="Arial" w:cs="Arial" w:eastAsia="Arial" w:hAnsi="Arial"/>
                <w:sz w:val="16"/>
                <w:szCs w:val="16"/>
                <w:color w:val="auto"/>
              </w:rPr>
              <w:t>of $463 (refer to Note 6)</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54,809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FFCC"/>
          </w:tcPr>
          <w:p>
            <w:pPr>
              <w:spacing w:after="0"/>
              <w:rPr>
                <w:sz w:val="20"/>
                <w:szCs w:val="20"/>
                <w:color w:val="auto"/>
              </w:rPr>
            </w:pPr>
            <w:r>
              <w:rPr>
                <w:rFonts w:ascii="Arial" w:cs="Arial" w:eastAsia="Arial" w:hAnsi="Arial"/>
                <w:sz w:val="16"/>
                <w:szCs w:val="16"/>
                <w:color w:val="auto"/>
              </w:rPr>
              <w:t>Issuance of warrants (refer to Note 9)</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2,883</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2,883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00" w:type="dxa"/>
            <w:vAlign w:val="bottom"/>
          </w:tcPr>
          <w:p>
            <w:pPr>
              <w:spacing w:after="0"/>
              <w:rPr>
                <w:sz w:val="20"/>
                <w:szCs w:val="20"/>
                <w:color w:val="auto"/>
              </w:rPr>
            </w:pPr>
            <w:r>
              <w:rPr>
                <w:rFonts w:ascii="Arial" w:cs="Arial" w:eastAsia="Arial" w:hAnsi="Arial"/>
                <w:sz w:val="16"/>
                <w:szCs w:val="16"/>
                <w:color w:val="auto"/>
              </w:rPr>
              <w:t>Conversion of Series A Convertible Preferred 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00" w:type="dxa"/>
            <w:vAlign w:val="bottom"/>
          </w:tcPr>
          <w:p>
            <w:pPr>
              <w:ind w:left="180"/>
              <w:spacing w:after="0"/>
              <w:rPr>
                <w:sz w:val="20"/>
                <w:szCs w:val="20"/>
                <w:color w:val="auto"/>
              </w:rPr>
            </w:pPr>
            <w:r>
              <w:rPr>
                <w:rFonts w:ascii="Arial" w:cs="Arial" w:eastAsia="Arial" w:hAnsi="Arial"/>
                <w:sz w:val="16"/>
                <w:szCs w:val="16"/>
                <w:color w:val="auto"/>
              </w:rPr>
              <w:t>classified as equity</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(201)</w:t>
            </w:r>
          </w:p>
        </w:tc>
        <w:tc>
          <w:tcPr>
            <w:tcW w:w="1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400" w:type="dxa"/>
            <w:vAlign w:val="bottom"/>
            <w:shd w:val="clear" w:color="auto" w:fill="CCFFCC"/>
          </w:tcPr>
          <w:p>
            <w:pPr>
              <w:spacing w:after="0"/>
              <w:rPr>
                <w:sz w:val="20"/>
                <w:szCs w:val="20"/>
                <w:color w:val="auto"/>
              </w:rPr>
            </w:pPr>
            <w:r>
              <w:rPr>
                <w:rFonts w:ascii="Arial" w:cs="Arial" w:eastAsia="Arial" w:hAnsi="Arial"/>
                <w:sz w:val="16"/>
                <w:szCs w:val="16"/>
                <w:color w:val="auto"/>
              </w:rPr>
              <w:t>Exercise of warrants</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22,856</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22,932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FFCC"/>
          </w:tcPr>
          <w:p>
            <w:pPr>
              <w:spacing w:after="0"/>
              <w:rPr>
                <w:sz w:val="20"/>
                <w:szCs w:val="20"/>
                <w:color w:val="auto"/>
              </w:rPr>
            </w:pPr>
            <w:r>
              <w:rPr>
                <w:rFonts w:ascii="Arial" w:cs="Arial" w:eastAsia="Arial" w:hAnsi="Arial"/>
                <w:sz w:val="16"/>
                <w:szCs w:val="16"/>
                <w:color w:val="auto"/>
              </w:rPr>
              <w:t>Issuance of shares in connection with a financing</w:t>
            </w:r>
          </w:p>
        </w:tc>
        <w:tc>
          <w:tcPr>
            <w:tcW w:w="6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3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3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round, net of issuance cost of $52</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31,052</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31,148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Shares issued for acquisition of patents (refer to Note 5)</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CFFCC"/>
          </w:tcPr>
          <w:p>
            <w:pPr>
              <w:spacing w:after="0"/>
              <w:rPr>
                <w:sz w:val="20"/>
                <w:szCs w:val="20"/>
                <w:color w:val="auto"/>
              </w:rPr>
            </w:pPr>
            <w:r>
              <w:rPr>
                <w:rFonts w:ascii="Arial" w:cs="Arial" w:eastAsia="Arial" w:hAnsi="Arial"/>
                <w:sz w:val="16"/>
                <w:szCs w:val="16"/>
                <w:color w:val="auto"/>
              </w:rPr>
              <w:t>Issuance of shares in connection with a financing round,</w:t>
            </w:r>
          </w:p>
        </w:tc>
        <w:tc>
          <w:tcPr>
            <w:tcW w:w="6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3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3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net of issuance cost of $39</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44,859</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44,962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Net loss for the year</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(20,841)</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(20,841)</w:t>
            </w:r>
          </w:p>
        </w:tc>
        <w:tc>
          <w:tcPr>
            <w:tcW w:w="0" w:type="dxa"/>
            <w:vAlign w:val="bottom"/>
          </w:tcPr>
          <w:p>
            <w:pPr>
              <w:spacing w:after="0"/>
              <w:rPr>
                <w:sz w:val="1"/>
                <w:szCs w:val="1"/>
                <w:color w:val="auto"/>
              </w:rPr>
            </w:pPr>
          </w:p>
        </w:tc>
      </w:tr>
      <w:tr>
        <w:trPr>
          <w:trHeight w:val="196"/>
        </w:trPr>
        <w:tc>
          <w:tcPr>
            <w:tcW w:w="4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b w:val="1"/>
                <w:bCs w:val="1"/>
                <w:color w:val="auto"/>
              </w:rPr>
              <w:t>Balance as of December 31, 2012</w:t>
            </w:r>
          </w:p>
        </w:tc>
        <w:tc>
          <w:tcPr>
            <w:tcW w:w="64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spacing w:after="0"/>
              <w:rPr>
                <w:sz w:val="17"/>
                <w:szCs w:val="17"/>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819</w:t>
            </w:r>
          </w:p>
        </w:tc>
        <w:tc>
          <w:tcPr>
            <w:tcW w:w="12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spacing w:after="0"/>
              <w:rPr>
                <w:sz w:val="17"/>
                <w:szCs w:val="17"/>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171,108</w:t>
            </w:r>
          </w:p>
        </w:tc>
        <w:tc>
          <w:tcPr>
            <w:tcW w:w="10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spacing w:after="0"/>
              <w:rPr>
                <w:sz w:val="17"/>
                <w:szCs w:val="17"/>
                <w:color w:val="auto"/>
              </w:rPr>
            </w:pP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(23,595)</w:t>
            </w:r>
          </w:p>
        </w:tc>
        <w:tc>
          <w:tcPr>
            <w:tcW w:w="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spacing w:after="0"/>
              <w:rPr>
                <w:sz w:val="17"/>
                <w:szCs w:val="17"/>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148,332</w:t>
            </w: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line="173" w:lineRule="exact"/>
              <w:rPr>
                <w:sz w:val="20"/>
                <w:szCs w:val="20"/>
                <w:color w:val="auto"/>
              </w:rPr>
            </w:pPr>
            <w:r>
              <w:rPr>
                <w:rFonts w:ascii="Arial" w:cs="Arial" w:eastAsia="Arial" w:hAnsi="Arial"/>
                <w:sz w:val="16"/>
                <w:szCs w:val="16"/>
                <w:color w:val="auto"/>
              </w:rPr>
              <w:t>Exercise of stock options and vesting of Restricted Stock</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400" w:type="dxa"/>
            <w:vAlign w:val="bottom"/>
          </w:tcPr>
          <w:p>
            <w:pPr>
              <w:ind w:left="180"/>
              <w:spacing w:after="0"/>
              <w:rPr>
                <w:sz w:val="20"/>
                <w:szCs w:val="20"/>
                <w:color w:val="auto"/>
              </w:rPr>
            </w:pPr>
            <w:r>
              <w:rPr>
                <w:rFonts w:ascii="Arial" w:cs="Arial" w:eastAsia="Arial" w:hAnsi="Arial"/>
                <w:sz w:val="16"/>
                <w:szCs w:val="16"/>
                <w:color w:val="auto"/>
              </w:rPr>
              <w:t>Units (“RSUs”)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FFCC"/>
          </w:tcPr>
          <w:p>
            <w:pPr>
              <w:spacing w:after="0"/>
              <w:rPr>
                <w:sz w:val="20"/>
                <w:szCs w:val="20"/>
                <w:color w:val="auto"/>
              </w:rPr>
            </w:pPr>
            <w:r>
              <w:rPr>
                <w:rFonts w:ascii="Arial" w:cs="Arial" w:eastAsia="Arial" w:hAnsi="Arial"/>
                <w:sz w:val="16"/>
                <w:szCs w:val="16"/>
                <w:color w:val="auto"/>
              </w:rPr>
              <w:t>Exercise of warrants</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1,394</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1,398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Conversion of derivative warrants into equity warrants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3,918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3,918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FFCC"/>
          </w:tcPr>
          <w:p>
            <w:pPr>
              <w:spacing w:after="0"/>
              <w:rPr>
                <w:sz w:val="20"/>
                <w:szCs w:val="20"/>
                <w:color w:val="auto"/>
              </w:rPr>
            </w:pPr>
            <w:r>
              <w:rPr>
                <w:rFonts w:ascii="Arial" w:cs="Arial" w:eastAsia="Arial" w:hAnsi="Arial"/>
                <w:sz w:val="16"/>
                <w:szCs w:val="16"/>
                <w:color w:val="auto"/>
              </w:rPr>
              <w:t>Stock-based compensation</w:t>
            </w:r>
          </w:p>
        </w:tc>
        <w:tc>
          <w:tcPr>
            <w:tcW w:w="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FFCC"/>
          </w:tcPr>
          <w:p>
            <w:pPr>
              <w:spacing w:after="0"/>
              <w:rPr>
                <w:sz w:val="17"/>
                <w:szCs w:val="17"/>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12,093</w:t>
            </w: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w:t>
            </w:r>
          </w:p>
        </w:tc>
        <w:tc>
          <w:tcPr>
            <w:tcW w:w="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12,093</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Net loss for the year</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(52,433)</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(52,433)</w:t>
            </w:r>
          </w:p>
        </w:tc>
        <w:tc>
          <w:tcPr>
            <w:tcW w:w="0" w:type="dxa"/>
            <w:vAlign w:val="bottom"/>
          </w:tcPr>
          <w:p>
            <w:pPr>
              <w:spacing w:after="0"/>
              <w:rPr>
                <w:sz w:val="1"/>
                <w:szCs w:val="1"/>
                <w:color w:val="auto"/>
              </w:rPr>
            </w:pPr>
          </w:p>
        </w:tc>
      </w:tr>
      <w:tr>
        <w:trPr>
          <w:trHeight w:val="196"/>
        </w:trPr>
        <w:tc>
          <w:tcPr>
            <w:tcW w:w="44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6"/>
                <w:szCs w:val="16"/>
                <w:b w:val="1"/>
                <w:bCs w:val="1"/>
                <w:color w:val="auto"/>
              </w:rPr>
              <w:t>Balance as of December 31, 2013</w:t>
            </w:r>
          </w:p>
        </w:tc>
        <w:tc>
          <w:tcPr>
            <w:tcW w:w="64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845</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189,465</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(76,028)</w:t>
            </w:r>
          </w:p>
        </w:tc>
        <w:tc>
          <w:tcPr>
            <w:tcW w:w="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114,282</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3"/>
              </w:rPr>
              <w:t>Cumulative from</w:t>
            </w:r>
          </w:p>
        </w:tc>
      </w:tr>
      <w:tr>
        <w:trPr>
          <w:trHeight w:val="203"/>
        </w:trPr>
        <w:tc>
          <w:tcPr>
            <w:tcW w:w="5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0"/>
              </w:rPr>
              <w:t>June 8, 2011</w:t>
            </w:r>
          </w:p>
        </w:tc>
      </w:tr>
      <w:tr>
        <w:trPr>
          <w:trHeight w:val="203"/>
        </w:trPr>
        <w:tc>
          <w:tcPr>
            <w:tcW w:w="5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(Inception)</w:t>
            </w:r>
          </w:p>
        </w:tc>
      </w:tr>
      <w:tr>
        <w:trPr>
          <w:trHeight w:val="203"/>
        </w:trPr>
        <w:tc>
          <w:tcPr>
            <w:tcW w:w="5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through</w:t>
            </w:r>
          </w:p>
        </w:tc>
      </w:tr>
      <w:tr>
        <w:trPr>
          <w:trHeight w:val="210"/>
        </w:trPr>
        <w:tc>
          <w:tcPr>
            <w:tcW w:w="5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r>
      <w:tr>
        <w:trPr>
          <w:trHeight w:val="202"/>
        </w:trPr>
        <w:tc>
          <w:tcPr>
            <w:tcW w:w="5140" w:type="dxa"/>
            <w:vAlign w:val="bottom"/>
            <w:tcBorders>
              <w:bottom w:val="single" w:sz="8" w:color="CCFFCC"/>
            </w:tcBorders>
          </w:tcPr>
          <w:p>
            <w:pPr>
              <w:spacing w:after="0"/>
              <w:rPr>
                <w:sz w:val="17"/>
                <w:szCs w:val="17"/>
                <w:color w:val="auto"/>
              </w:rPr>
            </w:pPr>
          </w:p>
        </w:tc>
        <w:tc>
          <w:tcPr>
            <w:tcW w:w="700" w:type="dxa"/>
            <w:vAlign w:val="bottom"/>
            <w:tcBorders>
              <w:bottom w:val="single" w:sz="8" w:color="CCFFCC"/>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2013</w:t>
            </w:r>
          </w:p>
        </w:tc>
        <w:tc>
          <w:tcPr>
            <w:tcW w:w="6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FFCC"/>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2012</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20" w:type="dxa"/>
            <w:vAlign w:val="bottom"/>
            <w:tcBorders>
              <w:bottom w:val="single" w:sz="8" w:color="CCFFC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2013</w:t>
            </w:r>
          </w:p>
        </w:tc>
        <w:tc>
          <w:tcPr>
            <w:tcW w:w="2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r>
      <w:tr>
        <w:trPr>
          <w:trHeight w:val="196"/>
        </w:trPr>
        <w:tc>
          <w:tcPr>
            <w:tcW w:w="51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Net loss</w:t>
            </w:r>
          </w:p>
        </w:tc>
        <w:tc>
          <w:tcPr>
            <w:tcW w:w="1800" w:type="dxa"/>
            <w:vAlign w:val="bottom"/>
            <w:gridSpan w:val="2"/>
          </w:tcPr>
          <w:p>
            <w:pPr>
              <w:jc w:val="right"/>
              <w:ind w:right="941"/>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(52,433)</w:t>
            </w:r>
          </w:p>
        </w:tc>
        <w:tc>
          <w:tcPr>
            <w:tcW w:w="1100" w:type="dxa"/>
            <w:vAlign w:val="bottom"/>
          </w:tcPr>
          <w:p>
            <w:pPr>
              <w:jc w:val="right"/>
              <w:ind w:right="942"/>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(20,841)</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20"/>
              <w:spacing w:after="0"/>
              <w:rPr>
                <w:sz w:val="20"/>
                <w:szCs w:val="20"/>
                <w:color w:val="auto"/>
              </w:rPr>
            </w:pPr>
            <w:r>
              <w:rPr>
                <w:rFonts w:ascii="Arial" w:cs="Arial" w:eastAsia="Arial" w:hAnsi="Arial"/>
                <w:sz w:val="16"/>
                <w:szCs w:val="16"/>
                <w:color w:val="auto"/>
              </w:rPr>
              <w:t>(76,028)</w:t>
            </w:r>
          </w:p>
        </w:tc>
        <w:tc>
          <w:tcPr>
            <w:tcW w:w="80" w:type="dxa"/>
            <w:vAlign w:val="bottom"/>
          </w:tcPr>
          <w:p>
            <w:pPr>
              <w:spacing w:after="0"/>
              <w:rPr>
                <w:sz w:val="17"/>
                <w:szCs w:val="17"/>
                <w:color w:val="auto"/>
              </w:rPr>
            </w:pPr>
          </w:p>
        </w:tc>
      </w:tr>
      <w:tr>
        <w:trPr>
          <w:trHeight w:val="203"/>
        </w:trPr>
        <w:tc>
          <w:tcPr>
            <w:tcW w:w="5140" w:type="dxa"/>
            <w:vAlign w:val="bottom"/>
            <w:shd w:val="clear" w:color="auto" w:fill="CCFFCC"/>
          </w:tcPr>
          <w:p>
            <w:pPr>
              <w:spacing w:after="0"/>
              <w:rPr>
                <w:sz w:val="20"/>
                <w:szCs w:val="20"/>
                <w:color w:val="auto"/>
              </w:rPr>
            </w:pPr>
            <w:r>
              <w:rPr>
                <w:rFonts w:ascii="Arial" w:cs="Arial" w:eastAsia="Arial" w:hAnsi="Arial"/>
                <w:sz w:val="16"/>
                <w:szCs w:val="16"/>
                <w:color w:val="auto"/>
              </w:rPr>
              <w:t>Adjustments to reconcile net cash flows used in operating activities:</w:t>
            </w:r>
          </w:p>
        </w:tc>
        <w:tc>
          <w:tcPr>
            <w:tcW w:w="7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b w:val="1"/>
                <w:bCs w:val="1"/>
                <w:color w:val="auto"/>
              </w:rPr>
              <w:t>Items not affecting cash flows</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140" w:type="dxa"/>
            <w:vAlign w:val="bottom"/>
            <w:shd w:val="clear" w:color="auto" w:fill="CCFFCC"/>
          </w:tcPr>
          <w:p>
            <w:pPr>
              <w:spacing w:after="0"/>
              <w:rPr>
                <w:sz w:val="20"/>
                <w:szCs w:val="20"/>
                <w:color w:val="auto"/>
              </w:rPr>
            </w:pPr>
            <w:r>
              <w:rPr>
                <w:rFonts w:ascii="Arial" w:cs="Arial" w:eastAsia="Arial" w:hAnsi="Arial"/>
                <w:sz w:val="16"/>
                <w:szCs w:val="16"/>
                <w:color w:val="auto"/>
              </w:rPr>
              <w:t>Depreciation and amortization</w:t>
            </w:r>
          </w:p>
        </w:tc>
        <w:tc>
          <w:tcPr>
            <w:tcW w:w="7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5,220</w:t>
            </w:r>
          </w:p>
        </w:tc>
        <w:tc>
          <w:tcPr>
            <w:tcW w:w="1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2,501</w:t>
            </w:r>
          </w:p>
        </w:tc>
        <w:tc>
          <w:tcPr>
            <w:tcW w:w="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8,050</w:t>
            </w: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Impairment loss</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7,253</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7,253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140" w:type="dxa"/>
            <w:vAlign w:val="bottom"/>
            <w:shd w:val="clear" w:color="auto" w:fill="CCFFCC"/>
          </w:tcPr>
          <w:p>
            <w:pPr>
              <w:spacing w:after="0"/>
              <w:rPr>
                <w:sz w:val="20"/>
                <w:szCs w:val="20"/>
                <w:color w:val="auto"/>
              </w:rPr>
            </w:pPr>
            <w:r>
              <w:rPr>
                <w:rFonts w:ascii="Arial" w:cs="Arial" w:eastAsia="Arial" w:hAnsi="Arial"/>
                <w:sz w:val="16"/>
                <w:szCs w:val="16"/>
                <w:color w:val="auto"/>
              </w:rPr>
              <w:t>Change in deferred tax assets and liabilities</w:t>
            </w:r>
          </w:p>
        </w:tc>
        <w:tc>
          <w:tcPr>
            <w:tcW w:w="7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FFCC"/>
          </w:tcPr>
          <w:p>
            <w:pPr>
              <w:spacing w:after="0"/>
              <w:rPr>
                <w:sz w:val="17"/>
                <w:szCs w:val="17"/>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6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FFC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12,093</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20,654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140" w:type="dxa"/>
            <w:vAlign w:val="bottom"/>
            <w:shd w:val="clear" w:color="auto" w:fill="CCFFCC"/>
          </w:tcPr>
          <w:p>
            <w:pPr>
              <w:spacing w:after="0"/>
              <w:rPr>
                <w:sz w:val="20"/>
                <w:szCs w:val="20"/>
                <w:color w:val="auto"/>
              </w:rPr>
            </w:pPr>
            <w:r>
              <w:rPr>
                <w:rFonts w:ascii="Arial" w:cs="Arial" w:eastAsia="Arial" w:hAnsi="Arial"/>
                <w:sz w:val="16"/>
                <w:szCs w:val="16"/>
                <w:color w:val="auto"/>
              </w:rPr>
              <w:t>Issuance of warrants</w:t>
            </w:r>
          </w:p>
        </w:tc>
        <w:tc>
          <w:tcPr>
            <w:tcW w:w="7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FFCC"/>
          </w:tcPr>
          <w:p>
            <w:pPr>
              <w:spacing w:after="0"/>
              <w:rPr>
                <w:sz w:val="17"/>
                <w:szCs w:val="17"/>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2,883</w:t>
            </w:r>
          </w:p>
        </w:tc>
        <w:tc>
          <w:tcPr>
            <w:tcW w:w="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2,883</w:t>
            </w: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Assignment of patents</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(100)</w:t>
            </w:r>
          </w:p>
        </w:tc>
        <w:tc>
          <w:tcPr>
            <w:tcW w:w="1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7"/>
                <w:szCs w:val="17"/>
                <w:color w:val="auto"/>
              </w:rPr>
            </w:pPr>
          </w:p>
        </w:tc>
      </w:tr>
      <w:tr>
        <w:trPr>
          <w:trHeight w:val="203"/>
        </w:trPr>
        <w:tc>
          <w:tcPr>
            <w:tcW w:w="5140" w:type="dxa"/>
            <w:vAlign w:val="bottom"/>
            <w:shd w:val="clear" w:color="auto" w:fill="CCFFCC"/>
          </w:tcPr>
          <w:p>
            <w:pPr>
              <w:spacing w:after="0"/>
              <w:rPr>
                <w:sz w:val="20"/>
                <w:szCs w:val="20"/>
                <w:color w:val="auto"/>
              </w:rPr>
            </w:pPr>
            <w:r>
              <w:rPr>
                <w:rFonts w:ascii="Arial" w:cs="Arial" w:eastAsia="Arial" w:hAnsi="Arial"/>
                <w:sz w:val="16"/>
                <w:szCs w:val="16"/>
                <w:color w:val="auto"/>
              </w:rPr>
              <w:t>Change in fair value of warrants</w:t>
            </w:r>
          </w:p>
        </w:tc>
        <w:tc>
          <w:tcPr>
            <w:tcW w:w="7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1,196</w:t>
            </w:r>
          </w:p>
        </w:tc>
        <w:tc>
          <w:tcPr>
            <w:tcW w:w="1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(6,847)</w:t>
            </w: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6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(5,651)</w:t>
            </w:r>
          </w:p>
        </w:tc>
        <w:tc>
          <w:tcPr>
            <w:tcW w:w="80" w:type="dxa"/>
            <w:vAlign w:val="bottom"/>
            <w:shd w:val="clear" w:color="auto" w:fill="CCFFC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Exchange rate loss (gain), net</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(97)</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7"/>
                <w:szCs w:val="17"/>
                <w:color w:val="auto"/>
              </w:rPr>
            </w:pPr>
          </w:p>
        </w:tc>
      </w:tr>
      <w:tr>
        <w:trPr>
          <w:trHeight w:val="203"/>
        </w:trPr>
        <w:tc>
          <w:tcPr>
            <w:tcW w:w="51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Changes in current assets and liabilities</w:t>
            </w:r>
          </w:p>
        </w:tc>
        <w:tc>
          <w:tcPr>
            <w:tcW w:w="7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3"/>
        </w:trPr>
        <w:tc>
          <w:tcPr>
            <w:tcW w:w="5140" w:type="dxa"/>
            <w:vAlign w:val="bottom"/>
          </w:tcPr>
          <w:p>
            <w:pPr>
              <w:ind w:left="40"/>
              <w:spacing w:after="0"/>
              <w:rPr>
                <w:sz w:val="20"/>
                <w:szCs w:val="20"/>
                <w:color w:val="auto"/>
              </w:rPr>
            </w:pPr>
            <w:r>
              <w:rPr>
                <w:rFonts w:ascii="Arial" w:cs="Arial" w:eastAsia="Arial" w:hAnsi="Arial"/>
                <w:sz w:val="16"/>
                <w:szCs w:val="16"/>
                <w:color w:val="auto"/>
              </w:rPr>
              <w:t>Increase in receivables, prepaid expenses and other current assets</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(135)</w:t>
            </w:r>
          </w:p>
        </w:tc>
        <w:tc>
          <w:tcPr>
            <w:tcW w:w="1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(208)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6"/>
                <w:szCs w:val="16"/>
                <w:color w:val="auto"/>
              </w:rPr>
              <w:t>(369)</w:t>
            </w:r>
          </w:p>
        </w:tc>
        <w:tc>
          <w:tcPr>
            <w:tcW w:w="80" w:type="dxa"/>
            <w:vAlign w:val="bottom"/>
          </w:tcPr>
          <w:p>
            <w:pPr>
              <w:spacing w:after="0"/>
              <w:rPr>
                <w:sz w:val="17"/>
                <w:szCs w:val="17"/>
                <w:color w:val="auto"/>
              </w:rPr>
            </w:pPr>
          </w:p>
        </w:tc>
      </w:tr>
      <w:tr>
        <w:trPr>
          <w:trHeight w:val="203"/>
        </w:trPr>
        <w:tc>
          <w:tcPr>
            <w:tcW w:w="5140" w:type="dxa"/>
            <w:vAlign w:val="bottom"/>
            <w:shd w:val="clear" w:color="auto" w:fill="CCFFCC"/>
          </w:tcPr>
          <w:p>
            <w:pPr>
              <w:spacing w:after="0"/>
              <w:rPr>
                <w:sz w:val="20"/>
                <w:szCs w:val="20"/>
                <w:color w:val="auto"/>
              </w:rPr>
            </w:pPr>
            <w:r>
              <w:rPr>
                <w:rFonts w:ascii="Arial" w:cs="Arial" w:eastAsia="Arial" w:hAnsi="Arial"/>
                <w:sz w:val="16"/>
                <w:szCs w:val="16"/>
                <w:color w:val="auto"/>
              </w:rPr>
              <w:t>Increase in payables and accruals</w:t>
            </w:r>
          </w:p>
        </w:tc>
        <w:tc>
          <w:tcPr>
            <w:tcW w:w="700" w:type="dxa"/>
            <w:vAlign w:val="bottom"/>
            <w:shd w:val="clear" w:color="auto" w:fill="CCFFCC"/>
          </w:tcPr>
          <w:p>
            <w:pPr>
              <w:spacing w:after="0"/>
              <w:rPr>
                <w:sz w:val="17"/>
                <w:szCs w:val="17"/>
                <w:color w:val="auto"/>
              </w:rPr>
            </w:pPr>
          </w:p>
        </w:tc>
        <w:tc>
          <w:tcPr>
            <w:tcW w:w="1100" w:type="dxa"/>
            <w:vAlign w:val="bottom"/>
            <w:tcBorders>
              <w:bottom w:val="single" w:sz="8" w:color="auto"/>
            </w:tcBorders>
            <w:shd w:val="clear" w:color="auto" w:fill="CCFFCC"/>
          </w:tcPr>
          <w:p>
            <w:pPr>
              <w:spacing w:after="0"/>
              <w:rPr>
                <w:sz w:val="17"/>
                <w:szCs w:val="17"/>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3,538</w:t>
            </w:r>
          </w:p>
        </w:tc>
        <w:tc>
          <w:tcPr>
            <w:tcW w:w="120" w:type="dxa"/>
            <w:vAlign w:val="bottom"/>
            <w:shd w:val="clear" w:color="auto" w:fill="CCFFCC"/>
          </w:tcPr>
          <w:p>
            <w:pPr>
              <w:spacing w:after="0"/>
              <w:rPr>
                <w:sz w:val="17"/>
                <w:szCs w:val="17"/>
                <w:color w:val="auto"/>
              </w:rPr>
            </w:pPr>
          </w:p>
        </w:tc>
        <w:tc>
          <w:tcPr>
            <w:tcW w:w="1100" w:type="dxa"/>
            <w:vAlign w:val="bottom"/>
            <w:tcBorders>
              <w:bottom w:val="single" w:sz="8" w:color="auto"/>
            </w:tcBorders>
            <w:shd w:val="clear" w:color="auto" w:fill="CCFFCC"/>
          </w:tcPr>
          <w:p>
            <w:pPr>
              <w:spacing w:after="0"/>
              <w:rPr>
                <w:sz w:val="17"/>
                <w:szCs w:val="17"/>
                <w:color w:val="auto"/>
              </w:rPr>
            </w:pP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60" w:type="dxa"/>
            <w:vAlign w:val="bottom"/>
            <w:tcBorders>
              <w:bottom w:val="single" w:sz="8" w:color="auto"/>
            </w:tcBorders>
            <w:shd w:val="clear" w:color="auto" w:fill="CCFFCC"/>
          </w:tcPr>
          <w:p>
            <w:pPr>
              <w:spacing w:after="0"/>
              <w:rPr>
                <w:sz w:val="17"/>
                <w:szCs w:val="17"/>
                <w:color w:val="auto"/>
              </w:rPr>
            </w:pPr>
          </w:p>
        </w:tc>
        <w:tc>
          <w:tcPr>
            <w:tcW w:w="1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3,994</w:t>
            </w: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196"/>
        </w:trPr>
        <w:tc>
          <w:tcPr>
            <w:tcW w:w="5140" w:type="dxa"/>
            <w:vAlign w:val="bottom"/>
            <w:tcBorders>
              <w:bottom w:val="single" w:sz="8" w:color="CCFFCC"/>
            </w:tcBorders>
          </w:tcPr>
          <w:p>
            <w:pPr>
              <w:spacing w:after="0"/>
              <w:rPr>
                <w:sz w:val="20"/>
                <w:szCs w:val="20"/>
                <w:color w:val="auto"/>
              </w:rPr>
            </w:pPr>
            <w:r>
              <w:rPr>
                <w:rFonts w:ascii="Arial" w:cs="Arial" w:eastAsia="Arial" w:hAnsi="Arial"/>
                <w:sz w:val="16"/>
                <w:szCs w:val="16"/>
                <w:color w:val="auto"/>
              </w:rPr>
              <w:t>Net cash used in operating activities</w:t>
            </w:r>
          </w:p>
        </w:tc>
        <w:tc>
          <w:tcPr>
            <w:tcW w:w="700" w:type="dxa"/>
            <w:vAlign w:val="bottom"/>
            <w:tcBorders>
              <w:bottom w:val="single" w:sz="8" w:color="CCFFCC"/>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(23,465)</w:t>
            </w:r>
          </w:p>
        </w:tc>
        <w:tc>
          <w:tcPr>
            <w:tcW w:w="120" w:type="dxa"/>
            <w:vAlign w:val="bottom"/>
            <w:tcBorders>
              <w:bottom w:val="single" w:sz="8" w:color="CCFFCC"/>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(14,468)</w:t>
            </w:r>
          </w:p>
        </w:tc>
        <w:tc>
          <w:tcPr>
            <w:tcW w:w="100" w:type="dxa"/>
            <w:vAlign w:val="bottom"/>
            <w:tcBorders>
              <w:bottom w:val="single" w:sz="8" w:color="CCFFCC"/>
            </w:tcBorders>
          </w:tcPr>
          <w:p>
            <w:pPr>
              <w:spacing w:after="0"/>
              <w:rPr>
                <w:sz w:val="17"/>
                <w:szCs w:val="17"/>
                <w:color w:val="auto"/>
              </w:rPr>
            </w:pPr>
          </w:p>
        </w:tc>
        <w:tc>
          <w:tcPr>
            <w:tcW w:w="20" w:type="dxa"/>
            <w:vAlign w:val="bottom"/>
            <w:tcBorders>
              <w:bottom w:val="single" w:sz="8" w:color="CCFFC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(39,461)</w:t>
            </w:r>
          </w:p>
        </w:tc>
        <w:tc>
          <w:tcPr>
            <w:tcW w:w="20" w:type="dxa"/>
            <w:vAlign w:val="bottom"/>
            <w:tcBorders>
              <w:bottom w:val="single" w:sz="8" w:color="CCFFCC"/>
            </w:tcBorders>
          </w:tcPr>
          <w:p>
            <w:pPr>
              <w:spacing w:after="0"/>
              <w:rPr>
                <w:sz w:val="17"/>
                <w:szCs w:val="17"/>
                <w:color w:val="auto"/>
              </w:rPr>
            </w:pPr>
          </w:p>
        </w:tc>
        <w:tc>
          <w:tcPr>
            <w:tcW w:w="80" w:type="dxa"/>
            <w:vAlign w:val="bottom"/>
            <w:tcBorders>
              <w:bottom w:val="single" w:sz="8" w:color="CCFFCC"/>
            </w:tcBorders>
          </w:tcPr>
          <w:p>
            <w:pPr>
              <w:spacing w:after="0"/>
              <w:rPr>
                <w:sz w:val="17"/>
                <w:szCs w:val="17"/>
                <w:color w:val="auto"/>
              </w:rPr>
            </w:pPr>
          </w:p>
        </w:tc>
      </w:tr>
      <w:tr>
        <w:trPr>
          <w:trHeight w:val="196"/>
        </w:trPr>
        <w:tc>
          <w:tcPr>
            <w:tcW w:w="51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Acquisition of property and equipment</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(23)</w:t>
            </w:r>
          </w:p>
        </w:tc>
        <w:tc>
          <w:tcPr>
            <w:tcW w:w="1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(208)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6"/>
                <w:szCs w:val="16"/>
                <w:color w:val="auto"/>
              </w:rPr>
              <w:t>(240)</w:t>
            </w:r>
          </w:p>
        </w:tc>
        <w:tc>
          <w:tcPr>
            <w:tcW w:w="80" w:type="dxa"/>
            <w:vAlign w:val="bottom"/>
          </w:tcPr>
          <w:p>
            <w:pPr>
              <w:spacing w:after="0"/>
              <w:rPr>
                <w:sz w:val="17"/>
                <w:szCs w:val="17"/>
                <w:color w:val="auto"/>
              </w:rPr>
            </w:pPr>
          </w:p>
        </w:tc>
      </w:tr>
      <w:tr>
        <w:trPr>
          <w:trHeight w:val="203"/>
        </w:trPr>
        <w:tc>
          <w:tcPr>
            <w:tcW w:w="5140" w:type="dxa"/>
            <w:vAlign w:val="bottom"/>
            <w:shd w:val="clear" w:color="auto" w:fill="CCFFCC"/>
          </w:tcPr>
          <w:p>
            <w:pPr>
              <w:spacing w:after="0"/>
              <w:rPr>
                <w:sz w:val="20"/>
                <w:szCs w:val="20"/>
                <w:color w:val="auto"/>
              </w:rPr>
            </w:pPr>
            <w:r>
              <w:rPr>
                <w:rFonts w:ascii="Arial" w:cs="Arial" w:eastAsia="Arial" w:hAnsi="Arial"/>
                <w:sz w:val="16"/>
                <w:szCs w:val="16"/>
                <w:color w:val="auto"/>
              </w:rPr>
              <w:t>Acquisition of patents</w:t>
            </w:r>
          </w:p>
        </w:tc>
        <w:tc>
          <w:tcPr>
            <w:tcW w:w="7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(1,420)</w:t>
            </w:r>
          </w:p>
        </w:tc>
        <w:tc>
          <w:tcPr>
            <w:tcW w:w="1100" w:type="dxa"/>
            <w:vAlign w:val="bottom"/>
            <w:shd w:val="clear" w:color="auto" w:fill="CCFFCC"/>
          </w:tcPr>
          <w:p>
            <w:pPr>
              <w:spacing w:after="0"/>
              <w:rPr>
                <w:sz w:val="17"/>
                <w:szCs w:val="17"/>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97"/>
              </w:rPr>
              <w:t>(22,548)</w:t>
            </w: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6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(27,364)</w:t>
            </w:r>
          </w:p>
        </w:tc>
        <w:tc>
          <w:tcPr>
            <w:tcW w:w="80" w:type="dxa"/>
            <w:vAlign w:val="bottom"/>
            <w:shd w:val="clear" w:color="auto" w:fill="CCFFCC"/>
          </w:tcPr>
          <w:p>
            <w:pPr>
              <w:spacing w:after="0"/>
              <w:rPr>
                <w:sz w:val="17"/>
                <w:szCs w:val="17"/>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Increase in deposits</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(193)</w:t>
            </w:r>
          </w:p>
        </w:tc>
        <w:tc>
          <w:tcPr>
            <w:tcW w:w="1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6"/>
                <w:szCs w:val="16"/>
                <w:color w:val="auto"/>
              </w:rPr>
              <w:t>(239)</w:t>
            </w:r>
          </w:p>
        </w:tc>
        <w:tc>
          <w:tcPr>
            <w:tcW w:w="80" w:type="dxa"/>
            <w:vAlign w:val="bottom"/>
          </w:tcPr>
          <w:p>
            <w:pPr>
              <w:spacing w:after="0"/>
              <w:rPr>
                <w:sz w:val="17"/>
                <w:szCs w:val="17"/>
                <w:color w:val="auto"/>
              </w:rPr>
            </w:pPr>
          </w:p>
        </w:tc>
      </w:tr>
      <w:tr>
        <w:trPr>
          <w:trHeight w:val="203"/>
        </w:trPr>
        <w:tc>
          <w:tcPr>
            <w:tcW w:w="5140" w:type="dxa"/>
            <w:vAlign w:val="bottom"/>
            <w:shd w:val="clear" w:color="auto" w:fill="CCFFCC"/>
          </w:tcPr>
          <w:p>
            <w:pPr>
              <w:spacing w:after="0"/>
              <w:rPr>
                <w:sz w:val="20"/>
                <w:szCs w:val="20"/>
                <w:color w:val="auto"/>
              </w:rPr>
            </w:pPr>
            <w:r>
              <w:rPr>
                <w:rFonts w:ascii="Arial" w:cs="Arial" w:eastAsia="Arial" w:hAnsi="Arial"/>
                <w:sz w:val="16"/>
                <w:szCs w:val="16"/>
                <w:color w:val="auto"/>
              </w:rPr>
              <w:t>Cash acquired as part of acquisition of Vringo (1)</w:t>
            </w:r>
          </w:p>
        </w:tc>
        <w:tc>
          <w:tcPr>
            <w:tcW w:w="7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FFCC"/>
          </w:tcPr>
          <w:p>
            <w:pPr>
              <w:spacing w:after="0"/>
              <w:rPr>
                <w:sz w:val="17"/>
                <w:szCs w:val="17"/>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3,326</w:t>
            </w:r>
          </w:p>
        </w:tc>
        <w:tc>
          <w:tcPr>
            <w:tcW w:w="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3,326</w:t>
            </w: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196"/>
        </w:trPr>
        <w:tc>
          <w:tcPr>
            <w:tcW w:w="514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7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(1,636)</w:t>
            </w:r>
          </w:p>
        </w:tc>
        <w:tc>
          <w:tcPr>
            <w:tcW w:w="1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94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(19,476)</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(24,517)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Cumulative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June 8,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89"/>
              </w:rPr>
              <w:t>For the year ended December 31,</w:t>
            </w:r>
          </w:p>
        </w:tc>
        <w:tc>
          <w:tcPr>
            <w:tcW w:w="22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rPr>
              <w:t>Proceeds from issuance of common stock, net of issuance</w:t>
            </w:r>
          </w:p>
        </w:tc>
        <w:tc>
          <w:tcPr>
            <w:tcW w:w="140" w:type="dxa"/>
            <w:vAlign w:val="bottom"/>
          </w:tcPr>
          <w:p>
            <w:pPr>
              <w:spacing w:after="0"/>
              <w:rPr>
                <w:sz w:val="17"/>
                <w:szCs w:val="17"/>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cost of $52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31,148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31,148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Proceeds from issuance of common stock, net of issuance</w:t>
            </w:r>
          </w:p>
        </w:tc>
        <w:tc>
          <w:tcPr>
            <w:tcW w:w="140" w:type="dxa"/>
            <w:vAlign w:val="bottom"/>
            <w:shd w:val="clear" w:color="auto" w:fill="CCFFCC"/>
          </w:tcPr>
          <w:p>
            <w:pPr>
              <w:spacing w:after="0"/>
              <w:rPr>
                <w:sz w:val="17"/>
                <w:szCs w:val="17"/>
                <w:color w:val="auto"/>
              </w:rPr>
            </w:pPr>
          </w:p>
        </w:tc>
        <w:tc>
          <w:tcPr>
            <w:tcW w:w="1360" w:type="dxa"/>
            <w:vAlign w:val="bottom"/>
            <w:gridSpan w:val="2"/>
            <w:vMerge w:val="restart"/>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cost of $39</w:t>
            </w:r>
          </w:p>
        </w:tc>
        <w:tc>
          <w:tcPr>
            <w:tcW w:w="140" w:type="dxa"/>
            <w:vAlign w:val="bottom"/>
            <w:shd w:val="clear" w:color="auto" w:fill="CCFFCC"/>
          </w:tcPr>
          <w:p>
            <w:pPr>
              <w:spacing w:after="0"/>
              <w:rPr>
                <w:sz w:val="20"/>
                <w:szCs w:val="20"/>
                <w:color w:val="auto"/>
              </w:rPr>
            </w:pPr>
          </w:p>
        </w:tc>
        <w:tc>
          <w:tcPr>
            <w:tcW w:w="1360" w:type="dxa"/>
            <w:vAlign w:val="bottom"/>
            <w:gridSpan w:val="2"/>
            <w:vMerge w:val="continue"/>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44,962</w:t>
            </w: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44,962</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rPr>
              <w:t>Proceeds from issuance (repayment) of note payable—related</w:t>
            </w:r>
          </w:p>
        </w:tc>
        <w:tc>
          <w:tcPr>
            <w:tcW w:w="140" w:type="dxa"/>
            <w:vAlign w:val="bottom"/>
          </w:tcPr>
          <w:p>
            <w:pPr>
              <w:spacing w:after="0"/>
              <w:rPr>
                <w:sz w:val="17"/>
                <w:szCs w:val="17"/>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party</w:t>
            </w:r>
          </w:p>
        </w:tc>
        <w:tc>
          <w:tcPr>
            <w:tcW w:w="14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(3,200)</w:t>
            </w:r>
          </w:p>
        </w:tc>
        <w:tc>
          <w:tcPr>
            <w:tcW w:w="220" w:type="dxa"/>
            <w:vAlign w:val="bottom"/>
          </w:tcPr>
          <w:p>
            <w:pPr>
              <w:spacing w:after="0"/>
              <w:rPr>
                <w:sz w:val="20"/>
                <w:szCs w:val="20"/>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Proceeds from issuance of preferred stock</w:t>
            </w:r>
          </w:p>
        </w:tc>
        <w:tc>
          <w:tcPr>
            <w:tcW w:w="1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Exercise of options</w:t>
            </w: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974</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Exercise of warrants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w:t>
            </w:r>
          </w:p>
        </w:tc>
        <w:tc>
          <w:tcPr>
            <w:tcW w:w="12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12,275</w:t>
            </w:r>
          </w:p>
        </w:tc>
        <w:tc>
          <w:tcPr>
            <w:tcW w:w="12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1,564</w:t>
            </w:r>
          </w:p>
        </w:tc>
        <w:tc>
          <w:tcPr>
            <w:tcW w:w="1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85,694</w:t>
            </w:r>
          </w:p>
        </w:tc>
        <w:tc>
          <w:tcPr>
            <w:tcW w:w="12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97,403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(23,374)</w:t>
            </w:r>
          </w:p>
        </w:tc>
        <w:tc>
          <w:tcPr>
            <w:tcW w:w="3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51,748</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33,586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56,960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33,586</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56,960</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33,586</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Interest paid</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Income taxes paid</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rPr>
              <w:t>Non cash acquisition of patents through issuance of</w:t>
            </w:r>
          </w:p>
        </w:tc>
        <w:tc>
          <w:tcPr>
            <w:tcW w:w="140" w:type="dxa"/>
            <w:vAlign w:val="bottom"/>
          </w:tcPr>
          <w:p>
            <w:pPr>
              <w:spacing w:after="0"/>
              <w:rPr>
                <w:sz w:val="17"/>
                <w:szCs w:val="17"/>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common stock shares (refer to Note 5)</w:t>
            </w:r>
          </w:p>
        </w:tc>
        <w:tc>
          <w:tcPr>
            <w:tcW w:w="14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Conversion of Series A Convertible Preferred stock, classified as</w:t>
            </w:r>
          </w:p>
        </w:tc>
        <w:tc>
          <w:tcPr>
            <w:tcW w:w="140" w:type="dxa"/>
            <w:vAlign w:val="bottom"/>
            <w:shd w:val="clear" w:color="auto" w:fill="CCFFCC"/>
          </w:tcPr>
          <w:p>
            <w:pPr>
              <w:spacing w:after="0"/>
              <w:rPr>
                <w:sz w:val="17"/>
                <w:szCs w:val="17"/>
                <w:color w:val="auto"/>
              </w:rPr>
            </w:pPr>
          </w:p>
        </w:tc>
        <w:tc>
          <w:tcPr>
            <w:tcW w:w="1360" w:type="dxa"/>
            <w:vAlign w:val="bottom"/>
            <w:gridSpan w:val="2"/>
            <w:vMerge w:val="restart"/>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mezzanine equity, into common stock, prior to the Merger</w:t>
            </w:r>
          </w:p>
        </w:tc>
        <w:tc>
          <w:tcPr>
            <w:tcW w:w="140" w:type="dxa"/>
            <w:vAlign w:val="bottom"/>
            <w:shd w:val="clear" w:color="auto" w:fill="CCFFCC"/>
          </w:tcPr>
          <w:p>
            <w:pPr>
              <w:spacing w:after="0"/>
              <w:rPr>
                <w:sz w:val="20"/>
                <w:szCs w:val="20"/>
                <w:color w:val="auto"/>
              </w:rPr>
            </w:pPr>
          </w:p>
        </w:tc>
        <w:tc>
          <w:tcPr>
            <w:tcW w:w="1360" w:type="dxa"/>
            <w:vAlign w:val="bottom"/>
            <w:gridSpan w:val="2"/>
            <w:vMerge w:val="continue"/>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rPr>
              <w:t>Conversion of Series A Convertible Preferred stock, classified as</w:t>
            </w:r>
          </w:p>
        </w:tc>
        <w:tc>
          <w:tcPr>
            <w:tcW w:w="140" w:type="dxa"/>
            <w:vAlign w:val="bottom"/>
          </w:tcPr>
          <w:p>
            <w:pPr>
              <w:spacing w:after="0"/>
              <w:rPr>
                <w:sz w:val="17"/>
                <w:szCs w:val="17"/>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mezzanine equity, into common stock, upon Merger</w:t>
            </w:r>
          </w:p>
        </w:tc>
        <w:tc>
          <w:tcPr>
            <w:tcW w:w="14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Conversion of Series A Convertible Preferred stock, classified as</w:t>
            </w:r>
          </w:p>
        </w:tc>
        <w:tc>
          <w:tcPr>
            <w:tcW w:w="140" w:type="dxa"/>
            <w:vAlign w:val="bottom"/>
            <w:shd w:val="clear" w:color="auto" w:fill="CCFFCC"/>
          </w:tcPr>
          <w:p>
            <w:pPr>
              <w:spacing w:after="0"/>
              <w:rPr>
                <w:sz w:val="17"/>
                <w:szCs w:val="17"/>
                <w:color w:val="auto"/>
              </w:rPr>
            </w:pPr>
          </w:p>
        </w:tc>
        <w:tc>
          <w:tcPr>
            <w:tcW w:w="1360" w:type="dxa"/>
            <w:vAlign w:val="bottom"/>
            <w:gridSpan w:val="2"/>
            <w:vMerge w:val="restart"/>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into common stock, post-Merger</w:t>
            </w:r>
          </w:p>
        </w:tc>
        <w:tc>
          <w:tcPr>
            <w:tcW w:w="140" w:type="dxa"/>
            <w:vAlign w:val="bottom"/>
            <w:shd w:val="clear" w:color="auto" w:fill="CCFFCC"/>
          </w:tcPr>
          <w:p>
            <w:pPr>
              <w:spacing w:after="0"/>
              <w:rPr>
                <w:sz w:val="20"/>
                <w:szCs w:val="20"/>
                <w:color w:val="auto"/>
              </w:rPr>
            </w:pPr>
          </w:p>
        </w:tc>
        <w:tc>
          <w:tcPr>
            <w:tcW w:w="1360" w:type="dxa"/>
            <w:vAlign w:val="bottom"/>
            <w:gridSpan w:val="2"/>
            <w:vMerge w:val="continue"/>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Conversion of derivative warrants into common stock</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Conversion of derivative warrants to equity warrants</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3,918</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3,918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 Cash acquired as part of acquisition of Vringo</w:t>
            </w: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Working capital (excluding 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Long-term deposit</w:t>
            </w:r>
          </w:p>
        </w:tc>
        <w:tc>
          <w:tcPr>
            <w:tcW w:w="1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FFCC"/>
          </w:tcPr>
          <w:p>
            <w:pPr>
              <w:spacing w:after="0"/>
              <w:rPr>
                <w:sz w:val="18"/>
                <w:szCs w:val="18"/>
                <w:color w:val="auto"/>
              </w:rPr>
            </w:pP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Fixed assets, net</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(65,965)</w:t>
            </w:r>
          </w:p>
        </w:tc>
        <w:tc>
          <w:tcPr>
            <w:tcW w:w="220" w:type="dxa"/>
            <w:vAlign w:val="bottom"/>
            <w:shd w:val="clear" w:color="auto" w:fill="CCFFCC"/>
          </w:tcPr>
          <w:p>
            <w:pPr>
              <w:spacing w:after="0"/>
              <w:rPr>
                <w:sz w:val="18"/>
                <w:szCs w:val="18"/>
                <w:color w:val="auto"/>
              </w:rPr>
            </w:pP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Technology</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(10,133)</w:t>
            </w:r>
          </w:p>
        </w:tc>
        <w:tc>
          <w:tcPr>
            <w:tcW w:w="22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Fair value of Legal Parent’s shares of common stock and vested</w:t>
            </w:r>
          </w:p>
        </w:tc>
        <w:tc>
          <w:tcPr>
            <w:tcW w:w="140" w:type="dxa"/>
            <w:vAlign w:val="bottom"/>
            <w:shd w:val="clear" w:color="auto" w:fill="CCFFCC"/>
          </w:tcPr>
          <w:p>
            <w:pPr>
              <w:spacing w:after="0"/>
              <w:rPr>
                <w:sz w:val="17"/>
                <w:szCs w:val="17"/>
                <w:color w:val="auto"/>
              </w:rPr>
            </w:pPr>
          </w:p>
        </w:tc>
        <w:tc>
          <w:tcPr>
            <w:tcW w:w="1360" w:type="dxa"/>
            <w:vAlign w:val="bottom"/>
            <w:gridSpan w:val="2"/>
            <w:vMerge w:val="restart"/>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$0.01 options</w:t>
            </w:r>
          </w:p>
        </w:tc>
        <w:tc>
          <w:tcPr>
            <w:tcW w:w="140" w:type="dxa"/>
            <w:vAlign w:val="bottom"/>
            <w:shd w:val="clear" w:color="auto" w:fill="CCFFCC"/>
          </w:tcPr>
          <w:p>
            <w:pPr>
              <w:spacing w:after="0"/>
              <w:rPr>
                <w:sz w:val="20"/>
                <w:szCs w:val="20"/>
                <w:color w:val="auto"/>
              </w:rPr>
            </w:pPr>
          </w:p>
        </w:tc>
        <w:tc>
          <w:tcPr>
            <w:tcW w:w="1360" w:type="dxa"/>
            <w:vAlign w:val="bottom"/>
            <w:gridSpan w:val="2"/>
            <w:vMerge w:val="continue"/>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58,211</w:t>
            </w: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58,211</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Fair value of warrants and vested stock options</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3,162</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3,326</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3,326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Vringo, Inc., together with its consolidated subsidiaries (the “Company”), is engaged in the development and monetization of intellectual property worldwide. The Company's intellectual property portfolio consists of over 500 patents and patent applications covering telecom infrastructure, internet search and mobile technologies. The Company’s patents and patent applications have been developed internally and acquired from third parties. Prior to December 31, 2013, the Company operated a global platform for the distribution of mobile social applications and services it developed. On December 31, 2013, the Company entered into a definitive agreement to sell its mobile social application business (refer to Notes 7 and 14).</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19, 2012, Vringo, Inc., a Delaware corporation (“Vringo” or “Legal Parent”), closed a merger transaction (the “Merger”) with Innovate/Protect, Inc., a privately held Delaware corporation (“I/P”), pursuant to an Agreement and Plan of Merger, dated as of March 13, 2012 (the “Merger Agreement”), by and among Vringo, I/P and VIP Merger Sub, Inc., a wholly owned subsidiary of Vringo (“Merger Sub”). Pursuant to the Merger Agreement, I/P became a wholly-owned subsidiary of Vringo through a merger of I/P with and into Merger Sub, and the former stockholders of I/P received shares of Vringo that constituted a majority of the outstanding shares of Vringo.</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Immediately following the Merger, approximately 67.61% of the combined company was owned by I/P stockholders on a fully diluted basis, and as a result of this and other factors, I/P was deemed to be the acquiring company for accounting purposes and the transaction was accounted for as a reverse acquisition in accordance with accounting principles generally accepted in the United States (“U.S. GAAP”). Accordingly, the Company’s financial statements for periods prior to the Merger reflect the historical results of I/P, and the Company’s financial statements for all periods from July 19, 2012 reflect the results of the combined company. Unless specifically noted otherwise, as used throughout these consolidated financial statements, the term “Company” refers to the combined company after the Merger, and the business of I/P before the Merger. The terms I/P, Vringo, or Legal Parent refer to such entities’ standalone businesses prior to the Merger.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Legal Parent, I/P and their wholly-owned subsidiaries, and are presented in accordance with U.S. GAAP. All significant intercompany balances and transactions have been eliminated in consolidation. These consolidated financial statements include the results of operations of I/P and subsidiaries for all periods presented, with the results of operations of the Legal Parent and its subsidiaries for the period from July 19, 2012 (the effective date of the Merger) through December 31, 2013. Moreover, equity amounts, as well as net loss per common share, presented for comparative periods differ from those previously presented by I/P, due to application of accounting requirements applicable to a reverse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principal activities to date have been focused on development and enforcement of its intellectual property, and on the research and development of its products. To date, the Company has not generated any significant revenues from its planned principal operations. Accordingly, the Company’s consolidated financial statements are presented as those of a development stage enterprise.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("U.S. $" or “$”). Therefore, the U.S. dollar has been determined to be the Company's functional currency. Post-Merger, the Company conducted significant transactions in foreign currencies (primarily the New Israeli Shekels "NIS" and the Euro). These are recorded at the exchange rate as of the transaction date. All exchange gains and losses from remeasurement of monetary balance sheet items denominated in non-U.S. dollar currencies are reflected as non-operating income (expenses) in the consolidated statements of operations, as they arise.</w:t>
      </w:r>
    </w:p>
    <w:p>
      <w:pPr>
        <w:spacing w:after="0" w:line="171"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r>
              <w:rPr>
                <w:rFonts w:ascii="Arial" w:cs="Arial" w:eastAsia="Arial" w:hAnsi="Arial"/>
                <w:sz w:val="18"/>
                <w:szCs w:val="18"/>
                <w:color w:val="auto"/>
              </w:rPr>
              <w:t>Exchange rate of 1 U.S. $:</w:t>
            </w:r>
          </w:p>
        </w:tc>
        <w:tc>
          <w:tcPr>
            <w:tcW w:w="1240" w:type="dxa"/>
            <w:vAlign w:val="bottom"/>
            <w:gridSpan w:val="2"/>
          </w:tcPr>
          <w:p>
            <w:pPr>
              <w:ind w:left="420"/>
              <w:spacing w:after="0"/>
              <w:rPr>
                <w:sz w:val="20"/>
                <w:szCs w:val="20"/>
                <w:color w:val="auto"/>
              </w:rPr>
            </w:pPr>
            <w:r>
              <w:rPr>
                <w:rFonts w:ascii="Arial" w:cs="Arial" w:eastAsia="Arial" w:hAnsi="Arial"/>
                <w:sz w:val="18"/>
                <w:szCs w:val="18"/>
                <w:b w:val="1"/>
                <w:bCs w:val="1"/>
                <w:color w:val="auto"/>
              </w:rPr>
              <w:t>NIS</w:t>
            </w:r>
          </w:p>
        </w:tc>
        <w:tc>
          <w:tcPr>
            <w:tcW w:w="1280" w:type="dxa"/>
            <w:vAlign w:val="bottom"/>
            <w:gridSpan w:val="2"/>
          </w:tcPr>
          <w:p>
            <w:pPr>
              <w:ind w:left="380"/>
              <w:spacing w:after="0"/>
              <w:rPr>
                <w:sz w:val="20"/>
                <w:szCs w:val="20"/>
                <w:color w:val="auto"/>
              </w:rPr>
            </w:pPr>
            <w:r>
              <w:rPr>
                <w:rFonts w:ascii="Arial" w:cs="Arial" w:eastAsia="Arial" w:hAnsi="Arial"/>
                <w:sz w:val="18"/>
                <w:szCs w:val="18"/>
                <w:b w:val="1"/>
                <w:bCs w:val="1"/>
                <w:color w:val="auto"/>
              </w:rPr>
              <w:t>Euro</w:t>
            </w:r>
          </w:p>
        </w:tc>
      </w:tr>
      <w:tr>
        <w:trPr>
          <w:trHeight w:val="210"/>
        </w:trPr>
        <w:tc>
          <w:tcPr>
            <w:tcW w:w="75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At December 31, 2013</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0.726</w:t>
            </w:r>
          </w:p>
        </w:tc>
        <w:tc>
          <w:tcPr>
            <w:tcW w:w="140" w:type="dxa"/>
            <w:vAlign w:val="bottom"/>
            <w:tcBorders>
              <w:top w:val="single" w:sz="8" w:color="CCFFCC"/>
            </w:tcBorders>
            <w:shd w:val="clear" w:color="auto" w:fill="CCFFC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At December 31, 2012</w:t>
            </w:r>
          </w:p>
        </w:tc>
        <w:tc>
          <w:tcPr>
            <w:tcW w:w="1140" w:type="dxa"/>
            <w:vAlign w:val="bottom"/>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0.759</w:t>
            </w:r>
          </w:p>
        </w:tc>
        <w:tc>
          <w:tcPr>
            <w:tcW w:w="140" w:type="dxa"/>
            <w:vAlign w:val="bottom"/>
          </w:tcPr>
          <w:p>
            <w:pPr>
              <w:spacing w:after="0"/>
              <w:rPr>
                <w:sz w:val="18"/>
                <w:szCs w:val="18"/>
                <w:color w:val="auto"/>
              </w:rPr>
            </w:pPr>
          </w:p>
        </w:tc>
      </w:tr>
      <w:tr>
        <w:trPr>
          <w:trHeight w:val="216"/>
        </w:trPr>
        <w:tc>
          <w:tcPr>
            <w:tcW w:w="7520" w:type="dxa"/>
            <w:vAlign w:val="bottom"/>
            <w:shd w:val="clear" w:color="auto" w:fill="CCFFCC"/>
          </w:tcPr>
          <w:p>
            <w:pPr>
              <w:spacing w:after="0"/>
              <w:rPr>
                <w:sz w:val="20"/>
                <w:szCs w:val="20"/>
                <w:color w:val="auto"/>
              </w:rPr>
            </w:pPr>
            <w:r>
              <w:rPr>
                <w:rFonts w:ascii="Arial" w:cs="Arial" w:eastAsia="Arial" w:hAnsi="Arial"/>
                <w:sz w:val="18"/>
                <w:szCs w:val="18"/>
                <w:color w:val="auto"/>
              </w:rPr>
              <w:t>Average exchange rate for the year ended December 31, 2013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0.753</w:t>
            </w:r>
          </w:p>
        </w:tc>
        <w:tc>
          <w:tcPr>
            <w:tcW w:w="140" w:type="dxa"/>
            <w:vAlign w:val="bottom"/>
            <w:shd w:val="clear" w:color="auto" w:fill="CCFFCC"/>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preparation of the accompanying consolidated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reported period. Actual results may differ from such estimates. Significant items subject to such estimates and assumptions include the valuation of assets assumed and liabilities incurred as part of the Merger, the useful lives of the Company’s tangible and intangible assets, the valuation of its October 2012 Warrants (as defined in Note 9), assets held for sale, derivative warrants, the valuation of stock-based compensation, deferred tax assets and liabilities, income tax uncertainties and other contingencies.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invests its cash in commercial paper, money market deposits and money market funds with financial institutions. The Company has established guidelines relating to diversification and maturities of its investments in order to minimize credit risk and maintain high liquidity of funds. All highly liquid investments with original maturities of three months or less at acquisition date are considered cash equivalents.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337" w:right="239" w:bottom="0"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(f) Derivative instruments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all derivative instruments as either assets or liabilities in the consolidated balance sheets at their respective fair values. The Company's derivative instruments include Special Bridge Warrants, Conversion Warrants, Preferential Reload Warrants and Series 1 Warrants, all of which have been recorded as a liability, at fair value, and are revalued at each reporting date, with changes in the fair value of the instruments included in the consolidated statements of operations as non-operating income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Long-lived assets</w:t>
      </w:r>
    </w:p>
    <w:p>
      <w:pPr>
        <w:spacing w:after="0" w:line="225" w:lineRule="exact"/>
        <w:rPr>
          <w:sz w:val="20"/>
          <w:szCs w:val="20"/>
          <w:color w:val="auto"/>
        </w:rPr>
      </w:pPr>
    </w:p>
    <w:p>
      <w:pPr>
        <w:jc w:val="both"/>
        <w:ind w:firstLine="738"/>
        <w:spacing w:after="0" w:line="270" w:lineRule="auto"/>
        <w:rPr>
          <w:sz w:val="20"/>
          <w:szCs w:val="20"/>
          <w:color w:val="auto"/>
        </w:rPr>
      </w:pPr>
      <w:r>
        <w:rPr>
          <w:rFonts w:ascii="Arial" w:cs="Arial" w:eastAsia="Arial" w:hAnsi="Arial"/>
          <w:sz w:val="17"/>
          <w:szCs w:val="17"/>
          <w:color w:val="auto"/>
        </w:rPr>
        <w:t>The Company’s long-lived assets are reviewed for impairment whenever events or changes in circumstances indicate that the carrying amount of an asset may not be recoverable. In assessing the recoverability of the Company's long-lived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the Company may be required to record impairment charges related to its long-lived assets. During the fourth quarter of 2013, the Company recorded an impairment loss of $7,045 related to its acquired technology in connection with the sale of its mobile social application business. Refer to Note 7 for further discussion.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Property and equipment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Property and equipment is stated at cost, net of accumulated depreciation. Depreciation is calculated on a straight-line basis over the estimated useful lives of the assets. The useful lives of the Company’s property and equipment are based on estimates of the period over which the Company expects the assets to be of economic benefit to the Company. Leasehold improvements are amortized over the shorter of the useful life of the asset or the term of the lease.</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Annual depreciation rates are as follows:</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CFFCC"/>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Office furniture and equipment</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7-33</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Computers and related equipment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Leasehold improvements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10-33</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Intangible assets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Intangible assets include purchased patents which are recorded based on the cost to acquire them (refer to Note 5). These assets are amortized over their remaining estimated useful lives which are periodically evaluated for reasonableness. The assets are tested for impairment whenever events or changes in circumstances indicate that the carrying amount of the asset may no longer be recoverable. The Company also has acquired technology which is included in assets held for sale in the consolidated balance sheet as of December 31, 2013 at fair value. The acquired technology was included in intangible assets, net in the consolidated balance sheet as of December 31, 2012. Refer to Notes 6 and 7 for further discussion.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Goodwill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Goodwill is an asset representing the future economic benefits arising from other assets acquired in a business combination that are not individually identified and separately recognized. Goodwill is reviewed for impairment at least annually, and when triggering events occur, in accordance with the provisions of </w:t>
      </w:r>
      <w:r>
        <w:rPr>
          <w:rFonts w:ascii="Arial" w:cs="Arial" w:eastAsia="Arial" w:hAnsi="Arial"/>
          <w:sz w:val="18"/>
          <w:szCs w:val="18"/>
          <w:i w:val="1"/>
          <w:iCs w:val="1"/>
          <w:color w:val="auto"/>
        </w:rPr>
        <w:t>Financial Accounting Standards Board (“FASB”) Accounting Standards Codification (“ASC”) Topic 350, Intangibles - Goodwill and Other</w:t>
      </w:r>
      <w:r>
        <w:rPr>
          <w:rFonts w:ascii="Arial" w:cs="Arial" w:eastAsia="Arial" w:hAnsi="Arial"/>
          <w:sz w:val="18"/>
          <w:szCs w:val="18"/>
          <w:color w:val="auto"/>
        </w:rPr>
        <w:t>. The Company has one reporting unit for purposes of evaluating goodwill impairment.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has the option to perform a qualitative assessment to determine if an impairment is more likely than not to have occurred. If the Company can support the conclusion that it is not more likely than not that the fair value of a reporting unit is less than its carrying amount, the Company would not need to perform the two-step impairment test for the reporting unit. If the Company cannot support such a conclusion or the Company does not elect to perform the qualitative assessment then the first step of the goodwill impairment test is used to identify potential impairment by comparing the fair value of the reporting unit with its carrying amount, including goodwill. If the fair value of the reporting unit exceeds its carrying value, then step two of the impairment test (measurement) does not need to be performed. If the fair value of the reporting unit is less than its carrying value, an indication of goodwill impairment exists for the reporting unit and the entity must perform step two of the impairment test. Under step two,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Fair value of the reporting unit is determined using certain valuation techniques in addition to the company’s market capitalization.</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performed its annual impairment test of goodwill as of December 31, 2013. Based on this test, the Company did not recognize an impairment charge related to goodwill since the fair value of the reporting unit significantly exceeded its carrying value. The fair value as of December 31, 2013 was approximated to be $250,127, exceeding the carrying value by 118%. The Company did however recognize an impairment charge related to goodwill of approximately $208 during the fourth quarter of 2013 in connection with the sale of its mobile social application business. Refer to Note 7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Revenue recognition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Revenue from patent licensing and enforcement is recognized if collection is reasonably assured, persuasive evidence of an arrangement exists, the sales price is fixed or determinable and delivery of the service has been rendered. The Company uses management's best estimate of selling price for individual elements in multiple-element arrangements, where vendor specific evidence or third party evidence of selling price is not available.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81"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auto"/>
        </w:rPr>
        <w:t>(l) Operating legal costs</w:t>
      </w:r>
    </w:p>
    <w:p>
      <w:pPr>
        <w:spacing w:after="0" w:line="23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Operating legal costs mainly include the costs and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internal payroll expenses, share based compensation, and the amortization of acquired patents.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Research and development</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Research and development expenses were expensed as incurred and consists primarily of payroll and facilities charges associated with the research, development and integration of the Company’s mobile social application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Accounting for stock-based compensation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Stock-based compensation is recognized as an expense in the consolidated statements of operations and such cost is measured at the grant-date fair value of the equity-settled award. The fair value of stock options is estimated at the date of grant using the Black-Scholes-Merton option-pricing model. In cases where no measurement date has been reached as there is no counter-party performance nor performance commitment (sufficiently large disincentive for non-performance), the options are revalued at each reporting date. The expense is recognized on a straight-line basis, over the requisite service period. The Company uses full contractual life to estimate the expected term of options granted to management and directors (and non-employees), as the Company expects such options to be exercised at the end of their life, and the simplified method to estimate the expected term of options granted to employees, due to insufficient history and high turnover in the past. The contractual life of options granted under the Legal Parent’s 2006 and 2012 option plans are 6 and 10 years, respectively. Since the Company lacks sufficient history, expected volatility is estimated based on the average historical volatility of similar entities with publicly traded shares. The risk-free rate for the expected term of the option is based on the U.S. Treasury yield curve at the date of grant.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These adjustments are recognized as a component of income tax expense entirely in the period in which new information is available. The Company records interest related to unrecognized tax benefits in interest expense and penalties in the consolidated statements of operations as general and administrative expenses.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percent of being realized. Changes in recognition or measurement are reflected in the period in which the change in judgment occurs.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43" w:name="page44"/>
    <w:bookmarkEnd w:id="43"/>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Net loss per share data</w:t>
      </w:r>
    </w:p>
    <w:p>
      <w:pPr>
        <w:spacing w:after="0" w:line="22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some potentially dilutive securities, that relate to the continuing operations, including certain warrants and stock options, were not reflected in diluted net loss per share, because the impact of such instruments was anti-dilutive. The table below presents the computation of basic and diluted net losses per common share: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Cumulative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June 8, 2011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5"/>
          </w:tcPr>
          <w:p>
            <w:pPr>
              <w:ind w:left="20"/>
              <w:spacing w:after="0"/>
              <w:rPr>
                <w:sz w:val="20"/>
                <w:szCs w:val="20"/>
                <w:color w:val="auto"/>
              </w:rPr>
            </w:pPr>
            <w:r>
              <w:rPr>
                <w:rFonts w:ascii="Arial" w:cs="Arial" w:eastAsia="Arial" w:hAnsi="Arial"/>
                <w:sz w:val="18"/>
                <w:szCs w:val="18"/>
                <w:b w:val="1"/>
                <w:bCs w:val="1"/>
                <w:color w:val="auto"/>
                <w:w w:val="95"/>
              </w:rPr>
              <w:t>Year ended December 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(Inception) through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Basic Numerator:</w:t>
            </w:r>
          </w:p>
        </w:tc>
        <w:tc>
          <w:tcPr>
            <w:tcW w:w="1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7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Loss from continuing operations attributable to shares of</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(41,748)</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00" w:type="dxa"/>
            <w:vAlign w:val="bottom"/>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(18,409)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(62,911)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Loss from discontinued operations attributable to shares of</w:t>
            </w:r>
          </w:p>
        </w:tc>
        <w:tc>
          <w:tcPr>
            <w:tcW w:w="10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(10,685)</w:t>
            </w: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common stock</w:t>
            </w:r>
          </w:p>
        </w:tc>
        <w:tc>
          <w:tcPr>
            <w:tcW w:w="100" w:type="dxa"/>
            <w:vAlign w:val="bottom"/>
            <w:vMerge w:val="continue"/>
            <w:shd w:val="clear" w:color="auto" w:fill="CCFFCC"/>
          </w:tcPr>
          <w:p>
            <w:pPr>
              <w:spacing w:after="0"/>
              <w:rPr>
                <w:sz w:val="20"/>
                <w:szCs w:val="20"/>
                <w:color w:val="auto"/>
              </w:rPr>
            </w:pPr>
          </w:p>
        </w:tc>
        <w:tc>
          <w:tcPr>
            <w:tcW w:w="1060" w:type="dxa"/>
            <w:vAlign w:val="bottom"/>
            <w:gridSpan w:val="2"/>
            <w:vMerge w:val="continue"/>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(2,432)</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loss attributable to shares of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(52,433)</w:t>
            </w:r>
          </w:p>
        </w:tc>
        <w:tc>
          <w:tcPr>
            <w:tcW w:w="1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(20,841)</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(76,028)</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Basic Denominator:</w:t>
            </w: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 stock outstanding</w:t>
            </w:r>
          </w:p>
        </w:tc>
        <w:tc>
          <w:tcPr>
            <w:tcW w:w="1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83,097,667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during the period</w:t>
            </w:r>
          </w:p>
        </w:tc>
        <w:tc>
          <w:tcPr>
            <w:tcW w:w="1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38,949,305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50,004,601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penny stock options</w:t>
            </w:r>
          </w:p>
        </w:tc>
        <w:tc>
          <w:tcPr>
            <w:tcW w:w="100" w:type="dxa"/>
            <w:vAlign w:val="bottom"/>
            <w:tcBorders>
              <w:bottom w:val="single" w:sz="8" w:color="auto"/>
            </w:tcBorders>
            <w:shd w:val="clear" w:color="auto" w:fill="CCFFCC"/>
          </w:tcPr>
          <w:p>
            <w:pPr>
              <w:spacing w:after="0"/>
              <w:rPr>
                <w:sz w:val="18"/>
                <w:szCs w:val="18"/>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104,024</w:t>
            </w:r>
          </w:p>
        </w:tc>
        <w:tc>
          <w:tcPr>
            <w:tcW w:w="12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161,871</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100,872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Basic common stock share outstanding</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83,201,691</w:t>
            </w:r>
          </w:p>
        </w:tc>
        <w:tc>
          <w:tcPr>
            <w:tcW w:w="12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39,111,176</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50,105,473</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shd w:val="clear" w:color="auto" w:fill="CCFFCC"/>
          </w:tcPr>
          <w:p>
            <w:pPr>
              <w:spacing w:after="0" w:line="182" w:lineRule="exact"/>
              <w:rPr>
                <w:sz w:val="20"/>
                <w:szCs w:val="20"/>
                <w:color w:val="auto"/>
              </w:rPr>
            </w:pPr>
            <w:r>
              <w:rPr>
                <w:rFonts w:ascii="Arial" w:cs="Arial" w:eastAsia="Arial" w:hAnsi="Arial"/>
                <w:sz w:val="18"/>
                <w:szCs w:val="18"/>
                <w:color w:val="auto"/>
              </w:rPr>
              <w:t>Basic loss per common stock share from continuing</w:t>
            </w:r>
          </w:p>
        </w:tc>
        <w:tc>
          <w:tcPr>
            <w:tcW w:w="10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(0.50)</w:t>
            </w:r>
          </w:p>
        </w:tc>
        <w:tc>
          <w:tcPr>
            <w:tcW w:w="12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7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operations</w:t>
            </w:r>
          </w:p>
        </w:tc>
        <w:tc>
          <w:tcPr>
            <w:tcW w:w="100" w:type="dxa"/>
            <w:vAlign w:val="bottom"/>
            <w:vMerge w:val="continue"/>
            <w:shd w:val="clear" w:color="auto" w:fill="CCFFCC"/>
          </w:tcPr>
          <w:p>
            <w:pPr>
              <w:spacing w:after="0"/>
              <w:rPr>
                <w:sz w:val="20"/>
                <w:szCs w:val="20"/>
                <w:color w:val="auto"/>
              </w:rPr>
            </w:pPr>
          </w:p>
        </w:tc>
        <w:tc>
          <w:tcPr>
            <w:tcW w:w="1060" w:type="dxa"/>
            <w:vAlign w:val="bottom"/>
            <w:gridSpan w:val="2"/>
            <w:vMerge w:val="continue"/>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(0.47)</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Basic loss per common stock share from discontinued</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(0.13)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00" w:type="dxa"/>
            <w:vAlign w:val="bottom"/>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Basic net loss per common stock share</w:t>
            </w: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(0.63)</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(0.53)</w:t>
            </w:r>
          </w:p>
        </w:tc>
        <w:tc>
          <w:tcPr>
            <w:tcW w:w="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Diluted Numerator:</w:t>
            </w: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loss attributable to shares of common stock</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(41,748)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(18,409)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Increase in net loss attributable to derivative warrants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(4,701)</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80" w:type="dxa"/>
            <w:vAlign w:val="bottom"/>
          </w:tcPr>
          <w:p>
            <w:pPr>
              <w:spacing w:after="0" w:line="178" w:lineRule="exact"/>
              <w:rPr>
                <w:sz w:val="20"/>
                <w:szCs w:val="20"/>
                <w:color w:val="auto"/>
              </w:rPr>
            </w:pPr>
            <w:r>
              <w:rPr>
                <w:rFonts w:ascii="Arial" w:cs="Arial" w:eastAsia="Arial" w:hAnsi="Arial"/>
                <w:sz w:val="18"/>
                <w:szCs w:val="18"/>
                <w:b w:val="1"/>
                <w:bCs w:val="1"/>
                <w:color w:val="auto"/>
              </w:rPr>
              <w:t>Diluted net loss from continuing operations attributable to</w:t>
            </w: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b w:val="1"/>
                <w:bCs w:val="1"/>
                <w:color w:val="auto"/>
              </w:rPr>
              <w:t>shares of common stock</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(41,807)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(23,110)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(66,247)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80" w:type="dxa"/>
            <w:vAlign w:val="bottom"/>
            <w:tcBorders>
              <w:top w:val="single" w:sz="8" w:color="CCFFCC"/>
            </w:tcBorders>
            <w:shd w:val="clear" w:color="auto" w:fill="CCFFCC"/>
          </w:tcPr>
          <w:p>
            <w:pPr>
              <w:spacing w:after="0" w:line="178" w:lineRule="exact"/>
              <w:rPr>
                <w:sz w:val="20"/>
                <w:szCs w:val="20"/>
                <w:color w:val="auto"/>
              </w:rPr>
            </w:pPr>
            <w:r>
              <w:rPr>
                <w:rFonts w:ascii="Arial" w:cs="Arial" w:eastAsia="Arial" w:hAnsi="Arial"/>
                <w:sz w:val="18"/>
                <w:szCs w:val="18"/>
                <w:b w:val="1"/>
                <w:bCs w:val="1"/>
                <w:color w:val="auto"/>
              </w:rPr>
              <w:t>Diluted net loss from discontinued operations attributable to</w:t>
            </w:r>
          </w:p>
        </w:tc>
        <w:tc>
          <w:tcPr>
            <w:tcW w:w="100" w:type="dxa"/>
            <w:vAlign w:val="bottom"/>
            <w:tcBorders>
              <w:top w:val="single" w:sz="8" w:color="auto"/>
            </w:tcBorders>
            <w:shd w:val="clear" w:color="auto" w:fill="CCFFCC"/>
          </w:tcPr>
          <w:p>
            <w:pPr>
              <w:spacing w:after="0"/>
              <w:rPr>
                <w:sz w:val="15"/>
                <w:szCs w:val="15"/>
                <w:color w:val="auto"/>
              </w:rPr>
            </w:pPr>
          </w:p>
        </w:tc>
        <w:tc>
          <w:tcPr>
            <w:tcW w:w="940" w:type="dxa"/>
            <w:vAlign w:val="bottom"/>
            <w:tcBorders>
              <w:top w:val="single" w:sz="8" w:color="auto"/>
            </w:tcBorders>
            <w:shd w:val="clear" w:color="auto" w:fill="CCFFCC"/>
          </w:tcPr>
          <w:p>
            <w:pPr>
              <w:spacing w:after="0"/>
              <w:rPr>
                <w:sz w:val="15"/>
                <w:szCs w:val="15"/>
                <w:color w:val="auto"/>
              </w:rPr>
            </w:pPr>
          </w:p>
        </w:tc>
        <w:tc>
          <w:tcPr>
            <w:tcW w:w="12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auto"/>
            </w:tcBorders>
            <w:shd w:val="clear" w:color="auto" w:fill="CCFFCC"/>
          </w:tcPr>
          <w:p>
            <w:pPr>
              <w:spacing w:after="0"/>
              <w:rPr>
                <w:sz w:val="15"/>
                <w:szCs w:val="15"/>
                <w:color w:val="auto"/>
              </w:rPr>
            </w:pPr>
          </w:p>
        </w:tc>
        <w:tc>
          <w:tcPr>
            <w:tcW w:w="920" w:type="dxa"/>
            <w:vAlign w:val="bottom"/>
            <w:tcBorders>
              <w:top w:val="single" w:sz="8" w:color="auto"/>
            </w:tcBorders>
            <w:shd w:val="clear" w:color="auto" w:fill="CCFFCC"/>
          </w:tcPr>
          <w:p>
            <w:pPr>
              <w:spacing w:after="0"/>
              <w:rPr>
                <w:sz w:val="15"/>
                <w:szCs w:val="15"/>
                <w:color w:val="auto"/>
              </w:rPr>
            </w:pPr>
          </w:p>
        </w:tc>
        <w:tc>
          <w:tcPr>
            <w:tcW w:w="4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120" w:type="dxa"/>
            <w:vAlign w:val="bottom"/>
            <w:tcBorders>
              <w:top w:val="single" w:sz="8" w:color="auto"/>
            </w:tcBorders>
            <w:shd w:val="clear" w:color="auto" w:fill="CCFFCC"/>
          </w:tcPr>
          <w:p>
            <w:pPr>
              <w:spacing w:after="0"/>
              <w:rPr>
                <w:sz w:val="15"/>
                <w:szCs w:val="15"/>
                <w:color w:val="auto"/>
              </w:rPr>
            </w:pPr>
          </w:p>
        </w:tc>
        <w:tc>
          <w:tcPr>
            <w:tcW w:w="170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shares of common stock</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(10,685)</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(2,432)</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Diluted net loss attributable to shares of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(52,492)</w:t>
            </w:r>
          </w:p>
        </w:tc>
        <w:tc>
          <w:tcPr>
            <w:tcW w:w="1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(25,542)</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(79,364)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Diluted Denominator:</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Basic common stock share outstanding</w:t>
            </w: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5"/>
              </w:rPr>
              <w:t>83,201,691</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0"/>
              </w:rPr>
              <w:t>39,111,176</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50,105,473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Weighted average number of derivative warrants outstanding</w:t>
            </w:r>
          </w:p>
        </w:tc>
        <w:tc>
          <w:tcPr>
            <w:tcW w:w="1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79,182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during the period</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2,553,500</w:t>
            </w:r>
          </w:p>
        </w:tc>
        <w:tc>
          <w:tcPr>
            <w:tcW w:w="4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1,513,424</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Diluted common stock share outstanding</w:t>
            </w:r>
          </w:p>
        </w:tc>
        <w:tc>
          <w:tcPr>
            <w:tcW w:w="100" w:type="dxa"/>
            <w:vAlign w:val="bottom"/>
            <w:tcBorders>
              <w:bottom w:val="single" w:sz="8" w:color="auto"/>
            </w:tcBorders>
            <w:shd w:val="clear" w:color="auto" w:fill="CCFFCC"/>
          </w:tcPr>
          <w:p>
            <w:pPr>
              <w:spacing w:after="0"/>
              <w:rPr>
                <w:sz w:val="18"/>
                <w:szCs w:val="18"/>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5"/>
              </w:rPr>
              <w:t>83,280,873</w:t>
            </w:r>
          </w:p>
        </w:tc>
        <w:tc>
          <w:tcPr>
            <w:tcW w:w="12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0"/>
              </w:rPr>
              <w:t>41,664,676</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51,618,897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80" w:type="dxa"/>
            <w:vAlign w:val="bottom"/>
          </w:tcPr>
          <w:p>
            <w:pPr>
              <w:spacing w:after="0" w:line="178" w:lineRule="exact"/>
              <w:rPr>
                <w:sz w:val="20"/>
                <w:szCs w:val="20"/>
                <w:color w:val="auto"/>
              </w:rPr>
            </w:pPr>
            <w:r>
              <w:rPr>
                <w:rFonts w:ascii="Arial" w:cs="Arial" w:eastAsia="Arial" w:hAnsi="Arial"/>
                <w:sz w:val="18"/>
                <w:szCs w:val="18"/>
                <w:b w:val="1"/>
                <w:bCs w:val="1"/>
                <w:color w:val="auto"/>
              </w:rPr>
              <w:t>Diluted loss per common stock share from continuing</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(0.55)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Diluted loss per common stock share from discontinued</w:t>
            </w:r>
          </w:p>
        </w:tc>
        <w:tc>
          <w:tcPr>
            <w:tcW w:w="1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operations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(0.13)</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(0.06)</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Diluted net loss per common stock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(0.63)</w:t>
            </w:r>
          </w:p>
        </w:tc>
        <w:tc>
          <w:tcPr>
            <w:tcW w:w="1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34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w w:val="90"/>
              </w:rPr>
              <w:t>Net loss per share data presented excludes from the calculation of diluted net loss the following potentially</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4"/>
          </w:tcPr>
          <w:p>
            <w:pPr>
              <w:ind w:left="160"/>
              <w:spacing w:after="0"/>
              <w:rPr>
                <w:sz w:val="20"/>
                <w:szCs w:val="20"/>
                <w:color w:val="auto"/>
              </w:rPr>
            </w:pPr>
            <w:r>
              <w:rPr>
                <w:rFonts w:ascii="Arial" w:cs="Arial" w:eastAsia="Arial" w:hAnsi="Arial"/>
                <w:sz w:val="18"/>
                <w:szCs w:val="18"/>
                <w:b w:val="1"/>
                <w:bCs w:val="1"/>
                <w:color w:val="auto"/>
                <w:w w:val="97"/>
              </w:rPr>
              <w:t>dilutive securities, as of December 31 of the applicable period, as they had an anti-dilutive impact: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Both vested and unvested options at $0.96-$5.50 exercise price, to</w:t>
            </w:r>
          </w:p>
        </w:tc>
        <w:tc>
          <w:tcPr>
            <w:tcW w:w="1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an equal number of shares of common stock of</w:t>
            </w:r>
          </w:p>
        </w:tc>
        <w:tc>
          <w:tcPr>
            <w:tcW w:w="100" w:type="dxa"/>
            <w:vAlign w:val="bottom"/>
            <w:shd w:val="clear" w:color="auto" w:fill="CCFFCC"/>
          </w:tcPr>
          <w:p>
            <w:pPr>
              <w:spacing w:after="0"/>
              <w:rPr>
                <w:sz w:val="18"/>
                <w:szCs w:val="18"/>
                <w:color w:val="auto"/>
              </w:rPr>
            </w:pPr>
          </w:p>
        </w:tc>
        <w:tc>
          <w:tcPr>
            <w:tcW w:w="94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w w:val="95"/>
              </w:rPr>
              <w:t>10,407,157</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the Company</w:t>
            </w:r>
          </w:p>
        </w:tc>
        <w:tc>
          <w:tcPr>
            <w:tcW w:w="100" w:type="dxa"/>
            <w:vAlign w:val="bottom"/>
            <w:shd w:val="clear" w:color="auto" w:fill="CCFFCC"/>
          </w:tcPr>
          <w:p>
            <w:pPr>
              <w:spacing w:after="0"/>
              <w:rPr>
                <w:sz w:val="20"/>
                <w:szCs w:val="20"/>
                <w:color w:val="auto"/>
              </w:rPr>
            </w:pPr>
          </w:p>
        </w:tc>
        <w:tc>
          <w:tcPr>
            <w:tcW w:w="940" w:type="dxa"/>
            <w:vAlign w:val="bottom"/>
            <w:vMerge w:val="continue"/>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8,942,929</w:t>
            </w:r>
          </w:p>
        </w:tc>
        <w:tc>
          <w:tcPr>
            <w:tcW w:w="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10,407,157</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rPr>
              <w:t>Unvested penny options to purchase an equal number of</w:t>
            </w:r>
          </w:p>
        </w:tc>
        <w:tc>
          <w:tcPr>
            <w:tcW w:w="100" w:type="dxa"/>
            <w:vAlign w:val="bottom"/>
          </w:tcPr>
          <w:p>
            <w:pPr>
              <w:spacing w:after="0"/>
              <w:rPr>
                <w:sz w:val="17"/>
                <w:szCs w:val="17"/>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shares of common stock of the Company</w:t>
            </w:r>
          </w:p>
        </w:tc>
        <w:tc>
          <w:tcPr>
            <w:tcW w:w="10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Unvested RSUs to issue an equal number of shares of common stock</w:t>
            </w:r>
          </w:p>
        </w:tc>
        <w:tc>
          <w:tcPr>
            <w:tcW w:w="100" w:type="dxa"/>
            <w:vAlign w:val="bottom"/>
            <w:shd w:val="clear" w:color="auto" w:fill="CCFFCC"/>
          </w:tcPr>
          <w:p>
            <w:pPr>
              <w:spacing w:after="0"/>
              <w:rPr>
                <w:sz w:val="17"/>
                <w:szCs w:val="17"/>
                <w:color w:val="auto"/>
              </w:rPr>
            </w:pPr>
          </w:p>
        </w:tc>
        <w:tc>
          <w:tcPr>
            <w:tcW w:w="94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rPr>
              <w:t>2,161,402</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of the Company</w:t>
            </w:r>
          </w:p>
        </w:tc>
        <w:tc>
          <w:tcPr>
            <w:tcW w:w="100" w:type="dxa"/>
            <w:vAlign w:val="bottom"/>
            <w:shd w:val="clear" w:color="auto" w:fill="CCFFCC"/>
          </w:tcPr>
          <w:p>
            <w:pPr>
              <w:spacing w:after="0"/>
              <w:rPr>
                <w:sz w:val="20"/>
                <w:szCs w:val="20"/>
                <w:color w:val="auto"/>
              </w:rPr>
            </w:pPr>
          </w:p>
        </w:tc>
        <w:tc>
          <w:tcPr>
            <w:tcW w:w="940" w:type="dxa"/>
            <w:vAlign w:val="bottom"/>
            <w:vMerge w:val="continue"/>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3,125,000</w:t>
            </w:r>
          </w:p>
        </w:tc>
        <w:tc>
          <w:tcPr>
            <w:tcW w:w="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2,161,402</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Common stock shares granted, but not yet vested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30,046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92,903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Warrants to purchase an equal number of shares of common stock</w:t>
            </w:r>
          </w:p>
        </w:tc>
        <w:tc>
          <w:tcPr>
            <w:tcW w:w="100" w:type="dxa"/>
            <w:vAlign w:val="bottom"/>
            <w:shd w:val="clear" w:color="auto" w:fill="CCFFCC"/>
          </w:tcPr>
          <w:p>
            <w:pPr>
              <w:spacing w:after="0"/>
              <w:rPr>
                <w:sz w:val="17"/>
                <w:szCs w:val="17"/>
                <w:color w:val="auto"/>
              </w:rPr>
            </w:pPr>
          </w:p>
        </w:tc>
        <w:tc>
          <w:tcPr>
            <w:tcW w:w="94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w w:val="95"/>
              </w:rPr>
              <w:t>18,261,031</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of the Company</w:t>
            </w:r>
          </w:p>
        </w:tc>
        <w:tc>
          <w:tcPr>
            <w:tcW w:w="100" w:type="dxa"/>
            <w:vAlign w:val="bottom"/>
            <w:tcBorders>
              <w:bottom w:val="single" w:sz="8" w:color="auto"/>
            </w:tcBorders>
            <w:shd w:val="clear" w:color="auto" w:fill="CCFFCC"/>
          </w:tcPr>
          <w:p>
            <w:pPr>
              <w:spacing w:after="0"/>
              <w:rPr>
                <w:sz w:val="20"/>
                <w:szCs w:val="20"/>
                <w:color w:val="auto"/>
              </w:rPr>
            </w:pPr>
          </w:p>
        </w:tc>
        <w:tc>
          <w:tcPr>
            <w:tcW w:w="940" w:type="dxa"/>
            <w:vAlign w:val="bottom"/>
            <w:tcBorders>
              <w:bottom w:val="single" w:sz="8" w:color="auto"/>
            </w:tcBorders>
            <w:vMerge w:val="continue"/>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3,787,628</w:t>
            </w:r>
          </w:p>
        </w:tc>
        <w:tc>
          <w:tcPr>
            <w:tcW w:w="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1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15,202,513</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80" w:type="dxa"/>
            <w:vAlign w:val="bottom"/>
          </w:tcPr>
          <w:p>
            <w:pPr>
              <w:spacing w:after="0" w:line="178" w:lineRule="exact"/>
              <w:rPr>
                <w:sz w:val="20"/>
                <w:szCs w:val="20"/>
                <w:color w:val="auto"/>
              </w:rPr>
            </w:pPr>
            <w:r>
              <w:rPr>
                <w:rFonts w:ascii="Arial" w:cs="Arial" w:eastAsia="Arial" w:hAnsi="Arial"/>
                <w:sz w:val="18"/>
                <w:szCs w:val="18"/>
                <w:b w:val="1"/>
                <w:bCs w:val="1"/>
                <w:color w:val="auto"/>
              </w:rPr>
              <w:t>Total number of potentially dilutive instruments, excluded</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b w:val="1"/>
                <w:bCs w:val="1"/>
                <w:color w:val="auto"/>
              </w:rPr>
              <w:t>from the calculation of net loss per share:</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30,859,636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15,962,585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27,801,118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Commitments and Contingencies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Liabilities for loss contingencies arising from assessments, estimates or other sources are to be recorded when it is probable that a liability has been incurred and the amount can be reasonably estimated. Legal costs expected to be incurred in connection with a loss contingency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Fair value measurements</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The Company measures fair value in accordance with </w:t>
      </w:r>
      <w:r>
        <w:rPr>
          <w:rFonts w:ascii="Arial" w:cs="Arial" w:eastAsia="Arial" w:hAnsi="Arial"/>
          <w:sz w:val="16"/>
          <w:szCs w:val="16"/>
          <w:i w:val="1"/>
          <w:iCs w:val="1"/>
          <w:color w:val="auto"/>
        </w:rPr>
        <w:t>FASB ASC 820-10, Fair Value Measurements and Disclosures</w:t>
      </w:r>
      <w:r>
        <w:rPr>
          <w:rFonts w:ascii="Arial" w:cs="Arial" w:eastAsia="Arial" w:hAnsi="Arial"/>
          <w:sz w:val="16"/>
          <w:szCs w:val="16"/>
          <w:color w:val="auto"/>
        </w:rPr>
        <w:t>.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w:t>
      </w:r>
    </w:p>
    <w:p>
      <w:pPr>
        <w:sectPr>
          <w:pgSz w:w="11900" w:h="16884" w:orient="portrait"/>
          <w:cols w:equalWidth="0" w:num="1">
            <w:col w:w="11420"/>
          </w:cols>
          <w:pgMar w:left="240" w:top="341" w:right="239" w:bottom="0" w:gutter="0" w:footer="0" w:header="0"/>
        </w:sectPr>
      </w:pPr>
    </w:p>
    <w:bookmarkStart w:id="44" w:name="page45"/>
    <w:bookmarkEnd w:id="44"/>
    <w:p>
      <w:pPr>
        <w:spacing w:after="0" w:line="262" w:lineRule="auto"/>
        <w:rPr>
          <w:sz w:val="20"/>
          <w:szCs w:val="20"/>
          <w:color w:val="auto"/>
        </w:rPr>
      </w:pPr>
      <w:r>
        <w:rPr>
          <w:rFonts w:ascii="Arial" w:cs="Arial" w:eastAsia="Arial" w:hAnsi="Arial"/>
          <w:sz w:val="18"/>
          <w:szCs w:val="18"/>
          <w:color w:val="auto"/>
        </w:rPr>
        <w:t>an asset or a liability. As a basis for considering such assumptions, ASC 820-10 establishes a three-tier value hierarchy, which prioritizes the inputs used in the valuation methodologies in measuring fair value: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Unadjusted quoted prices in active markets for identical assets or liabilities accessible to the reporting entity at the measurement date.</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Other than quoted prices included in Level 1 inputs that are observable for the asset or liability, either directly or indirectly, for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full term of the asset or liability.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Unobservable inputs for the asset or liability used to measure fair value to the extent that observable inputs are not available, thereby</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for situations in which there is little, if any, market activity for the asset or liability at measurement date.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Impact of recently issued accounting standards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December 2011, the FASB issued </w:t>
      </w:r>
      <w:r>
        <w:rPr>
          <w:rFonts w:ascii="Arial" w:cs="Arial" w:eastAsia="Arial" w:hAnsi="Arial"/>
          <w:sz w:val="17"/>
          <w:szCs w:val="17"/>
          <w:i w:val="1"/>
          <w:iCs w:val="1"/>
          <w:color w:val="auto"/>
        </w:rPr>
        <w:t>ASU No. 2011-11, Balance Sheet (Topic 210): Disclosures about Offsetting Assets and Liabilities.</w:t>
      </w:r>
      <w:r>
        <w:rPr>
          <w:rFonts w:ascii="Arial" w:cs="Arial" w:eastAsia="Arial" w:hAnsi="Arial"/>
          <w:sz w:val="17"/>
          <w:szCs w:val="17"/>
          <w:color w:val="auto"/>
        </w:rPr>
        <w:t xml:space="preserve">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The new standards are effective for annual periods beginning January 1, 2013, and interim periods within those annual periods. Retrospective application is required. The Company adopted the guidance as of January 1, 2013, as required. There was no material impact on the consolidated financial statements resulting from the adoption.</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In July 2013, the FASB issued </w:t>
      </w:r>
      <w:r>
        <w:rPr>
          <w:rFonts w:ascii="Arial" w:cs="Arial" w:eastAsia="Arial" w:hAnsi="Arial"/>
          <w:sz w:val="16"/>
          <w:szCs w:val="16"/>
          <w:i w:val="1"/>
          <w:iCs w:val="1"/>
          <w:color w:val="auto"/>
        </w:rPr>
        <w:t>ASU No. 2013-11, Presentation of an Unrecognized Tax Benefit When a Net Operating Loss Carryforward, a Similar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 Loss, or a Tax Credit Carryforward Exists, </w:t>
      </w:r>
      <w:r>
        <w:rPr>
          <w:rFonts w:ascii="Arial" w:cs="Arial" w:eastAsia="Arial" w:hAnsi="Arial"/>
          <w:sz w:val="16"/>
          <w:szCs w:val="16"/>
          <w:color w:val="auto"/>
        </w:rPr>
        <w:t>which provides guidance on the presentation of unrecognized tax benefits. This guidance requires an entity to</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an unrecognized tax benefit, or a portion of an unrecognized tax benefit,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guidance is effective for the Company beginning January 1, 2014 and should be applied prospectively with retroactive application permitted. The Company does not expect the adoption of ASU No. 2013-11 to have a material impact on its consolidated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Reclassification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Certain balances have been reclassified to conform to the presentation requirements for discontinued operations and the post-Merger year.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6"/>
                <w:szCs w:val="16"/>
                <w:b w:val="1"/>
                <w:bCs w:val="1"/>
                <w:color w:val="auto"/>
              </w:rPr>
              <w:t>ote 3 — Cash and Cash Equivalents</w:t>
            </w:r>
          </w:p>
        </w:tc>
        <w:tc>
          <w:tcPr>
            <w:tcW w:w="2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5"/>
          </w:tcPr>
          <w:p>
            <w:pPr>
              <w:ind w:left="3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FFCC"/>
            </w:tcBorders>
          </w:tcPr>
          <w:p>
            <w:pPr>
              <w:spacing w:after="0"/>
              <w:rPr>
                <w:sz w:val="18"/>
                <w:szCs w:val="18"/>
                <w:color w:val="auto"/>
              </w:rPr>
            </w:pPr>
          </w:p>
        </w:tc>
        <w:tc>
          <w:tcPr>
            <w:tcW w:w="216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FFCC"/>
          </w:tcPr>
          <w:p>
            <w:pPr>
              <w:spacing w:after="0"/>
              <w:rPr>
                <w:sz w:val="20"/>
                <w:szCs w:val="20"/>
                <w:color w:val="auto"/>
              </w:rPr>
            </w:pPr>
            <w:r>
              <w:rPr>
                <w:rFonts w:ascii="Arial" w:cs="Arial" w:eastAsia="Arial" w:hAnsi="Arial"/>
                <w:sz w:val="18"/>
                <w:szCs w:val="18"/>
                <w:color w:val="auto"/>
              </w:rPr>
              <w:t>Cash denominated in U.S. dollars</w:t>
            </w:r>
          </w:p>
        </w:tc>
        <w:tc>
          <w:tcPr>
            <w:tcW w:w="216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24,628</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34,386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Money market funds denominated in U.S. dollars</w:t>
            </w: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spacing w:after="0"/>
              <w:rPr>
                <w:sz w:val="20"/>
                <w:szCs w:val="20"/>
                <w:color w:val="auto"/>
              </w:rPr>
            </w:pPr>
            <w:r>
              <w:rPr>
                <w:rFonts w:ascii="Arial" w:cs="Arial" w:eastAsia="Arial" w:hAnsi="Arial"/>
                <w:sz w:val="18"/>
                <w:szCs w:val="18"/>
                <w:color w:val="auto"/>
              </w:rPr>
              <w:t>Cash in currency other than U.S. dollars</w:t>
            </w:r>
          </w:p>
        </w:tc>
        <w:tc>
          <w:tcPr>
            <w:tcW w:w="216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5,774</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33,586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4 — Property and Equipment</w:t>
            </w:r>
          </w:p>
        </w:tc>
        <w:tc>
          <w:tcPr>
            <w:tcW w:w="2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74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5"/>
          </w:tcPr>
          <w:p>
            <w:pPr>
              <w:ind w:left="3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FFCC"/>
            </w:tcBorders>
          </w:tcPr>
          <w:p>
            <w:pPr>
              <w:spacing w:after="0"/>
              <w:rPr>
                <w:sz w:val="18"/>
                <w:szCs w:val="18"/>
                <w:color w:val="auto"/>
              </w:rPr>
            </w:pPr>
          </w:p>
        </w:tc>
        <w:tc>
          <w:tcPr>
            <w:tcW w:w="216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FFCC"/>
          </w:tcPr>
          <w:p>
            <w:pPr>
              <w:spacing w:after="0"/>
              <w:rPr>
                <w:sz w:val="20"/>
                <w:szCs w:val="20"/>
                <w:color w:val="auto"/>
              </w:rPr>
            </w:pPr>
            <w:r>
              <w:rPr>
                <w:rFonts w:ascii="Arial" w:cs="Arial" w:eastAsia="Arial" w:hAnsi="Arial"/>
                <w:sz w:val="18"/>
                <w:szCs w:val="18"/>
                <w:color w:val="auto"/>
              </w:rPr>
              <w:t>Computers, software and equipment</w:t>
            </w:r>
          </w:p>
        </w:tc>
        <w:tc>
          <w:tcPr>
            <w:tcW w:w="216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171</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FFCC"/>
          </w:tcPr>
          <w:p>
            <w:pPr>
              <w:spacing w:after="0"/>
              <w:rPr>
                <w:sz w:val="20"/>
                <w:szCs w:val="20"/>
                <w:color w:val="auto"/>
              </w:rPr>
            </w:pPr>
            <w:r>
              <w:rPr>
                <w:rFonts w:ascii="Arial" w:cs="Arial" w:eastAsia="Arial" w:hAnsi="Arial"/>
                <w:sz w:val="18"/>
                <w:szCs w:val="18"/>
                <w:color w:val="auto"/>
              </w:rPr>
              <w:t>Leasehold improvements</w:t>
            </w:r>
          </w:p>
        </w:tc>
        <w:tc>
          <w:tcPr>
            <w:tcW w:w="216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FFCC"/>
          </w:tcPr>
          <w:p>
            <w:pPr>
              <w:spacing w:after="0"/>
              <w:rPr>
                <w:sz w:val="20"/>
                <w:szCs w:val="20"/>
                <w:color w:val="auto"/>
              </w:rPr>
            </w:pPr>
            <w:r>
              <w:rPr>
                <w:rFonts w:ascii="Arial" w:cs="Arial" w:eastAsia="Arial" w:hAnsi="Arial"/>
                <w:sz w:val="18"/>
                <w:szCs w:val="18"/>
                <w:color w:val="auto"/>
              </w:rPr>
              <w:t>Less: accumulated depreciation and amortization</w:t>
            </w:r>
          </w:p>
        </w:tc>
        <w:tc>
          <w:tcPr>
            <w:tcW w:w="21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(134)</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years ended December 31, 2013 and 2012, the Company recorded $87 and $46 of depreciation and amortization expense, respectively, and $134 cumulatively from Inception.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0"/>
        </w:trPr>
        <w:tc>
          <w:tcPr>
            <w:tcW w:w="5180" w:type="dxa"/>
            <w:vAlign w:val="bottom"/>
            <w:gridSpan w:val="2"/>
          </w:tcPr>
          <w:p>
            <w:pPr>
              <w:spacing w:after="0"/>
              <w:rPr>
                <w:sz w:val="20"/>
                <w:szCs w:val="20"/>
                <w:color w:val="auto"/>
              </w:rPr>
            </w:pPr>
            <w:r>
              <w:rPr>
                <w:rFonts w:ascii="Arial" w:cs="Arial" w:eastAsia="Arial" w:hAnsi="Arial"/>
                <w:sz w:val="16"/>
                <w:szCs w:val="16"/>
                <w:b w:val="1"/>
                <w:bCs w:val="1"/>
                <w:color w:val="auto"/>
              </w:rPr>
              <w:t>Note 5 — Intangible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As of December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amortization 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Acquired technology (refer to Note 6)</w:t>
            </w:r>
          </w:p>
        </w:tc>
        <w:tc>
          <w:tcPr>
            <w:tcW w:w="3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10,133</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7"/>
              </w:rPr>
              <w:t>10,133</w:t>
            </w:r>
          </w:p>
        </w:tc>
        <w:tc>
          <w:tcPr>
            <w:tcW w:w="100" w:type="dxa"/>
            <w:vAlign w:val="bottom"/>
            <w:tcBorders>
              <w:top w:val="single" w:sz="8" w:color="CCFFCC"/>
            </w:tcBorders>
            <w:shd w:val="clear" w:color="auto" w:fill="CCFFCC"/>
          </w:tcPr>
          <w:p>
            <w:pPr>
              <w:spacing w:after="0"/>
              <w:rPr>
                <w:sz w:val="18"/>
                <w:szCs w:val="18"/>
                <w:color w:val="auto"/>
              </w:rPr>
            </w:pPr>
          </w:p>
        </w:tc>
        <w:tc>
          <w:tcPr>
            <w:tcW w:w="176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5"/>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(2,451)</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(763)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Less: impairment of technology (refer to Note 7)</w:t>
            </w: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(7,045)</w:t>
            </w:r>
          </w:p>
        </w:tc>
        <w:tc>
          <w:tcPr>
            <w:tcW w:w="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Less: technology reclassified to assets held for sale (refer to Note 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(637)</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5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9,370</w:t>
            </w:r>
          </w:p>
        </w:tc>
        <w:tc>
          <w:tcPr>
            <w:tcW w:w="100" w:type="dxa"/>
            <w:vAlign w:val="bottom"/>
            <w:tcBorders>
              <w:top w:val="single" w:sz="8" w:color="CCFFCC"/>
            </w:tcBorders>
            <w:shd w:val="clear" w:color="auto" w:fill="CCFFCC"/>
          </w:tcPr>
          <w:p>
            <w:pPr>
              <w:spacing w:after="0"/>
              <w:rPr>
                <w:sz w:val="18"/>
                <w:szCs w:val="18"/>
                <w:color w:val="auto"/>
              </w:rPr>
            </w:pPr>
          </w:p>
        </w:tc>
        <w:tc>
          <w:tcPr>
            <w:tcW w:w="17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Patents</w:t>
            </w: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28,213</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26,694</w:t>
            </w:r>
          </w:p>
        </w:tc>
        <w:tc>
          <w:tcPr>
            <w:tcW w:w="100" w:type="dxa"/>
            <w:vAlign w:val="bottom"/>
            <w:shd w:val="clear" w:color="auto" w:fill="CCFFCC"/>
          </w:tcPr>
          <w:p>
            <w:pPr>
              <w:spacing w:after="0"/>
              <w:rPr>
                <w:sz w:val="18"/>
                <w:szCs w:val="18"/>
                <w:color w:val="auto"/>
              </w:rPr>
            </w:pPr>
          </w:p>
        </w:tc>
        <w:tc>
          <w:tcPr>
            <w:tcW w:w="17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5"/>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(5,465)</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(2,020)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22,748</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5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7"/>
              </w:rPr>
              <w:t>24,674</w:t>
            </w:r>
          </w:p>
        </w:tc>
        <w:tc>
          <w:tcPr>
            <w:tcW w:w="100" w:type="dxa"/>
            <w:vAlign w:val="bottom"/>
            <w:tcBorders>
              <w:top w:val="single" w:sz="8" w:color="CCFFCC"/>
            </w:tcBorders>
            <w:shd w:val="clear" w:color="auto" w:fill="CCFFCC"/>
          </w:tcPr>
          <w:p>
            <w:pPr>
              <w:spacing w:after="0"/>
              <w:rPr>
                <w:sz w:val="18"/>
                <w:szCs w:val="18"/>
                <w:color w:val="auto"/>
              </w:rPr>
            </w:pPr>
          </w:p>
        </w:tc>
        <w:tc>
          <w:tcPr>
            <w:tcW w:w="17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FFCC"/>
            </w:tcBorders>
          </w:tcPr>
          <w:p>
            <w:pPr>
              <w:spacing w:after="0"/>
              <w:rPr>
                <w:sz w:val="18"/>
                <w:szCs w:val="18"/>
                <w:color w:val="auto"/>
              </w:rPr>
            </w:pPr>
          </w:p>
        </w:tc>
        <w:tc>
          <w:tcPr>
            <w:tcW w:w="30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76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22,748</w:t>
            </w: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7"/>
              </w:rPr>
              <w:t>34,044</w:t>
            </w:r>
          </w:p>
        </w:tc>
        <w:tc>
          <w:tcPr>
            <w:tcW w:w="100" w:type="dxa"/>
            <w:vAlign w:val="bottom"/>
            <w:tcBorders>
              <w:bottom w:val="single" w:sz="8" w:color="CCFFCC"/>
            </w:tcBorders>
            <w:shd w:val="clear" w:color="auto" w:fill="CCFFCC"/>
          </w:tcPr>
          <w:p>
            <w:pPr>
              <w:spacing w:after="0"/>
              <w:rPr>
                <w:sz w:val="18"/>
                <w:szCs w:val="18"/>
                <w:color w:val="auto"/>
              </w:rPr>
            </w:pPr>
          </w:p>
        </w:tc>
        <w:tc>
          <w:tcPr>
            <w:tcW w:w="17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2012, the Company purchased from Nokia Corporation a portfolio consisting of various patents and patent applications. The portfolio encompasses a broad range of technologies relating to telecom infrastructure, including communication management, data and signal transmission, mobility management, radio resources management and services. The total consideration paid for the portfolio was $22,000. In addition, the Company capitalized certain costs related to the acquisition of patents in the total amount of $548. Under the terms of the purchase agreement, to the extent that the gross revenue generated by such portfolio exceeds $22,000, the Company is obligated to pay a royalty of 35% of such excess. The Company has not recorded any amounts in respect of this contingent consideration, as both the amounts of future potential revenue, if any, and the timing of such revenue cannot be reliably estimated.</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October 2012, the Company’s subsidiary entered into an additional patent purchase agreement. As partial consideration, the Company issued 160,600 shares of common stock to the seller with a fair value of $750. In addition, under the terms of the purchase agreement, 20% of the gross revenue collected will be payable to the seller as a royalty. The Company has not recorded any amounts in respect of this contingent consideration, as both the amounts of future potential revenue, if any, and the timing of such revenue cannot be reliably estimated.</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years ended December 31, 2013 and 2012, the Company recorded total patent amortization expense of $3,445 and $1,692, respectively, and $5,465 cumulatively from Inception. In addition, during the years ended December 31, 2013 and 2012, total amortization expense of $1,688 and $763 was recorded, respectively, and $2,451 cumulatively from Inception, for the Company’s acquired technology (for December 31, 2013 classification refer to Note 7). Estimated patent amortization expense for each of the five succeeding years, based upon intangible assets owned at December 31, 2013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80" w:type="dxa"/>
            <w:vAlign w:val="bottom"/>
            <w:gridSpan w:val="3"/>
          </w:tcPr>
          <w:p>
            <w:pPr>
              <w:ind w:left="180"/>
              <w:spacing w:after="0"/>
              <w:rPr>
                <w:sz w:val="20"/>
                <w:szCs w:val="20"/>
                <w:color w:val="auto"/>
              </w:rPr>
            </w:pPr>
            <w:r>
              <w:rPr>
                <w:rFonts w:ascii="Arial" w:cs="Arial" w:eastAsia="Arial" w:hAnsi="Arial"/>
                <w:sz w:val="18"/>
                <w:szCs w:val="18"/>
                <w:b w:val="1"/>
                <w:bCs w:val="1"/>
                <w:color w:val="auto"/>
              </w:rPr>
              <w:t>Amount</w:t>
            </w:r>
          </w:p>
        </w:tc>
      </w:tr>
      <w:tr>
        <w:trPr>
          <w:trHeight w:val="210"/>
        </w:trPr>
        <w:tc>
          <w:tcPr>
            <w:tcW w:w="840" w:type="dxa"/>
            <w:vAlign w:val="bottom"/>
          </w:tcPr>
          <w:p>
            <w:pPr>
              <w:spacing w:after="0"/>
              <w:rPr>
                <w:sz w:val="18"/>
                <w:szCs w:val="18"/>
                <w:color w:val="auto"/>
              </w:rPr>
            </w:pPr>
          </w:p>
        </w:tc>
        <w:tc>
          <w:tcPr>
            <w:tcW w:w="336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2014</w:t>
            </w:r>
          </w:p>
        </w:tc>
        <w:tc>
          <w:tcPr>
            <w:tcW w:w="18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3,832</w:t>
            </w:r>
          </w:p>
        </w:tc>
        <w:tc>
          <w:tcPr>
            <w:tcW w:w="120" w:type="dxa"/>
            <w:vAlign w:val="bottom"/>
            <w:tcBorders>
              <w:top w:val="single" w:sz="8" w:color="CCFFCC"/>
            </w:tcBorders>
            <w:shd w:val="clear" w:color="auto" w:fill="CCFFCC"/>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2015</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3,766</w:t>
            </w:r>
          </w:p>
        </w:tc>
        <w:tc>
          <w:tcPr>
            <w:tcW w:w="12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2016</w:t>
            </w:r>
          </w:p>
        </w:tc>
        <w:tc>
          <w:tcPr>
            <w:tcW w:w="1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3,045</w:t>
            </w:r>
          </w:p>
        </w:tc>
        <w:tc>
          <w:tcPr>
            <w:tcW w:w="120" w:type="dxa"/>
            <w:vAlign w:val="bottom"/>
            <w:shd w:val="clear" w:color="auto" w:fill="CCFFCC"/>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2017</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2018</w:t>
            </w:r>
          </w:p>
        </w:tc>
        <w:tc>
          <w:tcPr>
            <w:tcW w:w="1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2,822</w:t>
            </w:r>
          </w:p>
        </w:tc>
        <w:tc>
          <w:tcPr>
            <w:tcW w:w="120" w:type="dxa"/>
            <w:vAlign w:val="bottom"/>
            <w:shd w:val="clear" w:color="auto" w:fill="CCFFCC"/>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36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2019 and thereafter</w:t>
            </w:r>
          </w:p>
        </w:tc>
        <w:tc>
          <w:tcPr>
            <w:tcW w:w="188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6,438</w:t>
            </w:r>
          </w:p>
        </w:tc>
        <w:tc>
          <w:tcPr>
            <w:tcW w:w="120" w:type="dxa"/>
            <w:vAlign w:val="bottom"/>
            <w:tcBorders>
              <w:bottom w:val="single" w:sz="8" w:color="CCFFCC"/>
            </w:tcBorders>
          </w:tcPr>
          <w:p>
            <w:pPr>
              <w:spacing w:after="0"/>
              <w:rPr>
                <w:sz w:val="18"/>
                <w:szCs w:val="18"/>
                <w:color w:val="auto"/>
              </w:rPr>
            </w:pPr>
          </w:p>
        </w:tc>
        <w:tc>
          <w:tcPr>
            <w:tcW w:w="372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3360" w:type="dxa"/>
            <w:vAlign w:val="bottom"/>
            <w:tcBorders>
              <w:bottom w:val="single" w:sz="8" w:color="CCFFCC"/>
            </w:tcBorders>
            <w:shd w:val="clear" w:color="auto" w:fill="CCFFCC"/>
          </w:tcPr>
          <w:p>
            <w:pPr>
              <w:spacing w:after="0"/>
              <w:rPr>
                <w:sz w:val="18"/>
                <w:szCs w:val="18"/>
                <w:color w:val="auto"/>
              </w:rPr>
            </w:pPr>
          </w:p>
        </w:tc>
        <w:tc>
          <w:tcPr>
            <w:tcW w:w="188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22,748</w:t>
            </w:r>
          </w:p>
        </w:tc>
        <w:tc>
          <w:tcPr>
            <w:tcW w:w="120" w:type="dxa"/>
            <w:vAlign w:val="bottom"/>
            <w:tcBorders>
              <w:bottom w:val="single" w:sz="8" w:color="CCFFCC"/>
            </w:tcBorders>
            <w:shd w:val="clear" w:color="auto" w:fill="CCFFCC"/>
          </w:tcPr>
          <w:p>
            <w:pPr>
              <w:spacing w:after="0"/>
              <w:rPr>
                <w:sz w:val="18"/>
                <w:szCs w:val="18"/>
                <w:color w:val="auto"/>
              </w:rPr>
            </w:pPr>
          </w:p>
        </w:tc>
        <w:tc>
          <w:tcPr>
            <w:tcW w:w="37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669"/>
        </w:trPr>
        <w:tc>
          <w:tcPr>
            <w:tcW w:w="8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40" w:type="dxa"/>
            <w:vAlign w:val="bottom"/>
            <w:gridSpan w:val="2"/>
          </w:tcPr>
          <w:p>
            <w:pPr>
              <w:jc w:val="right"/>
              <w:ind w:right="365"/>
              <w:spacing w:after="0"/>
              <w:rPr>
                <w:sz w:val="20"/>
                <w:szCs w:val="20"/>
                <w:color w:val="auto"/>
              </w:rPr>
            </w:pPr>
            <w:r>
              <w:rPr>
                <w:rFonts w:ascii="Arial" w:cs="Arial" w:eastAsia="Arial" w:hAnsi="Arial"/>
                <w:sz w:val="18"/>
                <w:szCs w:val="18"/>
                <w:color w:val="auto"/>
              </w:rPr>
              <w:t>F-13</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338"/>
        </w:trPr>
        <w:tc>
          <w:tcPr>
            <w:tcW w:w="8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8"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Note 6 — Business Combination</w:t>
      </w:r>
    </w:p>
    <w:p>
      <w:pPr>
        <w:spacing w:after="0" w:line="23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On July 19, 2012, I/P consummated the Merger with the Legal Parent, as also described in Note 1. The consideration consisted of various equity instruments, including: shares of common stock, options, preferred stock and warrants. The purpose of the Merger was to increase the combined company's intellectual property portfolio and array of products, to gain access to capital markets, and for other reasons. Upon completion of the Merger, (i) all then outstanding 6,169,661 common stock shares of I/P, par value $0.0001 per share, were exchanged for 18,617,569, shares of the Company’s common stock, par value $0.01 per share, and (ii) all outstanding shares of Series A Convertible Preferred Stock of I/P, par value $0.0001 per share, were exchanged for 6,673 shares of the Legal Parent’s Series A Convertible Preferred Stock, par value $0.01 per share, which shares were convertible into 20,136,445 shares of common stock of the Legal Parent. In addition, the Legal Parent issued to the holders of I/P capital stock an aggregate of 15,959,838 warrants to purchase an aggregate of 15,959,838 shares of the Company’s common stock with an exercise price of $1.76 per share. The Company recorded such warrants as a derivative long-term liability in the total amount of $21,954 (refer to Note 9). In addition, all outstanding and unexercised options to purchase I/P common stock, whether vested or unvested, were converted into 41,178 options to purchase the Company’s common stock. Immediately following the completion of the Merger, the former stockholders of I/P owned approximately 55.04% of the outstanding common stock of the combined company (or 67.61% of the outstanding shares of the Company’s common stock, calculated on a fully diluted basis), and the Legal Parent’s stockholders prior to the Merger owned approximately 44.96% of the outstanding common stock of the combined company (or 32.39% of the outstanding shares of its common stock calculated on a fully diluted basis). For accounting purposes, I/P was identified as the accounting “acquirer,” as it is defined in </w:t>
      </w:r>
      <w:r>
        <w:rPr>
          <w:rFonts w:ascii="Arial" w:cs="Arial" w:eastAsia="Arial" w:hAnsi="Arial"/>
          <w:sz w:val="17"/>
          <w:szCs w:val="17"/>
          <w:i w:val="1"/>
          <w:iCs w:val="1"/>
          <w:color w:val="auto"/>
        </w:rPr>
        <w:t>FASB ASC 805, Business Combinations.</w:t>
      </w:r>
      <w:r>
        <w:rPr>
          <w:rFonts w:ascii="Arial" w:cs="Arial" w:eastAsia="Arial" w:hAnsi="Arial"/>
          <w:sz w:val="17"/>
          <w:szCs w:val="17"/>
          <w:color w:val="auto"/>
        </w:rPr>
        <w:t xml:space="preserve"> The total purchase price of $75,654 was allocated to the assets acquired and liabilities assumed of the Legal Parent. Registration and issuance cost, in the total amount of $463, was recorded against the additional paid-in capital.</w:t>
      </w:r>
    </w:p>
    <w:p>
      <w:pPr>
        <w:spacing w:after="0" w:line="177"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Allocation of purchase</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price</w:t>
            </w:r>
          </w:p>
        </w:tc>
      </w:tr>
      <w:tr>
        <w:trPr>
          <w:trHeight w:val="210"/>
        </w:trPr>
        <w:tc>
          <w:tcPr>
            <w:tcW w:w="84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Current assets, net of current liabilities</w:t>
            </w: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2,586</w:t>
            </w: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Long-term deposit</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r>
      <w:tr>
        <w:trPr>
          <w:trHeight w:val="216"/>
        </w:trPr>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FFCC"/>
          </w:tcPr>
          <w:p>
            <w:pPr>
              <w:spacing w:after="0"/>
              <w:rPr>
                <w:sz w:val="18"/>
                <w:szCs w:val="18"/>
                <w:color w:val="auto"/>
              </w:rPr>
            </w:pPr>
          </w:p>
        </w:tc>
        <w:tc>
          <w:tcPr>
            <w:tcW w:w="1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FFCC"/>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Acquired technology</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10,133</w:t>
            </w:r>
          </w:p>
        </w:tc>
        <w:tc>
          <w:tcPr>
            <w:tcW w:w="120" w:type="dxa"/>
            <w:vAlign w:val="bottom"/>
          </w:tcPr>
          <w:p>
            <w:pPr>
              <w:spacing w:after="0"/>
              <w:rPr>
                <w:sz w:val="18"/>
                <w:szCs w:val="18"/>
                <w:color w:val="auto"/>
              </w:rPr>
            </w:pPr>
          </w:p>
        </w:tc>
      </w:tr>
      <w:tr>
        <w:trPr>
          <w:trHeight w:val="216"/>
        </w:trPr>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shd w:val="clear" w:color="auto" w:fill="CCFFCC"/>
          </w:tcPr>
          <w:p>
            <w:pPr>
              <w:spacing w:after="0"/>
              <w:rPr>
                <w:sz w:val="18"/>
                <w:szCs w:val="18"/>
                <w:color w:val="auto"/>
              </w:rPr>
            </w:pPr>
          </w:p>
        </w:tc>
        <w:tc>
          <w:tcPr>
            <w:tcW w:w="1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65,965</w:t>
            </w:r>
          </w:p>
        </w:tc>
        <w:tc>
          <w:tcPr>
            <w:tcW w:w="120" w:type="dxa"/>
            <w:vAlign w:val="bottom"/>
            <w:shd w:val="clear" w:color="auto" w:fill="CCFFCC"/>
          </w:tcPr>
          <w:p>
            <w:pPr>
              <w:spacing w:after="0"/>
              <w:rPr>
                <w:sz w:val="18"/>
                <w:szCs w:val="18"/>
                <w:color w:val="auto"/>
              </w:rPr>
            </w:pPr>
          </w:p>
        </w:tc>
      </w:tr>
      <w:tr>
        <w:trPr>
          <w:trHeight w:val="210"/>
        </w:trPr>
        <w:tc>
          <w:tcPr>
            <w:tcW w:w="844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assets acquired, net</w:t>
            </w: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78,816</w:t>
            </w:r>
          </w:p>
        </w:tc>
        <w:tc>
          <w:tcPr>
            <w:tcW w:w="120" w:type="dxa"/>
            <w:vAlign w:val="bottom"/>
            <w:tcBorders>
              <w:bottom w:val="single" w:sz="8" w:color="CCFFCC"/>
            </w:tcBorders>
          </w:tcPr>
          <w:p>
            <w:pPr>
              <w:spacing w:after="0"/>
              <w:rPr>
                <w:sz w:val="18"/>
                <w:szCs w:val="18"/>
                <w:color w:val="auto"/>
              </w:rPr>
            </w:pPr>
          </w:p>
        </w:tc>
      </w:tr>
      <w:tr>
        <w:trPr>
          <w:trHeight w:val="210"/>
        </w:trPr>
        <w:tc>
          <w:tcPr>
            <w:tcW w:w="8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02"/>
        </w:trPr>
        <w:tc>
          <w:tcPr>
            <w:tcW w:w="8440" w:type="dxa"/>
            <w:vAlign w:val="bottom"/>
          </w:tcPr>
          <w:p>
            <w:pPr>
              <w:spacing w:after="0" w:line="201" w:lineRule="exact"/>
              <w:rPr>
                <w:sz w:val="20"/>
                <w:szCs w:val="20"/>
                <w:color w:val="auto"/>
              </w:rPr>
            </w:pPr>
            <w:r>
              <w:rPr>
                <w:rFonts w:ascii="Arial" w:cs="Arial" w:eastAsia="Arial" w:hAnsi="Arial"/>
                <w:sz w:val="18"/>
                <w:szCs w:val="18"/>
                <w:color w:val="auto"/>
                <w:w w:val="92"/>
              </w:rPr>
              <w:t>Fair value of outstanding warrants granted by Legal Parent prior to the Merger, classified as a long-term derivative</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liability</w:t>
            </w:r>
          </w:p>
        </w:tc>
        <w:tc>
          <w:tcPr>
            <w:tcW w:w="120" w:type="dxa"/>
            <w:vAlign w:val="bottom"/>
          </w:tcPr>
          <w:p>
            <w:pPr>
              <w:spacing w:after="0"/>
              <w:rPr>
                <w:sz w:val="20"/>
                <w:szCs w:val="20"/>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(3,162)</w:t>
            </w:r>
          </w:p>
        </w:tc>
      </w:tr>
      <w:tr>
        <w:trPr>
          <w:trHeight w:val="210"/>
        </w:trPr>
        <w:tc>
          <w:tcPr>
            <w:tcW w:w="84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liabilities assumed, net</w:t>
            </w: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(3,162)</w:t>
            </w:r>
          </w:p>
        </w:tc>
        <w:tc>
          <w:tcPr>
            <w:tcW w:w="120" w:type="dxa"/>
            <w:vAlign w:val="bottom"/>
            <w:tcBorders>
              <w:top w:val="single" w:sz="8" w:color="CCFFCC"/>
            </w:tcBorders>
            <w:shd w:val="clear" w:color="auto" w:fill="CCFFCC"/>
          </w:tcPr>
          <w:p>
            <w:pPr>
              <w:spacing w:after="0"/>
              <w:rPr>
                <w:sz w:val="18"/>
                <w:szCs w:val="18"/>
                <w:color w:val="auto"/>
              </w:rPr>
            </w:pPr>
          </w:p>
        </w:tc>
      </w:tr>
      <w:tr>
        <w:trPr>
          <w:trHeight w:val="210"/>
        </w:trPr>
        <w:tc>
          <w:tcPr>
            <w:tcW w:w="844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75,654</w:t>
            </w:r>
          </w:p>
        </w:tc>
        <w:tc>
          <w:tcPr>
            <w:tcW w:w="120" w:type="dxa"/>
            <w:vAlign w:val="bottom"/>
            <w:tcBorders>
              <w:bottom w:val="single" w:sz="8" w:color="CCFFCC"/>
            </w:tcBorders>
          </w:tcPr>
          <w:p>
            <w:pPr>
              <w:spacing w:after="0"/>
              <w:rPr>
                <w:sz w:val="18"/>
                <w:szCs w:val="18"/>
                <w:color w:val="auto"/>
              </w:rPr>
            </w:pPr>
          </w:p>
        </w:tc>
      </w:tr>
      <w:tr>
        <w:trPr>
          <w:trHeight w:val="210"/>
        </w:trPr>
        <w:tc>
          <w:tcPr>
            <w:tcW w:w="8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Measurement of consideration:</w:t>
            </w:r>
          </w:p>
        </w:tc>
        <w:tc>
          <w:tcPr>
            <w:tcW w:w="120" w:type="dxa"/>
            <w:vAlign w:val="bottom"/>
            <w:shd w:val="clear" w:color="auto" w:fill="CCFFCC"/>
          </w:tcPr>
          <w:p>
            <w:pPr>
              <w:spacing w:after="0"/>
              <w:rPr>
                <w:sz w:val="18"/>
                <w:szCs w:val="18"/>
                <w:color w:val="auto"/>
              </w:rPr>
            </w:pPr>
          </w:p>
        </w:tc>
        <w:tc>
          <w:tcPr>
            <w:tcW w:w="1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w w:val="98"/>
              </w:rPr>
              <w:t>Fair value of vested stock options granted to employees, management and consultants, classified as equity</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18"/>
                <w:szCs w:val="18"/>
                <w:color w:val="auto"/>
              </w:rPr>
            </w:pPr>
          </w:p>
        </w:tc>
      </w:tr>
      <w:tr>
        <w:trPr>
          <w:trHeight w:val="216"/>
        </w:trPr>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Fair value of outstanding warrants granted by the Legal Parent prior to the Merger, classified as equity</w:t>
            </w:r>
          </w:p>
        </w:tc>
        <w:tc>
          <w:tcPr>
            <w:tcW w:w="120" w:type="dxa"/>
            <w:vAlign w:val="bottom"/>
            <w:shd w:val="clear" w:color="auto" w:fill="CCFFCC"/>
          </w:tcPr>
          <w:p>
            <w:pPr>
              <w:spacing w:after="0"/>
              <w:rPr>
                <w:sz w:val="18"/>
                <w:szCs w:val="18"/>
                <w:color w:val="auto"/>
              </w:rPr>
            </w:pPr>
          </w:p>
        </w:tc>
        <w:tc>
          <w:tcPr>
            <w:tcW w:w="1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10,079</w:t>
            </w:r>
          </w:p>
        </w:tc>
        <w:tc>
          <w:tcPr>
            <w:tcW w:w="120" w:type="dxa"/>
            <w:vAlign w:val="bottom"/>
            <w:shd w:val="clear" w:color="auto" w:fill="CCFFCC"/>
          </w:tcPr>
          <w:p>
            <w:pPr>
              <w:spacing w:after="0"/>
              <w:rPr>
                <w:sz w:val="18"/>
                <w:szCs w:val="18"/>
                <w:color w:val="auto"/>
              </w:rPr>
            </w:pPr>
          </w:p>
        </w:tc>
      </w:tr>
      <w:tr>
        <w:trPr>
          <w:trHeight w:val="202"/>
        </w:trPr>
        <w:tc>
          <w:tcPr>
            <w:tcW w:w="8440" w:type="dxa"/>
            <w:vAlign w:val="bottom"/>
          </w:tcPr>
          <w:p>
            <w:pPr>
              <w:spacing w:after="0" w:line="201" w:lineRule="exact"/>
              <w:rPr>
                <w:sz w:val="20"/>
                <w:szCs w:val="20"/>
                <w:color w:val="auto"/>
              </w:rPr>
            </w:pPr>
            <w:r>
              <w:rPr>
                <w:rFonts w:ascii="Arial" w:cs="Arial" w:eastAsia="Arial" w:hAnsi="Arial"/>
                <w:sz w:val="18"/>
                <w:szCs w:val="18"/>
                <w:color w:val="auto"/>
                <w:w w:val="94"/>
              </w:rPr>
              <w:t>Fair value of Vringo shares of common stock and vested $0.01 options granted to employees, management and</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4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consultants</w:t>
            </w: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58,211</w:t>
            </w:r>
          </w:p>
        </w:tc>
        <w:tc>
          <w:tcPr>
            <w:tcW w:w="120" w:type="dxa"/>
            <w:vAlign w:val="bottom"/>
            <w:tcBorders>
              <w:bottom w:val="single" w:sz="8" w:color="CCFFCC"/>
            </w:tcBorders>
          </w:tcPr>
          <w:p>
            <w:pPr>
              <w:spacing w:after="0"/>
              <w:rPr>
                <w:sz w:val="20"/>
                <w:szCs w:val="20"/>
                <w:color w:val="auto"/>
              </w:rPr>
            </w:pPr>
          </w:p>
        </w:tc>
      </w:tr>
      <w:tr>
        <w:trPr>
          <w:trHeight w:val="210"/>
        </w:trPr>
        <w:tc>
          <w:tcPr>
            <w:tcW w:w="8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estimated purchase price</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1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75,654</w:t>
            </w:r>
          </w:p>
        </w:tc>
        <w:tc>
          <w:tcPr>
            <w:tcW w:w="12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fair values of the identified intangible assets were estimated by the Company using an income approach valuation model. Under the income approach, an intangible asset’s fair value is equal to the present value of future economic benefits to be derived from ownership of the asset. Indications of value are developed by discounting future net cash flows to their present value at market-based rates of return. The goodwill recognized as a result of the acquisition is primarily attributable to the value of the workforce and other intangible asset arising as a result of operational synergies, products, and similar factors which could not be separately identified. The useful life of the intangible assets for amortization purposes 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intangible assets. Goodwill recognized is not deductible for income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7 — </w:t>
      </w:r>
      <w:r>
        <w:rPr>
          <w:rFonts w:ascii="Arial" w:cs="Arial" w:eastAsia="Arial" w:hAnsi="Arial"/>
          <w:sz w:val="18"/>
          <w:szCs w:val="18"/>
          <w:b w:val="1"/>
          <w:bCs w:val="1"/>
          <w:color w:val="auto"/>
        </w:rPr>
        <w:t>Assets Held for Sale and Discontinued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 xml:space="preserve">On December 31, 2013, the Company entered into a definitive asset purchase agreement with InfoMedia Services Limited (“Infomedia”), a private company, incorporated in the United Kingdom, for the sale of all assets (the “Asset Group”) and the assignment of all agreements related to the Company’s mobile social application business. The Asset Group, which the Company determined to represent a business in accordance with </w:t>
      </w:r>
      <w:r>
        <w:rPr>
          <w:rFonts w:ascii="Arial" w:cs="Arial" w:eastAsia="Arial" w:hAnsi="Arial"/>
          <w:sz w:val="17"/>
          <w:szCs w:val="17"/>
          <w:i w:val="1"/>
          <w:iCs w:val="1"/>
          <w:color w:val="auto"/>
        </w:rPr>
        <w:t>ASC 805,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is mostly comprised of the Company’s acquired technology (refer to Notes 5 and 6). The closing of the transaction, which was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satisfaction or waiver of certain conditions, occurred on February 18, 2014 (“Closing”) (refer to Note 14).</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Closing, in exchange for the assets and agreements related to the Company’s mobile social application business, the Company received 18 Class B shares of Infomedia, which represent an 8.25% ownership interest in Infomedia. The Infomedia Class B shares were accounted for as a cost-method investment in the first quarter of 2014. The Company will test its investment for impairment whenever events or changes in circumstances indicate that the carrying amount may no longer be recoverable.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asset purchase agreement, an impairment loss of $7,253 was recorded during the fourth quarter of 2013, which represents the excess of the carrying value (which includes the portion of goodwill allocated to the mobile social application business) over the estimated fair value of the Asset Group. The fair value of the Asset Group was estimated using an income approach by developing a discounted, future, net cash flows model. The following table presents the carrying amounts of the major classes of assets from discontinued mobile social application in the Company’s consolidated balance sheet as of December 31, 2013 (as of December 31, 2013, there were no liabilities classified as held for sale, as no liabilities were transferred to Infomedia upon Closing):</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2" w:right="239" w:bottom="734"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786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FFCC"/>
            </w:tcBorders>
          </w:tcPr>
          <w:p>
            <w:pPr>
              <w:spacing w:after="0"/>
              <w:rPr>
                <w:sz w:val="18"/>
                <w:szCs w:val="18"/>
                <w:color w:val="auto"/>
              </w:rPr>
            </w:pPr>
          </w:p>
        </w:tc>
      </w:tr>
      <w:tr>
        <w:trPr>
          <w:trHeight w:val="210"/>
        </w:trPr>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FFC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r>
      <w:tr>
        <w:trPr>
          <w:trHeight w:val="216"/>
        </w:trPr>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Goodwill at carrying amount of $208, net of $208 loss on impairment</w:t>
            </w:r>
          </w:p>
        </w:tc>
        <w:tc>
          <w:tcPr>
            <w:tcW w:w="260" w:type="dxa"/>
            <w:vAlign w:val="bottom"/>
            <w:shd w:val="clear" w:color="auto" w:fill="CCFFCC"/>
          </w:tcPr>
          <w:p>
            <w:pPr>
              <w:spacing w:after="0"/>
              <w:rPr>
                <w:sz w:val="18"/>
                <w:szCs w:val="18"/>
                <w:color w:val="auto"/>
              </w:rPr>
            </w:pPr>
          </w:p>
        </w:tc>
        <w:tc>
          <w:tcPr>
            <w:tcW w:w="2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7860" w:type="dxa"/>
            <w:vAlign w:val="bottom"/>
          </w:tcPr>
          <w:p>
            <w:pPr>
              <w:spacing w:after="0" w:line="201" w:lineRule="exact"/>
              <w:rPr>
                <w:sz w:val="20"/>
                <w:szCs w:val="20"/>
                <w:color w:val="auto"/>
              </w:rPr>
            </w:pPr>
            <w:r>
              <w:rPr>
                <w:rFonts w:ascii="Arial" w:cs="Arial" w:eastAsia="Arial" w:hAnsi="Arial"/>
                <w:sz w:val="18"/>
                <w:szCs w:val="18"/>
                <w:color w:val="auto"/>
                <w:w w:val="94"/>
              </w:rPr>
              <w:t>Acquired technology at carrying amount of $10,133, net of $2,451 accumulated amortization and $7,045</w:t>
            </w:r>
          </w:p>
        </w:tc>
        <w:tc>
          <w:tcPr>
            <w:tcW w:w="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8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loss on impairment</w:t>
            </w: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FFCC"/>
            </w:tcBorders>
          </w:tcPr>
          <w:p>
            <w:pPr>
              <w:spacing w:after="0"/>
              <w:rPr>
                <w:sz w:val="20"/>
                <w:szCs w:val="20"/>
                <w:color w:val="auto"/>
              </w:rPr>
            </w:pPr>
          </w:p>
        </w:tc>
      </w:tr>
      <w:tr>
        <w:trPr>
          <w:trHeight w:val="210"/>
        </w:trPr>
        <w:tc>
          <w:tcPr>
            <w:tcW w:w="7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assets held for sale</w:t>
            </w: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787</w:t>
            </w:r>
          </w:p>
        </w:tc>
        <w:tc>
          <w:tcPr>
            <w:tcW w:w="120" w:type="dxa"/>
            <w:vAlign w:val="bottom"/>
            <w:tcBorders>
              <w:bottom w:val="single" w:sz="8" w:color="CCFFCC"/>
            </w:tcBorders>
            <w:shd w:val="clear" w:color="auto" w:fill="CCFFCC"/>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represents the components of operating results from discontinued operations, as presented in the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Cumulative from</w:t>
            </w:r>
          </w:p>
        </w:tc>
      </w:tr>
      <w:tr>
        <w:trPr>
          <w:trHeight w:val="216"/>
        </w:trPr>
        <w:tc>
          <w:tcPr>
            <w:tcW w:w="4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Inception through</w:t>
            </w:r>
          </w:p>
        </w:tc>
      </w:tr>
      <w:tr>
        <w:trPr>
          <w:trHeight w:val="234"/>
        </w:trPr>
        <w:tc>
          <w:tcPr>
            <w:tcW w:w="4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As of December 31,</w:t>
            </w:r>
          </w:p>
        </w:tc>
        <w:tc>
          <w:tcPr>
            <w:tcW w:w="140" w:type="dxa"/>
            <w:vAlign w:val="bottom"/>
          </w:tcPr>
          <w:p>
            <w:pPr>
              <w:spacing w:after="0"/>
              <w:rPr>
                <w:sz w:val="20"/>
                <w:szCs w:val="20"/>
                <w:color w:val="auto"/>
              </w:rPr>
            </w:pPr>
          </w:p>
        </w:tc>
        <w:tc>
          <w:tcPr>
            <w:tcW w:w="1820" w:type="dxa"/>
            <w:vAlign w:val="bottom"/>
            <w:gridSpan w:val="3"/>
          </w:tcPr>
          <w:p>
            <w:pPr>
              <w:ind w:left="26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4060" w:type="dxa"/>
            <w:vAlign w:val="bottom"/>
            <w:tcBorders>
              <w:bottom w:val="single" w:sz="8" w:color="CCFFCC"/>
            </w:tcBorders>
          </w:tcPr>
          <w:p>
            <w:pPr>
              <w:spacing w:after="0"/>
              <w:rPr>
                <w:sz w:val="18"/>
                <w:szCs w:val="18"/>
                <w:color w:val="auto"/>
              </w:rPr>
            </w:pPr>
          </w:p>
        </w:tc>
        <w:tc>
          <w:tcPr>
            <w:tcW w:w="154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40" w:type="dxa"/>
            <w:vAlign w:val="bottom"/>
            <w:tcBorders>
              <w:top w:val="single" w:sz="8" w:color="auto"/>
              <w:bottom w:val="single" w:sz="8" w:color="CCFFCC"/>
            </w:tcBorders>
          </w:tcPr>
          <w:p>
            <w:pPr>
              <w:spacing w:after="0"/>
              <w:rPr>
                <w:sz w:val="18"/>
                <w:szCs w:val="18"/>
                <w:color w:val="auto"/>
              </w:rPr>
            </w:pPr>
          </w:p>
        </w:tc>
        <w:tc>
          <w:tcPr>
            <w:tcW w:w="60" w:type="dxa"/>
            <w:vAlign w:val="bottom"/>
            <w:tcBorders>
              <w:top w:val="single" w:sz="8" w:color="auto"/>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r>
      <w:tr>
        <w:trPr>
          <w:trHeight w:val="210"/>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Revenue</w:t>
            </w:r>
          </w:p>
        </w:tc>
        <w:tc>
          <w:tcPr>
            <w:tcW w:w="154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224</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493</w:t>
            </w: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(3,334)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(2,666)</w:t>
            </w:r>
          </w:p>
        </w:tc>
        <w:tc>
          <w:tcPr>
            <w:tcW w:w="1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r>
      <w:tr>
        <w:trPr>
          <w:trHeight w:val="216"/>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Loss on impairment</w:t>
            </w:r>
          </w:p>
        </w:tc>
        <w:tc>
          <w:tcPr>
            <w:tcW w:w="15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(7,253)</w:t>
            </w:r>
          </w:p>
        </w:tc>
        <w:tc>
          <w:tcPr>
            <w:tcW w:w="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(7,253)</w:t>
            </w:r>
          </w:p>
        </w:tc>
        <w:tc>
          <w:tcPr>
            <w:tcW w:w="100" w:type="dxa"/>
            <w:vAlign w:val="bottom"/>
            <w:shd w:val="clear" w:color="auto" w:fill="CCFFCC"/>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Operating loss</w:t>
            </w:r>
          </w:p>
        </w:tc>
        <w:tc>
          <w:tcPr>
            <w:tcW w:w="1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(10,363)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(12,760)</w:t>
            </w:r>
          </w:p>
        </w:tc>
        <w:tc>
          <w:tcPr>
            <w:tcW w:w="120" w:type="dxa"/>
            <w:vAlign w:val="bottom"/>
            <w:gridSpan w:val="2"/>
          </w:tcPr>
          <w:p>
            <w:pPr>
              <w:spacing w:after="0"/>
              <w:rPr>
                <w:sz w:val="18"/>
                <w:szCs w:val="18"/>
                <w:color w:val="auto"/>
              </w:rPr>
            </w:pPr>
          </w:p>
        </w:tc>
      </w:tr>
      <w:tr>
        <w:trPr>
          <w:trHeight w:val="216"/>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Non-operating income (expense)</w:t>
            </w:r>
          </w:p>
        </w:tc>
        <w:tc>
          <w:tcPr>
            <w:tcW w:w="15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(65)</w:t>
            </w:r>
          </w:p>
        </w:tc>
        <w:tc>
          <w:tcPr>
            <w:tcW w:w="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FFCC"/>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1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(10,428)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(12,805)</w:t>
            </w:r>
          </w:p>
        </w:tc>
        <w:tc>
          <w:tcPr>
            <w:tcW w:w="120" w:type="dxa"/>
            <w:vAlign w:val="bottom"/>
            <w:gridSpan w:val="2"/>
          </w:tcPr>
          <w:p>
            <w:pPr>
              <w:spacing w:after="0"/>
              <w:rPr>
                <w:sz w:val="18"/>
                <w:szCs w:val="18"/>
                <w:color w:val="auto"/>
              </w:rPr>
            </w:pPr>
          </w:p>
        </w:tc>
      </w:tr>
      <w:tr>
        <w:trPr>
          <w:trHeight w:val="216"/>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15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(257)</w:t>
            </w:r>
          </w:p>
        </w:tc>
        <w:tc>
          <w:tcPr>
            <w:tcW w:w="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FFCC"/>
          </w:tcPr>
          <w:p>
            <w:pPr>
              <w:spacing w:after="0"/>
              <w:rPr>
                <w:sz w:val="18"/>
                <w:szCs w:val="18"/>
                <w:color w:val="auto"/>
              </w:rPr>
            </w:pPr>
          </w:p>
        </w:tc>
        <w:tc>
          <w:tcPr>
            <w:tcW w:w="18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(312)</w:t>
            </w: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5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(10,685)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measures its derivative liabilities at fair value. The Special Bridge Warrants, Conversion Warrants, Preferential Reload Warrants and the derivative Series 1 Warrants (as they are defined in Note 9) are classified within Level 3 because they are valued using the Black-Scholes-Merton and the Monte-Carlo models (as these warrants include down-round protection clauses), which utilize significant inputs that are unobservable in the market.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placement in the fair value hierarchy of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60" w:type="dxa"/>
            <w:vAlign w:val="bottom"/>
            <w:gridSpan w:val="7"/>
          </w:tcPr>
          <w:p>
            <w:pPr>
              <w:ind w:left="900"/>
              <w:spacing w:after="0"/>
              <w:rPr>
                <w:sz w:val="20"/>
                <w:szCs w:val="20"/>
                <w:color w:val="auto"/>
              </w:rPr>
            </w:pPr>
            <w:r>
              <w:rPr>
                <w:rFonts w:ascii="Arial" w:cs="Arial" w:eastAsia="Arial" w:hAnsi="Arial"/>
                <w:sz w:val="18"/>
                <w:szCs w:val="18"/>
                <w:b w:val="1"/>
                <w:bCs w:val="1"/>
                <w:color w:val="auto"/>
              </w:rPr>
              <w:t>Fair value measurement at reporting date using</w:t>
            </w:r>
          </w:p>
        </w:tc>
      </w:tr>
      <w:tr>
        <w:trPr>
          <w:trHeight w:val="191"/>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Quoted prices in</w:t>
            </w:r>
          </w:p>
        </w:tc>
        <w:tc>
          <w:tcPr>
            <w:tcW w:w="1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active markets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for identical</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observable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unobservable</w:t>
            </w:r>
          </w:p>
        </w:tc>
      </w:tr>
      <w:tr>
        <w:trPr>
          <w:trHeight w:val="234"/>
        </w:trPr>
        <w:tc>
          <w:tcPr>
            <w:tcW w:w="4360" w:type="dxa"/>
            <w:vAlign w:val="bottom"/>
          </w:tcPr>
          <w:p>
            <w:pPr>
              <w:spacing w:after="0"/>
              <w:rPr>
                <w:sz w:val="20"/>
                <w:szCs w:val="20"/>
                <w:color w:val="auto"/>
              </w:rPr>
            </w:pPr>
            <w:r>
              <w:rPr>
                <w:rFonts w:ascii="Arial" w:cs="Arial" w:eastAsia="Arial" w:hAnsi="Arial"/>
                <w:sz w:val="18"/>
                <w:szCs w:val="18"/>
                <w:color w:val="auto"/>
              </w:rPr>
              <w:t>Derivative liabilities on account of warrants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Balance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assets (Level 1)</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inputs (Level 3)</w:t>
            </w:r>
          </w:p>
        </w:tc>
      </w:tr>
      <w:tr>
        <w:trPr>
          <w:trHeight w:val="210"/>
        </w:trPr>
        <w:tc>
          <w:tcPr>
            <w:tcW w:w="43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As of December 31, 2013</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4,083</w:t>
            </w:r>
          </w:p>
        </w:tc>
        <w:tc>
          <w:tcPr>
            <w:tcW w:w="120" w:type="dxa"/>
            <w:vAlign w:val="bottom"/>
            <w:tcBorders>
              <w:top w:val="single" w:sz="8" w:color="CCFFCC"/>
            </w:tcBorders>
            <w:shd w:val="clear" w:color="auto" w:fill="CCFFCC"/>
          </w:tcPr>
          <w:p>
            <w:pPr>
              <w:spacing w:after="0"/>
              <w:rPr>
                <w:sz w:val="18"/>
                <w:szCs w:val="18"/>
                <w:color w:val="auto"/>
              </w:rPr>
            </w:pPr>
          </w:p>
        </w:tc>
        <w:tc>
          <w:tcPr>
            <w:tcW w:w="1720" w:type="dxa"/>
            <w:vAlign w:val="bottom"/>
            <w:tcBorders>
              <w:top w:val="single" w:sz="8" w:color="auto"/>
            </w:tcBorders>
            <w:shd w:val="clear" w:color="auto" w:fill="CCFFCC"/>
          </w:tcPr>
          <w:p>
            <w:pPr>
              <w:ind w:left="14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FFCC"/>
            </w:tcBorders>
            <w:shd w:val="clear" w:color="auto" w:fill="CCFFCC"/>
          </w:tcPr>
          <w:p>
            <w:pPr>
              <w:spacing w:after="0"/>
              <w:rPr>
                <w:sz w:val="18"/>
                <w:szCs w:val="18"/>
                <w:color w:val="auto"/>
              </w:rPr>
            </w:pPr>
          </w:p>
        </w:tc>
        <w:tc>
          <w:tcPr>
            <w:tcW w:w="1700" w:type="dxa"/>
            <w:vAlign w:val="bottom"/>
            <w:tcBorders>
              <w:top w:val="single" w:sz="8" w:color="auto"/>
            </w:tcBorders>
            <w:shd w:val="clear" w:color="auto" w:fill="CCFFCC"/>
          </w:tcPr>
          <w:p>
            <w:pPr>
              <w:ind w:left="14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4,083</w:t>
            </w:r>
          </w:p>
        </w:tc>
        <w:tc>
          <w:tcPr>
            <w:tcW w:w="100" w:type="dxa"/>
            <w:vAlign w:val="bottom"/>
            <w:tcBorders>
              <w:top w:val="single" w:sz="8" w:color="CCFFCC"/>
            </w:tcBorders>
            <w:shd w:val="clear" w:color="auto" w:fill="CCFFCC"/>
          </w:tcPr>
          <w:p>
            <w:pPr>
              <w:spacing w:after="0"/>
              <w:rPr>
                <w:sz w:val="18"/>
                <w:szCs w:val="18"/>
                <w:color w:val="auto"/>
              </w:rPr>
            </w:pPr>
          </w:p>
        </w:tc>
      </w:t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As of December 31, 2012</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7,612</w:t>
            </w:r>
          </w:p>
        </w:tc>
        <w:tc>
          <w:tcPr>
            <w:tcW w:w="120" w:type="dxa"/>
            <w:vAlign w:val="bottom"/>
          </w:tcPr>
          <w:p>
            <w:pPr>
              <w:spacing w:after="0"/>
              <w:rPr>
                <w:sz w:val="20"/>
                <w:szCs w:val="20"/>
                <w:color w:val="auto"/>
              </w:rPr>
            </w:pPr>
          </w:p>
        </w:tc>
        <w:tc>
          <w:tcPr>
            <w:tcW w:w="1840" w:type="dxa"/>
            <w:vAlign w:val="bottom"/>
            <w:gridSpan w:val="2"/>
          </w:tcPr>
          <w:p>
            <w:pPr>
              <w:ind w:left="148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ind w:left="144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7,612</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placement in the fair value hierarchy of assets and liabilities that are measured at fair value on a non-recurring basis as of December 31, 2013 (there were no such assets or liabilities as of December 31,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10"/>
          </w:tcPr>
          <w:p>
            <w:pPr>
              <w:ind w:left="760"/>
              <w:spacing w:after="0"/>
              <w:rPr>
                <w:sz w:val="20"/>
                <w:szCs w:val="20"/>
                <w:color w:val="auto"/>
              </w:rPr>
            </w:pPr>
            <w:r>
              <w:rPr>
                <w:rFonts w:ascii="Arial" w:cs="Arial" w:eastAsia="Arial" w:hAnsi="Arial"/>
                <w:sz w:val="18"/>
                <w:szCs w:val="18"/>
                <w:b w:val="1"/>
                <w:bCs w:val="1"/>
                <w:color w:val="auto"/>
              </w:rPr>
              <w:t>Fair value measurement at reporting date using</w:t>
            </w:r>
          </w:p>
        </w:tc>
      </w:tr>
      <w:tr>
        <w:trPr>
          <w:trHeight w:val="191"/>
        </w:trPr>
        <w:tc>
          <w:tcPr>
            <w:tcW w:w="57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Quoted prices in</w:t>
            </w:r>
          </w:p>
        </w:tc>
        <w:tc>
          <w:tcPr>
            <w:tcW w:w="1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active markets</w:t>
            </w:r>
          </w:p>
        </w:tc>
        <w:tc>
          <w:tcPr>
            <w:tcW w:w="1520" w:type="dxa"/>
            <w:vAlign w:val="bottom"/>
            <w:gridSpan w:val="3"/>
          </w:tcPr>
          <w:p>
            <w:pPr>
              <w:jc w:val="center"/>
              <w:ind w:right="165"/>
              <w:spacing w:after="0"/>
              <w:rPr>
                <w:sz w:val="20"/>
                <w:szCs w:val="20"/>
                <w:color w:val="auto"/>
              </w:rPr>
            </w:pPr>
            <w:r>
              <w:rPr>
                <w:rFonts w:ascii="Arial" w:cs="Arial" w:eastAsia="Arial" w:hAnsi="Arial"/>
                <w:sz w:val="18"/>
                <w:szCs w:val="18"/>
                <w:b w:val="1"/>
                <w:bCs w:val="1"/>
                <w:color w:val="auto"/>
                <w:w w:val="90"/>
              </w:rPr>
              <w:t>Significant other</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for identical</w:t>
            </w:r>
          </w:p>
        </w:tc>
        <w:tc>
          <w:tcPr>
            <w:tcW w:w="1520" w:type="dxa"/>
            <w:vAlign w:val="bottom"/>
            <w:gridSpan w:val="3"/>
          </w:tcPr>
          <w:p>
            <w:pPr>
              <w:jc w:val="center"/>
              <w:ind w:right="165"/>
              <w:spacing w:after="0"/>
              <w:rPr>
                <w:sz w:val="20"/>
                <w:szCs w:val="20"/>
                <w:color w:val="auto"/>
              </w:rPr>
            </w:pPr>
            <w:r>
              <w:rPr>
                <w:rFonts w:ascii="Arial" w:cs="Arial" w:eastAsia="Arial" w:hAnsi="Arial"/>
                <w:sz w:val="18"/>
                <w:szCs w:val="18"/>
                <w:b w:val="1"/>
                <w:bCs w:val="1"/>
                <w:color w:val="auto"/>
                <w:w w:val="88"/>
              </w:rPr>
              <w:t>observable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unobservable</w:t>
            </w:r>
          </w:p>
        </w:tc>
      </w:tr>
      <w:tr>
        <w:trPr>
          <w:trHeight w:val="234"/>
        </w:trPr>
        <w:tc>
          <w:tcPr>
            <w:tcW w:w="5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assets (Level 1)</w:t>
            </w:r>
          </w:p>
        </w:tc>
        <w:tc>
          <w:tcPr>
            <w:tcW w:w="1520" w:type="dxa"/>
            <w:vAlign w:val="bottom"/>
            <w:gridSpan w:val="3"/>
          </w:tcPr>
          <w:p>
            <w:pPr>
              <w:jc w:val="center"/>
              <w:ind w:right="165"/>
              <w:spacing w:after="0"/>
              <w:rPr>
                <w:sz w:val="20"/>
                <w:szCs w:val="20"/>
                <w:color w:val="auto"/>
              </w:rPr>
            </w:pPr>
            <w:r>
              <w:rPr>
                <w:rFonts w:ascii="Arial" w:cs="Arial" w:eastAsia="Arial" w:hAnsi="Arial"/>
                <w:sz w:val="18"/>
                <w:szCs w:val="18"/>
                <w:b w:val="1"/>
                <w:bCs w:val="1"/>
                <w:color w:val="auto"/>
                <w:w w:val="90"/>
              </w:rPr>
              <w:t>inputs (Level 2)</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inputs (Level 3)</w:t>
            </w:r>
          </w:p>
        </w:tc>
      </w:tr>
      <w:tr>
        <w:trPr>
          <w:trHeight w:val="210"/>
        </w:trPr>
        <w:tc>
          <w:tcPr>
            <w:tcW w:w="5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Assets held for sale</w:t>
            </w: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787</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tcBorders>
              <w:top w:val="single" w:sz="8" w:color="CCFFCC"/>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637</w:t>
            </w:r>
          </w:p>
        </w:tc>
        <w:tc>
          <w:tcPr>
            <w:tcW w:w="100" w:type="dxa"/>
            <w:vAlign w:val="bottom"/>
            <w:tcBorders>
              <w:top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above, the Company’s financial instruments at December 31, 2013 and December 31, 2012, consisted of cash, cash equivalents, accounts payable, and accounts receivable and long term deposits. The carrying amounts of all the aforementioned financial instruments approximate fair value. The following table summarizes the changes in the Company’s liabilities measured at fair value using significant unobservable inputs (Level 3) during the years ended December 31, 2013 and 2012: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6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at January 1, 2012</w:t>
            </w: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w w:val="93"/>
              </w:rPr>
              <w:t>Derivative warrants issued to I/P’s shareholders in connection with the Merger, July 19, 2012</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Fair value of derivative warrants issued by Legal Parent (refer to Note 9)</w:t>
            </w: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3,162</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w w:val="99"/>
              </w:rPr>
              <w:t>Fair value adjustment, prior to exercise of warrants, included in statement of operations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Exercise of derivative warrants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Fair value adjustment at end of period, included in statement of operations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10"/>
        </w:trPr>
        <w:tc>
          <w:tcPr>
            <w:tcW w:w="6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at December 31, 2012</w:t>
            </w:r>
          </w:p>
        </w:tc>
        <w:tc>
          <w:tcPr>
            <w:tcW w:w="24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7,612</w:t>
            </w:r>
          </w:p>
        </w:tc>
        <w:tc>
          <w:tcPr>
            <w:tcW w:w="1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impact of removal of down-round clause in Series 1 Warrant (refer to Note 9)</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(2,300)</w:t>
            </w: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w w:val="99"/>
              </w:rPr>
              <w:t>Fair value adjustment, prior to exercise of warrants, included in statement of operations</w:t>
            </w: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Exercise of derivative warrants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(808)</w:t>
            </w:r>
          </w:p>
        </w:tc>
        <w:tc>
          <w:tcPr>
            <w:tcW w:w="0" w:type="dxa"/>
            <w:vAlign w:val="bottom"/>
          </w:tcPr>
          <w:p>
            <w:pPr>
              <w:spacing w:after="0"/>
              <w:rPr>
                <w:sz w:val="1"/>
                <w:szCs w:val="1"/>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Fair value adjustment at end of period, included in statement of operations</w:t>
            </w:r>
          </w:p>
        </w:tc>
        <w:tc>
          <w:tcPr>
            <w:tcW w:w="2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(430)</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b w:val="1"/>
                <w:bCs w:val="1"/>
                <w:color w:val="auto"/>
              </w:rPr>
              <w:t>Balance at December 31, 2013</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5560"/>
              <w:spacing w:after="0"/>
              <w:rPr>
                <w:sz w:val="20"/>
                <w:szCs w:val="20"/>
                <w:color w:val="auto"/>
              </w:rPr>
            </w:pPr>
            <w:r>
              <w:rPr>
                <w:rFonts w:ascii="Arial" w:cs="Arial" w:eastAsia="Arial" w:hAnsi="Arial"/>
                <w:sz w:val="18"/>
                <w:szCs w:val="18"/>
                <w:color w:val="auto"/>
              </w:rPr>
              <w:t>F-15</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6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0"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measurement of the derivative liability on account of Special Bridge Warrants, Conversion Warrants, Preferential Reload Warrants and Series 1 Warrants (as defined in Note 9) fall within Level 3 of the fair value hierarchy. The fair value measurements are evaluated by management to ensure that changes are consistent with expectations of management based upon the sensitivity and nature of the inputs.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2740" w:type="dxa"/>
            <w:vAlign w:val="bottom"/>
          </w:tcPr>
          <w:p>
            <w:pPr>
              <w:spacing w:after="0"/>
              <w:rPr>
                <w:sz w:val="20"/>
                <w:szCs w:val="20"/>
                <w:color w:val="auto"/>
              </w:rPr>
            </w:pPr>
            <w:r>
              <w:rPr>
                <w:rFonts w:ascii="Arial" w:cs="Arial" w:eastAsia="Arial" w:hAnsi="Arial"/>
                <w:sz w:val="18"/>
                <w:szCs w:val="18"/>
                <w:b w:val="1"/>
                <w:bCs w:val="1"/>
                <w:color w:val="auto"/>
              </w:rPr>
              <w:t>Valuation technique</w:t>
            </w:r>
          </w:p>
        </w:tc>
        <w:tc>
          <w:tcPr>
            <w:tcW w:w="2860" w:type="dxa"/>
            <w:vAlign w:val="bottom"/>
            <w:gridSpan w:val="2"/>
          </w:tcPr>
          <w:p>
            <w:pPr>
              <w:ind w:left="120"/>
              <w:spacing w:after="0"/>
              <w:rPr>
                <w:sz w:val="20"/>
                <w:szCs w:val="20"/>
                <w:color w:val="auto"/>
              </w:rPr>
            </w:pPr>
            <w:r>
              <w:rPr>
                <w:rFonts w:ascii="Arial" w:cs="Arial" w:eastAsia="Arial" w:hAnsi="Arial"/>
                <w:sz w:val="18"/>
                <w:szCs w:val="18"/>
                <w:b w:val="1"/>
                <w:bCs w:val="1"/>
                <w:color w:val="auto"/>
              </w:rPr>
              <w:t>Unobservable inputs</w:t>
            </w:r>
          </w:p>
        </w:tc>
        <w:tc>
          <w:tcPr>
            <w:tcW w:w="2500" w:type="dxa"/>
            <w:vAlign w:val="bottom"/>
            <w:gridSpan w:val="3"/>
          </w:tcPr>
          <w:p>
            <w:pPr>
              <w:jc w:val="right"/>
              <w:ind w:right="1900"/>
              <w:spacing w:after="0"/>
              <w:rPr>
                <w:sz w:val="20"/>
                <w:szCs w:val="20"/>
                <w:color w:val="auto"/>
              </w:rPr>
            </w:pPr>
            <w:r>
              <w:rPr>
                <w:rFonts w:ascii="Arial" w:cs="Arial" w:eastAsia="Arial" w:hAnsi="Arial"/>
                <w:sz w:val="18"/>
                <w:szCs w:val="18"/>
                <w:b w:val="1"/>
                <w:bCs w:val="1"/>
                <w:color w:val="auto"/>
              </w:rPr>
              <w:t>Range</w:t>
            </w: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Special Bridge Warrants, Conversion</w:t>
            </w:r>
          </w:p>
        </w:tc>
        <w:tc>
          <w:tcPr>
            <w:tcW w:w="140" w:type="dxa"/>
            <w:vAlign w:val="bottom"/>
          </w:tcPr>
          <w:p>
            <w:pPr>
              <w:spacing w:after="0"/>
              <w:rPr>
                <w:sz w:val="18"/>
                <w:szCs w:val="18"/>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Black-Scholes-Merton and the</w:t>
            </w:r>
          </w:p>
        </w:tc>
        <w:tc>
          <w:tcPr>
            <w:tcW w:w="120" w:type="dxa"/>
            <w:vAlign w:val="bottom"/>
          </w:tcPr>
          <w:p>
            <w:pPr>
              <w:spacing w:after="0"/>
              <w:rPr>
                <w:sz w:val="18"/>
                <w:szCs w:val="18"/>
                <w:color w:val="auto"/>
              </w:rPr>
            </w:pPr>
          </w:p>
        </w:tc>
        <w:tc>
          <w:tcPr>
            <w:tcW w:w="27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Volatility</w:t>
            </w:r>
          </w:p>
        </w:tc>
        <w:tc>
          <w:tcPr>
            <w:tcW w:w="100" w:type="dxa"/>
            <w:vAlign w:val="bottom"/>
            <w:tcBorders>
              <w:top w:val="single" w:sz="8" w:color="CCFFCC"/>
            </w:tcBorders>
            <w:shd w:val="clear" w:color="auto" w:fill="CCFFCC"/>
          </w:tcPr>
          <w:p>
            <w:pPr>
              <w:spacing w:after="0"/>
              <w:rPr>
                <w:sz w:val="18"/>
                <w:szCs w:val="18"/>
                <w:color w:val="auto"/>
              </w:rPr>
            </w:pPr>
          </w:p>
        </w:tc>
        <w:tc>
          <w:tcPr>
            <w:tcW w:w="2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46.85% – 52.63%</w:t>
            </w: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Warrants, Preferential Reload</w:t>
            </w:r>
          </w:p>
        </w:tc>
        <w:tc>
          <w:tcPr>
            <w:tcW w:w="2740" w:type="dxa"/>
            <w:vAlign w:val="bottom"/>
          </w:tcPr>
          <w:p>
            <w:pPr>
              <w:spacing w:after="0"/>
              <w:rPr>
                <w:sz w:val="20"/>
                <w:szCs w:val="20"/>
                <w:color w:val="auto"/>
              </w:rPr>
            </w:pPr>
            <w:r>
              <w:rPr>
                <w:rFonts w:ascii="Arial" w:cs="Arial" w:eastAsia="Arial" w:hAnsi="Arial"/>
                <w:sz w:val="18"/>
                <w:szCs w:val="18"/>
                <w:color w:val="auto"/>
              </w:rPr>
              <w:t>Monte-Carlo models</w:t>
            </w: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00" w:type="dxa"/>
            <w:vAlign w:val="bottom"/>
          </w:tcPr>
          <w:p>
            <w:pPr>
              <w:spacing w:after="0"/>
              <w:rPr>
                <w:sz w:val="18"/>
                <w:szCs w:val="18"/>
                <w:color w:val="auto"/>
              </w:rPr>
            </w:pP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0.16% – 1.11%</w:t>
            </w: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Warrants and the outstanding</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color w:val="auto"/>
              </w:rPr>
              <w:t>Expected term, in years</w:t>
            </w:r>
          </w:p>
        </w:tc>
        <w:tc>
          <w:tcPr>
            <w:tcW w:w="100" w:type="dxa"/>
            <w:vAlign w:val="bottom"/>
            <w:shd w:val="clear" w:color="auto" w:fill="CCFFCC"/>
          </w:tcPr>
          <w:p>
            <w:pPr>
              <w:spacing w:after="0"/>
              <w:rPr>
                <w:sz w:val="18"/>
                <w:szCs w:val="18"/>
                <w:color w:val="auto"/>
              </w:rPr>
            </w:pPr>
          </w:p>
        </w:tc>
        <w:tc>
          <w:tcPr>
            <w:tcW w:w="2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0.99 – 3.55</w:t>
            </w: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derivative Series 1 Warrants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Dividend yield</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Probability and timing of down-round</w:t>
            </w:r>
          </w:p>
        </w:tc>
        <w:tc>
          <w:tcPr>
            <w:tcW w:w="100" w:type="dxa"/>
            <w:vAlign w:val="bottom"/>
            <w:shd w:val="clear" w:color="auto" w:fill="CCFFCC"/>
          </w:tcPr>
          <w:p>
            <w:pPr>
              <w:spacing w:after="0"/>
              <w:rPr>
                <w:sz w:val="17"/>
                <w:szCs w:val="17"/>
                <w:color w:val="auto"/>
              </w:rPr>
            </w:pPr>
          </w:p>
        </w:tc>
        <w:tc>
          <w:tcPr>
            <w:tcW w:w="240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5% occurrence in</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color w:val="auto"/>
              </w:rPr>
              <w:t>triggering event</w:t>
            </w:r>
          </w:p>
        </w:tc>
        <w:tc>
          <w:tcPr>
            <w:tcW w:w="100" w:type="dxa"/>
            <w:vAlign w:val="bottom"/>
            <w:shd w:val="clear" w:color="auto" w:fill="CCFFCC"/>
          </w:tcPr>
          <w:p>
            <w:pPr>
              <w:spacing w:after="0"/>
              <w:rPr>
                <w:sz w:val="20"/>
                <w:szCs w:val="20"/>
                <w:color w:val="auto"/>
              </w:rPr>
            </w:pPr>
          </w:p>
        </w:tc>
        <w:tc>
          <w:tcPr>
            <w:tcW w:w="2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December 2014</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fair value of assets held for sale, as well as other long-lived assets, is determined by estimating the present value of the expected future cash flows associated with that asset or asset group by using certain unobservable market inputs. These inputs include discount rates, estimated future cash flows and certain continuing growth rate assumptions. The discount rates are intended to reflect the risk inherent in the projected future cash flows generated by the respective asset or asset group. These inputs, particularly related to mobile social application technology, are sensitive to rapid changes in the industry and technological advances.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inputs to estimate the fair value of the Company’s derivative warrant liability are the current market price of the Company’s common stock, the exercise price of the warrant, its remaining expected term, the volatility of the Company’s common stock market price, the Company’s estimations regarding the probability and timing of a down-round protection triggering event and the risk-free interest rate. Significant changes in any of those inputs in isolation can result in a significant change in the fair value measurement. Generally, a positive change in the market price of the Company’s common stock, an increase in the volatility of the Company’s shares of common stock, an increase in the remaining term of the warrant, or an increase of a probability of a down-round triggering event would each result in a directionally similar change in the estimated fair value of the Company’s warrants, and thus an increase in the associated liability and vice-versa. An increase in the risk-free interest rate or a decrease in the positive differential between the warrant’s exercise price and the market price of the Company’s shares of common stock would result in a decrease in the estimated fair value measurement of the warrants and thus a decrease in the associated liability. The Company has not, nor plans to, declare dividends on its common stock, and thus, there is no change in the estimated fair value of the warrants due to the dividend assumption.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Pre-Merger common stock share amounts and balance sheet disclosures were retrospectively restated to reflect Vringo’s equity instruments after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information about the Company's issued and outstanding common stock from Inception through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4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b w:val="1"/>
                <w:bCs w:val="1"/>
                <w:color w:val="auto"/>
                <w:w w:val="91"/>
              </w:rPr>
              <w:t>Shares of common stock</w:t>
            </w:r>
          </w:p>
        </w:tc>
      </w:tr>
      <w:tr>
        <w:trPr>
          <w:trHeight w:val="210"/>
        </w:trPr>
        <w:tc>
          <w:tcPr>
            <w:tcW w:w="94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June 8, 2011 (Inception)</w:t>
            </w:r>
          </w:p>
        </w:tc>
        <w:tc>
          <w:tcPr>
            <w:tcW w:w="1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Grant of shares at less than fair value to officers, directors and consultants</w:t>
            </w:r>
          </w:p>
        </w:tc>
        <w:tc>
          <w:tcPr>
            <w:tcW w:w="1880" w:type="dxa"/>
            <w:vAlign w:val="bottom"/>
          </w:tcPr>
          <w:p>
            <w:pPr>
              <w:jc w:val="right"/>
              <w:spacing w:after="0"/>
              <w:rPr>
                <w:sz w:val="20"/>
                <w:szCs w:val="20"/>
                <w:color w:val="auto"/>
              </w:rPr>
            </w:pPr>
            <w:r>
              <w:rPr>
                <w:rFonts w:ascii="Arial" w:cs="Arial" w:eastAsia="Arial" w:hAnsi="Arial"/>
                <w:sz w:val="18"/>
                <w:szCs w:val="18"/>
                <w:color w:val="auto"/>
              </w:rPr>
              <w:t>8,768,014</w:t>
            </w:r>
          </w:p>
        </w:tc>
        <w:tc>
          <w:tcPr>
            <w:tcW w:w="100" w:type="dxa"/>
            <w:vAlign w:val="bottom"/>
          </w:tcPr>
          <w:p>
            <w:pPr>
              <w:spacing w:after="0"/>
              <w:rPr>
                <w:sz w:val="18"/>
                <w:szCs w:val="18"/>
                <w:color w:val="auto"/>
              </w:rPr>
            </w:pPr>
          </w:p>
        </w:tc>
      </w:tr>
      <w:tr>
        <w:trPr>
          <w:trHeight w:val="216"/>
        </w:trPr>
        <w:tc>
          <w:tcPr>
            <w:tcW w:w="9440" w:type="dxa"/>
            <w:vAlign w:val="bottom"/>
            <w:shd w:val="clear" w:color="auto" w:fill="CCFFCC"/>
          </w:tcPr>
          <w:p>
            <w:pPr>
              <w:spacing w:after="0"/>
              <w:rPr>
                <w:sz w:val="20"/>
                <w:szCs w:val="20"/>
                <w:color w:val="auto"/>
              </w:rPr>
            </w:pPr>
            <w:r>
              <w:rPr>
                <w:rFonts w:ascii="Arial" w:cs="Arial" w:eastAsia="Arial" w:hAnsi="Arial"/>
                <w:sz w:val="18"/>
                <w:szCs w:val="18"/>
                <w:color w:val="auto"/>
              </w:rPr>
              <w:t>Issuance of shares of common stock</w:t>
            </w:r>
          </w:p>
        </w:tc>
        <w:tc>
          <w:tcPr>
            <w:tcW w:w="1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8,204,963</w:t>
            </w:r>
          </w:p>
        </w:tc>
        <w:tc>
          <w:tcPr>
            <w:tcW w:w="100" w:type="dxa"/>
            <w:vAlign w:val="bottom"/>
            <w:shd w:val="clear" w:color="auto" w:fill="CCFFCC"/>
          </w:tcPr>
          <w:p>
            <w:pPr>
              <w:spacing w:after="0"/>
              <w:rPr>
                <w:sz w:val="18"/>
                <w:szCs w:val="18"/>
                <w:color w:val="auto"/>
              </w:rPr>
            </w:pPr>
          </w:p>
        </w:tc>
      </w:tr>
      <w:tr>
        <w:trPr>
          <w:trHeight w:val="210"/>
        </w:trPr>
        <w:tc>
          <w:tcPr>
            <w:tcW w:w="9440" w:type="dxa"/>
            <w:vAlign w:val="bottom"/>
          </w:tcPr>
          <w:p>
            <w:pPr>
              <w:spacing w:after="0"/>
              <w:rPr>
                <w:sz w:val="20"/>
                <w:szCs w:val="20"/>
                <w:color w:val="auto"/>
              </w:rPr>
            </w:pPr>
            <w:r>
              <w:rPr>
                <w:rFonts w:ascii="Arial" w:cs="Arial" w:eastAsia="Arial" w:hAnsi="Arial"/>
                <w:sz w:val="18"/>
                <w:szCs w:val="18"/>
                <w:b w:val="1"/>
                <w:bCs w:val="1"/>
                <w:color w:val="auto"/>
              </w:rPr>
              <w:t>Balance as of December 31, 2011</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16,972,977</w:t>
            </w:r>
          </w:p>
        </w:tc>
        <w:tc>
          <w:tcPr>
            <w:tcW w:w="100" w:type="dxa"/>
            <w:vAlign w:val="bottom"/>
          </w:tcPr>
          <w:p>
            <w:pPr>
              <w:spacing w:after="0"/>
              <w:rPr>
                <w:sz w:val="18"/>
                <w:szCs w:val="18"/>
                <w:color w:val="auto"/>
              </w:rPr>
            </w:pPr>
          </w:p>
        </w:tc>
      </w:tr>
      <w:tr>
        <w:trPr>
          <w:trHeight w:val="216"/>
        </w:trPr>
        <w:tc>
          <w:tcPr>
            <w:tcW w:w="9440" w:type="dxa"/>
            <w:vAlign w:val="bottom"/>
            <w:shd w:val="clear" w:color="auto" w:fill="CCFFCC"/>
          </w:tcPr>
          <w:p>
            <w:pPr>
              <w:spacing w:after="0"/>
              <w:rPr>
                <w:sz w:val="20"/>
                <w:szCs w:val="20"/>
                <w:color w:val="auto"/>
              </w:rPr>
            </w:pPr>
            <w:r>
              <w:rPr>
                <w:rFonts w:ascii="Arial" w:cs="Arial" w:eastAsia="Arial" w:hAnsi="Arial"/>
                <w:sz w:val="18"/>
                <w:szCs w:val="18"/>
                <w:color w:val="auto"/>
              </w:rPr>
              <w:t>Conversion of Series A Preferred Convertible Preferred stock, classified as mezzanine equity</w:t>
            </w:r>
          </w:p>
        </w:tc>
        <w:tc>
          <w:tcPr>
            <w:tcW w:w="1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890,192</w:t>
            </w:r>
          </w:p>
        </w:tc>
        <w:tc>
          <w:tcPr>
            <w:tcW w:w="100" w:type="dxa"/>
            <w:vAlign w:val="bottom"/>
            <w:shd w:val="clear" w:color="auto" w:fill="CCFFCC"/>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Grant of shares to consultants</w:t>
            </w:r>
          </w:p>
        </w:tc>
        <w:tc>
          <w:tcPr>
            <w:tcW w:w="1880" w:type="dxa"/>
            <w:vAlign w:val="bottom"/>
          </w:tcPr>
          <w:p>
            <w:pPr>
              <w:jc w:val="right"/>
              <w:spacing w:after="0"/>
              <w:rPr>
                <w:sz w:val="20"/>
                <w:szCs w:val="20"/>
                <w:color w:val="auto"/>
              </w:rPr>
            </w:pPr>
            <w:r>
              <w:rPr>
                <w:rFonts w:ascii="Arial" w:cs="Arial" w:eastAsia="Arial" w:hAnsi="Arial"/>
                <w:sz w:val="18"/>
                <w:szCs w:val="18"/>
                <w:color w:val="auto"/>
              </w:rPr>
              <w:t>265,000</w:t>
            </w:r>
          </w:p>
        </w:tc>
        <w:tc>
          <w:tcPr>
            <w:tcW w:w="100" w:type="dxa"/>
            <w:vAlign w:val="bottom"/>
          </w:tcPr>
          <w:p>
            <w:pPr>
              <w:spacing w:after="0"/>
              <w:rPr>
                <w:sz w:val="18"/>
                <w:szCs w:val="18"/>
                <w:color w:val="auto"/>
              </w:rPr>
            </w:pPr>
          </w:p>
        </w:tc>
      </w:tr>
      <w:tr>
        <w:trPr>
          <w:trHeight w:val="216"/>
        </w:trPr>
        <w:tc>
          <w:tcPr>
            <w:tcW w:w="9440" w:type="dxa"/>
            <w:vAlign w:val="bottom"/>
            <w:shd w:val="clear" w:color="auto" w:fill="CCFFCC"/>
          </w:tcPr>
          <w:p>
            <w:pPr>
              <w:spacing w:after="0"/>
              <w:rPr>
                <w:sz w:val="20"/>
                <w:szCs w:val="20"/>
                <w:color w:val="auto"/>
              </w:rPr>
            </w:pPr>
            <w:r>
              <w:rPr>
                <w:rFonts w:ascii="Arial" w:cs="Arial" w:eastAsia="Arial" w:hAnsi="Arial"/>
                <w:sz w:val="18"/>
                <w:szCs w:val="18"/>
                <w:color w:val="auto"/>
              </w:rPr>
              <w:t>Legal Parent’s shares of common stock, recorded upon Merger</w:t>
            </w:r>
          </w:p>
        </w:tc>
        <w:tc>
          <w:tcPr>
            <w:tcW w:w="1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15,206,118</w:t>
            </w:r>
          </w:p>
        </w:tc>
        <w:tc>
          <w:tcPr>
            <w:tcW w:w="100" w:type="dxa"/>
            <w:vAlign w:val="bottom"/>
            <w:shd w:val="clear" w:color="auto" w:fill="CCFFCC"/>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Exercise of 250,000 warrants, issued and exercised prior to the Merger</w:t>
            </w:r>
          </w:p>
        </w:tc>
        <w:tc>
          <w:tcPr>
            <w:tcW w:w="1880" w:type="dxa"/>
            <w:vAlign w:val="bottom"/>
          </w:tcPr>
          <w:p>
            <w:pPr>
              <w:jc w:val="right"/>
              <w:spacing w:after="0"/>
              <w:rPr>
                <w:sz w:val="20"/>
                <w:szCs w:val="20"/>
                <w:color w:val="auto"/>
              </w:rPr>
            </w:pPr>
            <w:r>
              <w:rPr>
                <w:rFonts w:ascii="Arial" w:cs="Arial" w:eastAsia="Arial" w:hAnsi="Arial"/>
                <w:sz w:val="18"/>
                <w:szCs w:val="18"/>
                <w:color w:val="auto"/>
              </w:rPr>
              <w:t>754,400</w:t>
            </w:r>
          </w:p>
        </w:tc>
        <w:tc>
          <w:tcPr>
            <w:tcW w:w="100" w:type="dxa"/>
            <w:vAlign w:val="bottom"/>
          </w:tcPr>
          <w:p>
            <w:pPr>
              <w:spacing w:after="0"/>
              <w:rPr>
                <w:sz w:val="18"/>
                <w:szCs w:val="18"/>
                <w:color w:val="auto"/>
              </w:rPr>
            </w:pPr>
          </w:p>
        </w:tc>
      </w:tr>
      <w:tr>
        <w:trPr>
          <w:trHeight w:val="216"/>
        </w:trPr>
        <w:tc>
          <w:tcPr>
            <w:tcW w:w="9440" w:type="dxa"/>
            <w:vAlign w:val="bottom"/>
            <w:shd w:val="clear" w:color="auto" w:fill="CCFFCC"/>
          </w:tcPr>
          <w:p>
            <w:pPr>
              <w:spacing w:after="0"/>
              <w:rPr>
                <w:sz w:val="20"/>
                <w:szCs w:val="20"/>
                <w:color w:val="auto"/>
              </w:rPr>
            </w:pPr>
            <w:r>
              <w:rPr>
                <w:rFonts w:ascii="Arial" w:cs="Arial" w:eastAsia="Arial" w:hAnsi="Arial"/>
                <w:sz w:val="18"/>
                <w:szCs w:val="18"/>
                <w:color w:val="auto"/>
              </w:rPr>
              <w:t>Post-Merger exercise of warrants</w:t>
            </w:r>
          </w:p>
        </w:tc>
        <w:tc>
          <w:tcPr>
            <w:tcW w:w="1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6,832,150</w:t>
            </w:r>
          </w:p>
        </w:tc>
        <w:tc>
          <w:tcPr>
            <w:tcW w:w="100" w:type="dxa"/>
            <w:vAlign w:val="bottom"/>
            <w:shd w:val="clear" w:color="auto" w:fill="CCFFCC"/>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Exercise of stock options and vesting of RSUs</w:t>
            </w:r>
          </w:p>
        </w:tc>
        <w:tc>
          <w:tcPr>
            <w:tcW w:w="1880" w:type="dxa"/>
            <w:vAlign w:val="bottom"/>
          </w:tcPr>
          <w:p>
            <w:pPr>
              <w:jc w:val="right"/>
              <w:spacing w:after="0"/>
              <w:rPr>
                <w:sz w:val="20"/>
                <w:szCs w:val="20"/>
                <w:color w:val="auto"/>
              </w:rPr>
            </w:pPr>
            <w:r>
              <w:rPr>
                <w:rFonts w:ascii="Arial" w:cs="Arial" w:eastAsia="Arial" w:hAnsi="Arial"/>
                <w:sz w:val="18"/>
                <w:szCs w:val="18"/>
                <w:color w:val="auto"/>
              </w:rPr>
              <w:t>726,346</w:t>
            </w:r>
          </w:p>
        </w:tc>
        <w:tc>
          <w:tcPr>
            <w:tcW w:w="100" w:type="dxa"/>
            <w:vAlign w:val="bottom"/>
          </w:tcPr>
          <w:p>
            <w:pPr>
              <w:spacing w:after="0"/>
              <w:rPr>
                <w:sz w:val="18"/>
                <w:szCs w:val="18"/>
                <w:color w:val="auto"/>
              </w:rPr>
            </w:pPr>
          </w:p>
        </w:tc>
      </w:tr>
      <w:tr>
        <w:trPr>
          <w:trHeight w:val="216"/>
        </w:trPr>
        <w:tc>
          <w:tcPr>
            <w:tcW w:w="9440" w:type="dxa"/>
            <w:vAlign w:val="bottom"/>
            <w:shd w:val="clear" w:color="auto" w:fill="CCFFCC"/>
          </w:tcPr>
          <w:p>
            <w:pPr>
              <w:spacing w:after="0"/>
              <w:rPr>
                <w:sz w:val="20"/>
                <w:szCs w:val="20"/>
                <w:color w:val="auto"/>
              </w:rPr>
            </w:pPr>
            <w:r>
              <w:rPr>
                <w:rFonts w:ascii="Arial" w:cs="Arial" w:eastAsia="Arial" w:hAnsi="Arial"/>
                <w:sz w:val="18"/>
                <w:szCs w:val="18"/>
                <w:color w:val="auto"/>
              </w:rPr>
              <w:t>Conversion of Series A Preferred Convertible Preferred stock, classified as equity</w:t>
            </w:r>
          </w:p>
        </w:tc>
        <w:tc>
          <w:tcPr>
            <w:tcW w:w="1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20,136,445</w:t>
            </w:r>
          </w:p>
        </w:tc>
        <w:tc>
          <w:tcPr>
            <w:tcW w:w="100" w:type="dxa"/>
            <w:vAlign w:val="bottom"/>
            <w:shd w:val="clear" w:color="auto" w:fill="CCFFCC"/>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w w:val="91"/>
              </w:rPr>
              <w:t>Issuance of shares of common stock in connection with $31,148 received in a private financing round, net of issuance cost of $52</w:t>
            </w:r>
          </w:p>
        </w:tc>
        <w:tc>
          <w:tcPr>
            <w:tcW w:w="1880" w:type="dxa"/>
            <w:vAlign w:val="bottom"/>
          </w:tcPr>
          <w:p>
            <w:pPr>
              <w:jc w:val="right"/>
              <w:spacing w:after="0"/>
              <w:rPr>
                <w:sz w:val="20"/>
                <w:szCs w:val="20"/>
                <w:color w:val="auto"/>
              </w:rPr>
            </w:pPr>
            <w:r>
              <w:rPr>
                <w:rFonts w:ascii="Arial" w:cs="Arial" w:eastAsia="Arial" w:hAnsi="Arial"/>
                <w:sz w:val="18"/>
                <w:szCs w:val="18"/>
                <w:color w:val="auto"/>
              </w:rPr>
              <w:t>9,600,000</w:t>
            </w:r>
          </w:p>
        </w:tc>
        <w:tc>
          <w:tcPr>
            <w:tcW w:w="100" w:type="dxa"/>
            <w:vAlign w:val="bottom"/>
          </w:tcPr>
          <w:p>
            <w:pPr>
              <w:spacing w:after="0"/>
              <w:rPr>
                <w:sz w:val="18"/>
                <w:szCs w:val="18"/>
                <w:color w:val="auto"/>
              </w:rPr>
            </w:pPr>
          </w:p>
        </w:tc>
      </w:tr>
      <w:tr>
        <w:trPr>
          <w:trHeight w:val="216"/>
        </w:trPr>
        <w:tc>
          <w:tcPr>
            <w:tcW w:w="9440" w:type="dxa"/>
            <w:vAlign w:val="bottom"/>
            <w:shd w:val="clear" w:color="auto" w:fill="CCFFCC"/>
          </w:tcPr>
          <w:p>
            <w:pPr>
              <w:spacing w:after="0"/>
              <w:rPr>
                <w:sz w:val="20"/>
                <w:szCs w:val="20"/>
                <w:color w:val="auto"/>
              </w:rPr>
            </w:pPr>
            <w:r>
              <w:rPr>
                <w:rFonts w:ascii="Arial" w:cs="Arial" w:eastAsia="Arial" w:hAnsi="Arial"/>
                <w:sz w:val="18"/>
                <w:szCs w:val="18"/>
                <w:color w:val="auto"/>
                <w:w w:val="91"/>
              </w:rPr>
              <w:t>Issuance of shares of common stock in connection with $44,962 received in a private financing round, net of issuance cost of $39</w:t>
            </w:r>
          </w:p>
        </w:tc>
        <w:tc>
          <w:tcPr>
            <w:tcW w:w="1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10,344,998</w:t>
            </w:r>
          </w:p>
        </w:tc>
        <w:tc>
          <w:tcPr>
            <w:tcW w:w="100" w:type="dxa"/>
            <w:vAlign w:val="bottom"/>
            <w:shd w:val="clear" w:color="auto" w:fill="CCFFCC"/>
          </w:tcPr>
          <w:p>
            <w:pPr>
              <w:spacing w:after="0"/>
              <w:rPr>
                <w:sz w:val="18"/>
                <w:szCs w:val="18"/>
                <w:color w:val="auto"/>
              </w:rPr>
            </w:pPr>
          </w:p>
        </w:tc>
      </w:tr>
      <w:tr>
        <w:trPr>
          <w:trHeight w:val="216"/>
        </w:trPr>
        <w:tc>
          <w:tcPr>
            <w:tcW w:w="94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Shares issued for acquisition of patents, refer to Note 5</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160,600</w:t>
            </w:r>
          </w:p>
        </w:tc>
        <w:tc>
          <w:tcPr>
            <w:tcW w:w="100" w:type="dxa"/>
            <w:vAlign w:val="bottom"/>
            <w:tcBorders>
              <w:bottom w:val="single" w:sz="8" w:color="CCFFCC"/>
            </w:tcBorders>
          </w:tcPr>
          <w:p>
            <w:pPr>
              <w:spacing w:after="0"/>
              <w:rPr>
                <w:sz w:val="18"/>
                <w:szCs w:val="18"/>
                <w:color w:val="auto"/>
              </w:rPr>
            </w:pPr>
          </w:p>
        </w:tc>
      </w:tr>
      <w:tr>
        <w:trPr>
          <w:trHeight w:val="210"/>
        </w:trPr>
        <w:tc>
          <w:tcPr>
            <w:tcW w:w="9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2012</w:t>
            </w:r>
          </w:p>
        </w:tc>
        <w:tc>
          <w:tcPr>
            <w:tcW w:w="1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81,889,226</w:t>
            </w:r>
          </w:p>
        </w:tc>
        <w:tc>
          <w:tcPr>
            <w:tcW w:w="100" w:type="dxa"/>
            <w:vAlign w:val="bottom"/>
            <w:shd w:val="clear" w:color="auto" w:fill="CCFFCC"/>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Exercise of warrants</w:t>
            </w:r>
          </w:p>
        </w:tc>
        <w:tc>
          <w:tcPr>
            <w:tcW w:w="1880" w:type="dxa"/>
            <w:vAlign w:val="bottom"/>
          </w:tcPr>
          <w:p>
            <w:pPr>
              <w:jc w:val="right"/>
              <w:spacing w:after="0"/>
              <w:rPr>
                <w:sz w:val="20"/>
                <w:szCs w:val="20"/>
                <w:color w:val="auto"/>
              </w:rPr>
            </w:pPr>
            <w:r>
              <w:rPr>
                <w:rFonts w:ascii="Arial" w:cs="Arial" w:eastAsia="Arial" w:hAnsi="Arial"/>
                <w:sz w:val="18"/>
                <w:szCs w:val="18"/>
                <w:color w:val="auto"/>
              </w:rPr>
              <w:t>435,783</w:t>
            </w:r>
          </w:p>
        </w:tc>
        <w:tc>
          <w:tcPr>
            <w:tcW w:w="100" w:type="dxa"/>
            <w:vAlign w:val="bottom"/>
          </w:tcPr>
          <w:p>
            <w:pPr>
              <w:spacing w:after="0"/>
              <w:rPr>
                <w:sz w:val="18"/>
                <w:szCs w:val="18"/>
                <w:color w:val="auto"/>
              </w:rPr>
            </w:pPr>
          </w:p>
        </w:tc>
      </w:tr>
      <w:tr>
        <w:trPr>
          <w:trHeight w:val="216"/>
        </w:trPr>
        <w:tc>
          <w:tcPr>
            <w:tcW w:w="944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 options and vesting of RSUs</w:t>
            </w:r>
          </w:p>
        </w:tc>
        <w:tc>
          <w:tcPr>
            <w:tcW w:w="1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2,177,644</w:t>
            </w:r>
          </w:p>
        </w:tc>
        <w:tc>
          <w:tcPr>
            <w:tcW w:w="100" w:type="dxa"/>
            <w:vAlign w:val="bottom"/>
            <w:shd w:val="clear" w:color="auto" w:fill="CCFFCC"/>
          </w:tcPr>
          <w:p>
            <w:pPr>
              <w:spacing w:after="0"/>
              <w:rPr>
                <w:sz w:val="18"/>
                <w:szCs w:val="18"/>
                <w:color w:val="auto"/>
              </w:rPr>
            </w:pPr>
          </w:p>
        </w:tc>
      </w:tr>
      <w:tr>
        <w:trPr>
          <w:trHeight w:val="210"/>
        </w:trPr>
        <w:tc>
          <w:tcPr>
            <w:tcW w:w="9440" w:type="dxa"/>
            <w:vAlign w:val="bottom"/>
          </w:tcPr>
          <w:p>
            <w:pPr>
              <w:spacing w:after="0"/>
              <w:rPr>
                <w:sz w:val="20"/>
                <w:szCs w:val="20"/>
                <w:color w:val="auto"/>
              </w:rPr>
            </w:pPr>
            <w:r>
              <w:rPr>
                <w:rFonts w:ascii="Arial" w:cs="Arial" w:eastAsia="Arial" w:hAnsi="Arial"/>
                <w:sz w:val="18"/>
                <w:szCs w:val="18"/>
                <w:b w:val="1"/>
                <w:bCs w:val="1"/>
                <w:color w:val="auto"/>
              </w:rPr>
              <w:t>Balance as of December 31, 2013</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84,502,653</w:t>
            </w:r>
          </w:p>
        </w:tc>
        <w:tc>
          <w:tcPr>
            <w:tcW w:w="100" w:type="dxa"/>
            <w:vAlign w:val="bottom"/>
          </w:tcPr>
          <w:p>
            <w:pPr>
              <w:spacing w:after="0"/>
              <w:rPr>
                <w:sz w:val="18"/>
                <w:szCs w:val="18"/>
                <w:color w:val="auto"/>
              </w:rPr>
            </w:pPr>
          </w:p>
        </w:tc>
      </w:tr>
      <w:tr>
        <w:trPr>
          <w:trHeight w:val="20"/>
        </w:trPr>
        <w:tc>
          <w:tcPr>
            <w:tcW w:w="94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Equity Incentive Plan</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August 2011, I/P adopted its 2011 Equity and Performance Incentive Plan (the “I/P 2011 Plan”). The I/P 2011 Plan provided for the issuance of stock options and restricted stock to the Company’s directors, employees and consultants. Cancelled, expired or forfeited grants may be reissued under the I/P 2011 Plan. The number of shares available under I/P 2011 Plan was subject to adjustments for certain changes. Following the Merger with the Legal Parent, the I/P 2011 Plan was assumed by the Company.</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July 19, 2012, following the Merger with the Legal Parent, the Company’s stockholders approved the 2012 Employee, Director and Consultant Equity Incentive Plan (“2012 Plan”), replacing the existing 2006 Stock Option Plan of the Legal Parent, and the remaining 9,100,000 authorized shares thereunder were cancelled. The Company’s 2012 Plan was approved in order to ensure full compliance with legal and tax requirements under U.S. law. The number of shares subject to the 2012 Plan is the sum of: (i) 15,600,000 shares of common stock, which constitutes 6,500,000 new shares and 9,100,000 previously authorized but unissued shares under the 2006 Stock Option Plan and (ii) any shares of common stock that are represented by awards granted</w:t>
      </w:r>
    </w:p>
    <w:p>
      <w:pPr>
        <w:sectPr>
          <w:pgSz w:w="11900" w:h="16914" w:orient="portrait"/>
          <w:cols w:equalWidth="0" w:num="1">
            <w:col w:w="11420"/>
          </w:cols>
          <w:pgMar w:left="240" w:top="341" w:right="239" w:bottom="0" w:gutter="0" w:footer="0" w:header="0"/>
        </w:sectPr>
      </w:pPr>
    </w:p>
    <w:bookmarkStart w:id="51" w:name="page52"/>
    <w:bookmarkEnd w:id="51"/>
    <w:p>
      <w:pPr>
        <w:jc w:val="both"/>
        <w:spacing w:after="0" w:line="257" w:lineRule="auto"/>
        <w:rPr>
          <w:sz w:val="20"/>
          <w:szCs w:val="20"/>
          <w:color w:val="auto"/>
        </w:rPr>
      </w:pPr>
      <w:r>
        <w:rPr>
          <w:rFonts w:ascii="Arial" w:cs="Arial" w:eastAsia="Arial" w:hAnsi="Arial"/>
          <w:sz w:val="18"/>
          <w:szCs w:val="18"/>
          <w:color w:val="auto"/>
        </w:rPr>
        <w:t>under the Legal Parent’s 2006 Stock Option Plan that are forfeited, expired or are cancelled without delivery of shares of common stock or which result in the forfeiture of shares of common stock back to the Company, or the equivalent of such number of shares after the administrator, in its sole discretion, has interpreted the effect of any stock split, stock dividend, combination, recapitalization or similar transaction in accordance with the 2012 Plan; provided, however, that no more than 3,200,000 shares shall be added to the 2012 Plan. As of December 31, 2013, 4,509,796 shares were available for future grants under the 2012 Plan.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 Stock options and RSUs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illustrates the common stock options granted during the year ended December 31, 2013:</w:t>
      </w:r>
    </w:p>
    <w:p>
      <w:pPr>
        <w:sectPr>
          <w:pgSz w:w="11900" w:h="16838" w:orient="portrait"/>
          <w:cols w:equalWidth="0" w:num="1">
            <w:col w:w="11420"/>
          </w:cols>
          <w:pgMar w:left="240" w:top="337" w:right="239" w:bottom="0" w:gutter="0" w:footer="0" w:header="0"/>
        </w:sect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Title</w:t>
            </w:r>
          </w:p>
        </w:tc>
        <w:tc>
          <w:tcPr>
            <w:tcW w:w="100" w:type="dxa"/>
            <w:vAlign w:val="bottom"/>
            <w:vMerge w:val="restart"/>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00" w:type="dxa"/>
            <w:vAlign w:val="bottom"/>
            <w:vMerge w:val="restart"/>
          </w:tcPr>
          <w:p>
            <w:pPr>
              <w:spacing w:after="0"/>
              <w:rPr>
                <w:sz w:val="14"/>
                <w:szCs w:val="14"/>
                <w:color w:val="auto"/>
              </w:rPr>
            </w:pPr>
          </w:p>
        </w:tc>
        <w:tc>
          <w:tcPr>
            <w:tcW w:w="1520" w:type="dxa"/>
            <w:vAlign w:val="bottom"/>
            <w:gridSpan w:val="2"/>
          </w:tcPr>
          <w:p>
            <w:pPr>
              <w:ind w:left="480"/>
              <w:spacing w:after="0"/>
              <w:rPr>
                <w:sz w:val="20"/>
                <w:szCs w:val="20"/>
                <w:color w:val="auto"/>
              </w:rPr>
            </w:pPr>
            <w:r>
              <w:rPr>
                <w:rFonts w:ascii="Arial" w:cs="Arial" w:eastAsia="Arial" w:hAnsi="Arial"/>
                <w:sz w:val="14"/>
                <w:szCs w:val="14"/>
                <w:b w:val="1"/>
                <w:bCs w:val="1"/>
                <w:color w:val="auto"/>
              </w:rPr>
              <w:t>No. of</w:t>
            </w: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Exercise</w:t>
            </w: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FMV at</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Vesting terms</w:t>
            </w:r>
          </w:p>
        </w:tc>
        <w:tc>
          <w:tcPr>
            <w:tcW w:w="0" w:type="dxa"/>
            <w:vAlign w:val="bottom"/>
          </w:tcPr>
          <w:p>
            <w:pPr>
              <w:spacing w:after="0"/>
              <w:rPr>
                <w:sz w:val="1"/>
                <w:szCs w:val="1"/>
                <w:color w:val="auto"/>
              </w:rPr>
            </w:pPr>
          </w:p>
        </w:tc>
      </w:tr>
      <w:tr>
        <w:trPr>
          <w:trHeight w:val="171"/>
        </w:trPr>
        <w:tc>
          <w:tcPr>
            <w:tcW w:w="1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10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1860" w:type="dxa"/>
            <w:vAlign w:val="bottom"/>
            <w:gridSpan w:val="2"/>
          </w:tcPr>
          <w:p>
            <w:pPr>
              <w:spacing w:after="0"/>
              <w:rPr>
                <w:sz w:val="20"/>
                <w:szCs w:val="20"/>
                <w:color w:val="auto"/>
              </w:rPr>
            </w:pPr>
            <w:r>
              <w:rPr>
                <w:rFonts w:ascii="Arial" w:cs="Arial" w:eastAsia="Arial" w:hAnsi="Arial"/>
                <w:sz w:val="14"/>
                <w:szCs w:val="14"/>
                <w:color w:val="auto"/>
              </w:rPr>
              <w:t>Management, Directors and</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January-December</w:t>
            </w:r>
          </w:p>
        </w:tc>
        <w:tc>
          <w:tcPr>
            <w:tcW w:w="1420" w:type="dxa"/>
            <w:vAlign w:val="bottom"/>
            <w:vMerge w:val="restart"/>
          </w:tcPr>
          <w:p>
            <w:pPr>
              <w:jc w:val="right"/>
              <w:ind w:right="348"/>
              <w:spacing w:after="0"/>
              <w:rPr>
                <w:sz w:val="20"/>
                <w:szCs w:val="20"/>
                <w:color w:val="auto"/>
              </w:rPr>
            </w:pPr>
            <w:r>
              <w:rPr>
                <w:rFonts w:ascii="Arial" w:cs="Arial" w:eastAsia="Arial" w:hAnsi="Arial"/>
                <w:sz w:val="14"/>
                <w:szCs w:val="14"/>
                <w:color w:val="auto"/>
              </w:rPr>
              <w:t>3,365,833</w:t>
            </w:r>
          </w:p>
        </w:tc>
        <w:tc>
          <w:tcPr>
            <w:tcW w:w="100" w:type="dxa"/>
            <w:vAlign w:val="bottom"/>
          </w:tcPr>
          <w:p>
            <w:pPr>
              <w:spacing w:after="0"/>
              <w:rPr>
                <w:sz w:val="24"/>
                <w:szCs w:val="24"/>
                <w:color w:val="auto"/>
              </w:rPr>
            </w:pPr>
          </w:p>
        </w:tc>
        <w:tc>
          <w:tcPr>
            <w:tcW w:w="1160" w:type="dxa"/>
            <w:vAlign w:val="bottom"/>
            <w:vMerge w:val="restart"/>
          </w:tcPr>
          <w:p>
            <w:pPr>
              <w:ind w:left="240"/>
              <w:spacing w:after="0"/>
              <w:rPr>
                <w:sz w:val="20"/>
                <w:szCs w:val="20"/>
                <w:color w:val="auto"/>
              </w:rPr>
            </w:pPr>
            <w:r>
              <w:rPr>
                <w:rFonts w:ascii="Arial" w:cs="Arial" w:eastAsia="Arial" w:hAnsi="Arial"/>
                <w:sz w:val="14"/>
                <w:szCs w:val="14"/>
                <w:color w:val="auto"/>
              </w:rPr>
              <w:t>$2.77-$3.24</w:t>
            </w:r>
          </w:p>
        </w:tc>
        <w:tc>
          <w:tcPr>
            <w:tcW w:w="10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3"/>
              </w:rPr>
              <w:t>$2.77-$3.24</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4"/>
              </w:rPr>
              <w:t>Over 0.67-3</w:t>
            </w:r>
          </w:p>
        </w:tc>
        <w:tc>
          <w:tcPr>
            <w:tcW w:w="0" w:type="dxa"/>
            <w:vAlign w:val="bottom"/>
          </w:tcPr>
          <w:p>
            <w:pPr>
              <w:spacing w:after="0"/>
              <w:rPr>
                <w:sz w:val="1"/>
                <w:szCs w:val="1"/>
                <w:color w:val="auto"/>
              </w:rPr>
            </w:pPr>
          </w:p>
        </w:tc>
      </w:tr>
      <w:tr>
        <w:trPr>
          <w:trHeight w:val="115"/>
        </w:trPr>
        <w:tc>
          <w:tcPr>
            <w:tcW w:w="1860" w:type="dxa"/>
            <w:vAlign w:val="bottom"/>
            <w:gridSpan w:val="2"/>
            <w:vMerge w:val="restart"/>
          </w:tcPr>
          <w:p>
            <w:pPr>
              <w:spacing w:after="0"/>
              <w:rPr>
                <w:sz w:val="20"/>
                <w:szCs w:val="20"/>
                <w:color w:val="auto"/>
              </w:rPr>
            </w:pPr>
            <w:r>
              <w:rPr>
                <w:rFonts w:ascii="Arial" w:cs="Arial" w:eastAsia="Arial" w:hAnsi="Arial"/>
                <w:sz w:val="14"/>
                <w:szCs w:val="14"/>
                <w:color w:val="auto"/>
              </w:rPr>
              <w:t>Employees *</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68"/>
        </w:trPr>
        <w:tc>
          <w:tcPr>
            <w:tcW w:w="186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1"/>
        </w:trPr>
        <w:tc>
          <w:tcPr>
            <w:tcW w:w="1860" w:type="dxa"/>
            <w:vAlign w:val="bottom"/>
            <w:gridSpan w:val="2"/>
            <w:vMerge w:val="restart"/>
          </w:tcPr>
          <w:p>
            <w:pPr>
              <w:spacing w:after="0"/>
              <w:rPr>
                <w:sz w:val="20"/>
                <w:szCs w:val="20"/>
                <w:color w:val="auto"/>
              </w:rPr>
            </w:pPr>
            <w:r>
              <w:rPr>
                <w:rFonts w:ascii="Arial" w:cs="Arial" w:eastAsia="Arial" w:hAnsi="Arial"/>
                <w:sz w:val="14"/>
                <w:szCs w:val="14"/>
                <w:color w:val="auto"/>
              </w:rPr>
              <w:t>Consultant</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January-June 2013</w:t>
            </w:r>
          </w:p>
        </w:tc>
        <w:tc>
          <w:tcPr>
            <w:tcW w:w="1420" w:type="dxa"/>
            <w:vAlign w:val="bottom"/>
            <w:vMerge w:val="restart"/>
          </w:tcPr>
          <w:p>
            <w:pPr>
              <w:jc w:val="right"/>
              <w:ind w:right="408"/>
              <w:spacing w:after="0"/>
              <w:rPr>
                <w:sz w:val="20"/>
                <w:szCs w:val="20"/>
                <w:color w:val="auto"/>
              </w:rPr>
            </w:pPr>
            <w:r>
              <w:rPr>
                <w:rFonts w:ascii="Arial" w:cs="Arial" w:eastAsia="Arial" w:hAnsi="Arial"/>
                <w:sz w:val="14"/>
                <w:szCs w:val="14"/>
                <w:color w:val="auto"/>
              </w:rPr>
              <w:t>132,500</w:t>
            </w:r>
          </w:p>
        </w:tc>
        <w:tc>
          <w:tcPr>
            <w:tcW w:w="100" w:type="dxa"/>
            <w:vAlign w:val="bottom"/>
          </w:tcPr>
          <w:p>
            <w:pPr>
              <w:spacing w:after="0"/>
              <w:rPr>
                <w:sz w:val="24"/>
                <w:szCs w:val="24"/>
                <w:color w:val="auto"/>
              </w:rPr>
            </w:pPr>
          </w:p>
        </w:tc>
        <w:tc>
          <w:tcPr>
            <w:tcW w:w="1160" w:type="dxa"/>
            <w:vAlign w:val="bottom"/>
            <w:vMerge w:val="restart"/>
          </w:tcPr>
          <w:p>
            <w:pPr>
              <w:ind w:left="240"/>
              <w:spacing w:after="0"/>
              <w:rPr>
                <w:sz w:val="20"/>
                <w:szCs w:val="20"/>
                <w:color w:val="auto"/>
              </w:rPr>
            </w:pPr>
            <w:r>
              <w:rPr>
                <w:rFonts w:ascii="Arial" w:cs="Arial" w:eastAsia="Arial" w:hAnsi="Arial"/>
                <w:sz w:val="14"/>
                <w:szCs w:val="14"/>
                <w:color w:val="auto"/>
              </w:rPr>
              <w:t>$2.90-$3.30</w:t>
            </w:r>
          </w:p>
        </w:tc>
        <w:tc>
          <w:tcPr>
            <w:tcW w:w="10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3"/>
              </w:rPr>
              <w:t>$2.90-$3.30</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Over 0-2.5</w:t>
            </w:r>
          </w:p>
        </w:tc>
        <w:tc>
          <w:tcPr>
            <w:tcW w:w="0" w:type="dxa"/>
            <w:vAlign w:val="bottom"/>
          </w:tcPr>
          <w:p>
            <w:pPr>
              <w:spacing w:after="0"/>
              <w:rPr>
                <w:sz w:val="1"/>
                <w:szCs w:val="1"/>
                <w:color w:val="auto"/>
              </w:rPr>
            </w:pPr>
          </w:p>
        </w:tc>
      </w:tr>
      <w:tr>
        <w:trPr>
          <w:trHeight w:val="115"/>
        </w:trPr>
        <w:tc>
          <w:tcPr>
            <w:tcW w:w="186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68"/>
        </w:trPr>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-814705</wp:posOffset>
            </wp:positionV>
            <wp:extent cx="7237730" cy="4800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773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Assumptions used in Black-Scholes option</w:t>
      </w:r>
    </w:p>
    <w:p>
      <w:pPr>
        <w:jc w:val="center"/>
        <w:ind w:right="120"/>
        <w:spacing w:after="0" w:line="236" w:lineRule="auto"/>
        <w:rPr>
          <w:sz w:val="20"/>
          <w:szCs w:val="20"/>
          <w:color w:val="auto"/>
        </w:rPr>
      </w:pPr>
      <w:r>
        <w:rPr>
          <w:rFonts w:ascii="Arial" w:cs="Arial" w:eastAsia="Arial" w:hAnsi="Arial"/>
          <w:sz w:val="14"/>
          <w:szCs w:val="14"/>
          <w:b w:val="1"/>
          <w:bCs w:val="1"/>
          <w:color w:val="auto"/>
        </w:rPr>
        <w:t>pricing model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Volatility</w:t>
            </w:r>
          </w:p>
        </w:tc>
        <w:tc>
          <w:tcPr>
            <w:tcW w:w="1300" w:type="dxa"/>
            <w:vAlign w:val="bottom"/>
            <w:tcBorders>
              <w:top w:val="single" w:sz="8" w:color="auto"/>
            </w:tcBorders>
          </w:tcPr>
          <w:p>
            <w:pPr>
              <w:spacing w:after="0"/>
              <w:rPr>
                <w:sz w:val="10"/>
                <w:szCs w:val="10"/>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Risk free interest rate</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59.26%-70.51%</w:t>
            </w: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Expected term,</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0.85%-2.06%</w:t>
            </w: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in years</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5.71-10.00</w:t>
            </w: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Dividend yield</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0.00%</w:t>
            </w: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Volatility</w:t>
            </w:r>
          </w:p>
        </w:tc>
        <w:tc>
          <w:tcPr>
            <w:tcW w:w="1300" w:type="dxa"/>
            <w:vAlign w:val="bottom"/>
          </w:tcPr>
          <w:p>
            <w:pPr>
              <w:spacing w:after="0"/>
              <w:rPr>
                <w:sz w:val="12"/>
                <w:szCs w:val="12"/>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Risk free interest rate</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61.80%-63.87%</w:t>
            </w: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Remaining expected term, in</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2.16%-2.95%</w:t>
            </w: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years</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9-9.50</w:t>
            </w:r>
          </w:p>
        </w:tc>
      </w:tr>
      <w:tr>
        <w:trPr>
          <w:trHeight w:val="182"/>
        </w:trPr>
        <w:tc>
          <w:tcPr>
            <w:tcW w:w="2000" w:type="dxa"/>
            <w:vAlign w:val="bottom"/>
          </w:tcPr>
          <w:p>
            <w:pPr>
              <w:spacing w:after="0"/>
              <w:rPr>
                <w:sz w:val="20"/>
                <w:szCs w:val="20"/>
                <w:color w:val="auto"/>
              </w:rPr>
            </w:pPr>
            <w:r>
              <w:rPr>
                <w:rFonts w:ascii="Arial" w:cs="Arial" w:eastAsia="Arial" w:hAnsi="Arial"/>
                <w:sz w:val="14"/>
                <w:szCs w:val="14"/>
                <w:color w:val="auto"/>
              </w:rPr>
              <w:t>Dividend yield</w:t>
            </w:r>
          </w:p>
        </w:tc>
        <w:tc>
          <w:tcPr>
            <w:tcW w:w="1300" w:type="dxa"/>
            <w:vAlign w:val="bottom"/>
          </w:tcPr>
          <w:p>
            <w:pPr>
              <w:jc w:val="right"/>
              <w:spacing w:after="0"/>
              <w:rPr>
                <w:sz w:val="20"/>
                <w:szCs w:val="20"/>
                <w:color w:val="auto"/>
              </w:rPr>
            </w:pPr>
            <w:r>
              <w:rPr>
                <w:rFonts w:ascii="Arial" w:cs="Arial" w:eastAsia="Arial" w:hAnsi="Arial"/>
                <w:sz w:val="14"/>
                <w:szCs w:val="14"/>
                <w:color w:val="auto"/>
              </w:rPr>
              <w:t>0.00%</w:t>
            </w:r>
          </w:p>
        </w:tc>
      </w:tr>
    </w:tbl>
    <w:p>
      <w:pPr>
        <w:spacing w:after="0" w:line="187" w:lineRule="exact"/>
        <w:rPr>
          <w:sz w:val="20"/>
          <w:szCs w:val="20"/>
          <w:color w:val="auto"/>
        </w:rPr>
      </w:pPr>
    </w:p>
    <w:p>
      <w:pPr>
        <w:sectPr>
          <w:pgSz w:w="11900" w:h="16838" w:orient="portrait"/>
          <w:cols w:equalWidth="0" w:num="2">
            <w:col w:w="7880" w:space="100"/>
            <w:col w:w="3440"/>
          </w:cols>
          <w:pgMar w:left="240" w:top="337" w:right="239" w:bottom="0" w:gutter="0" w:footer="0" w:header="0"/>
          <w:type w:val="continuous"/>
        </w:sectPr>
      </w:pPr>
    </w:p>
    <w:p>
      <w:pPr>
        <w:ind w:left="340" w:right="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options granted to officers, directors and certain key employees are subject to acceleration of vesting of 75% - 100% (according to the agreement signed with each grantee), upon a subsequent change of control.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RSUs granted during the year ended December 31,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Title</w:t>
            </w:r>
          </w:p>
        </w:tc>
        <w:tc>
          <w:tcPr>
            <w:tcW w:w="100" w:type="dxa"/>
            <w:vAlign w:val="bottom"/>
            <w:tcBorders>
              <w:bottom w:val="single" w:sz="8" w:color="CCFFCC"/>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80" w:type="dxa"/>
            <w:vAlign w:val="bottom"/>
            <w:tcBorders>
              <w:bottom w:val="single" w:sz="8" w:color="CCFFCC"/>
            </w:tcBorders>
          </w:tcPr>
          <w:p>
            <w:pPr>
              <w:spacing w:after="0"/>
              <w:rPr>
                <w:sz w:val="14"/>
                <w:szCs w:val="14"/>
                <w:color w:val="auto"/>
              </w:rPr>
            </w:pPr>
          </w:p>
        </w:tc>
        <w:tc>
          <w:tcPr>
            <w:tcW w:w="1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No. of RSUs</w:t>
            </w:r>
          </w:p>
        </w:tc>
        <w:tc>
          <w:tcPr>
            <w:tcW w:w="100" w:type="dxa"/>
            <w:vAlign w:val="bottom"/>
            <w:tcBorders>
              <w:bottom w:val="single" w:sz="8" w:color="CCFFCC"/>
            </w:tcBorders>
          </w:tcPr>
          <w:p>
            <w:pPr>
              <w:spacing w:after="0"/>
              <w:rPr>
                <w:sz w:val="14"/>
                <w:szCs w:val="14"/>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0"/>
              </w:rPr>
              <w:t>Exercise price</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CCFFCC"/>
            </w:tcBorders>
          </w:tcPr>
          <w:p>
            <w:pPr>
              <w:spacing w:after="0"/>
              <w:rPr>
                <w:sz w:val="14"/>
                <w:szCs w:val="14"/>
                <w:color w:val="auto"/>
              </w:rPr>
            </w:pP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Share price at grant date</w:t>
            </w:r>
          </w:p>
        </w:tc>
        <w:tc>
          <w:tcPr>
            <w:tcW w:w="100" w:type="dxa"/>
            <w:vAlign w:val="bottom"/>
            <w:tcBorders>
              <w:bottom w:val="single" w:sz="8" w:color="CCFFCC"/>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Vesting terms</w:t>
            </w:r>
          </w:p>
        </w:tc>
        <w:tc>
          <w:tcPr>
            <w:tcW w:w="10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640" w:type="dxa"/>
            <w:vAlign w:val="bottom"/>
            <w:shd w:val="clear" w:color="auto" w:fill="CCFFCC"/>
          </w:tcPr>
          <w:p>
            <w:pPr>
              <w:spacing w:after="0" w:line="123" w:lineRule="exact"/>
              <w:rPr>
                <w:sz w:val="20"/>
                <w:szCs w:val="20"/>
                <w:color w:val="auto"/>
              </w:rPr>
            </w:pPr>
            <w:r>
              <w:rPr>
                <w:rFonts w:ascii="Arial" w:cs="Arial" w:eastAsia="Arial" w:hAnsi="Arial"/>
                <w:sz w:val="14"/>
                <w:szCs w:val="14"/>
                <w:color w:val="auto"/>
              </w:rPr>
              <w:t>Management, directors and</w:t>
            </w:r>
          </w:p>
        </w:tc>
        <w:tc>
          <w:tcPr>
            <w:tcW w:w="100" w:type="dxa"/>
            <w:vAlign w:val="bottom"/>
            <w:shd w:val="clear" w:color="auto" w:fill="CCFFCC"/>
          </w:tcPr>
          <w:p>
            <w:pPr>
              <w:spacing w:after="0"/>
              <w:rPr>
                <w:sz w:val="10"/>
                <w:szCs w:val="10"/>
                <w:color w:val="auto"/>
              </w:rPr>
            </w:pPr>
          </w:p>
        </w:tc>
        <w:tc>
          <w:tcPr>
            <w:tcW w:w="1380" w:type="dxa"/>
            <w:vAlign w:val="bottom"/>
            <w:shd w:val="clear" w:color="auto" w:fill="CCFFCC"/>
          </w:tcPr>
          <w:p>
            <w:pPr>
              <w:jc w:val="center"/>
              <w:spacing w:after="0" w:line="123" w:lineRule="exact"/>
              <w:rPr>
                <w:sz w:val="20"/>
                <w:szCs w:val="20"/>
                <w:color w:val="auto"/>
              </w:rPr>
            </w:pPr>
            <w:r>
              <w:rPr>
                <w:rFonts w:ascii="Arial" w:cs="Arial" w:eastAsia="Arial" w:hAnsi="Arial"/>
                <w:sz w:val="14"/>
                <w:szCs w:val="14"/>
                <w:color w:val="auto"/>
                <w:w w:val="94"/>
              </w:rPr>
              <w:t>February-May</w:t>
            </w:r>
          </w:p>
        </w:tc>
        <w:tc>
          <w:tcPr>
            <w:tcW w:w="80" w:type="dxa"/>
            <w:vAlign w:val="bottom"/>
            <w:shd w:val="clear" w:color="auto" w:fill="CCFFCC"/>
          </w:tcPr>
          <w:p>
            <w:pPr>
              <w:spacing w:after="0"/>
              <w:rPr>
                <w:sz w:val="10"/>
                <w:szCs w:val="10"/>
                <w:color w:val="auto"/>
              </w:rPr>
            </w:pPr>
          </w:p>
        </w:tc>
        <w:tc>
          <w:tcPr>
            <w:tcW w:w="138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656,250</w:t>
            </w:r>
          </w:p>
        </w:tc>
        <w:tc>
          <w:tcPr>
            <w:tcW w:w="100" w:type="dxa"/>
            <w:vAlign w:val="bottom"/>
            <w:shd w:val="clear" w:color="auto" w:fill="CCFFCC"/>
          </w:tcPr>
          <w:p>
            <w:pPr>
              <w:spacing w:after="0"/>
              <w:rPr>
                <w:sz w:val="10"/>
                <w:szCs w:val="10"/>
                <w:color w:val="auto"/>
              </w:rPr>
            </w:pPr>
          </w:p>
        </w:tc>
        <w:tc>
          <w:tcPr>
            <w:tcW w:w="1140" w:type="dxa"/>
            <w:vAlign w:val="bottom"/>
            <w:shd w:val="clear" w:color="auto" w:fill="CCFFCC"/>
          </w:tcPr>
          <w:p>
            <w:pPr>
              <w:spacing w:after="0"/>
              <w:rPr>
                <w:sz w:val="10"/>
                <w:szCs w:val="10"/>
                <w:color w:val="auto"/>
              </w:rPr>
            </w:pPr>
          </w:p>
        </w:tc>
        <w:tc>
          <w:tcPr>
            <w:tcW w:w="420" w:type="dxa"/>
            <w:vAlign w:val="bottom"/>
            <w:gridSpan w:val="2"/>
            <w:vMerge w:val="restart"/>
            <w:shd w:val="clear" w:color="auto" w:fill="CCFFCC"/>
          </w:tcPr>
          <w:p>
            <w:pPr>
              <w:ind w:left="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74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employees</w:t>
            </w:r>
          </w:p>
        </w:tc>
        <w:tc>
          <w:tcPr>
            <w:tcW w:w="1380" w:type="dxa"/>
            <w:vAlign w:val="bottom"/>
            <w:vMerge w:val="restart"/>
            <w:shd w:val="clear" w:color="auto" w:fill="CCFFCC"/>
          </w:tcPr>
          <w:p>
            <w:pPr>
              <w:jc w:val="center"/>
              <w:spacing w:after="0"/>
              <w:rPr>
                <w:sz w:val="20"/>
                <w:szCs w:val="20"/>
                <w:color w:val="auto"/>
              </w:rPr>
            </w:pPr>
            <w:r>
              <w:rPr>
                <w:rFonts w:ascii="Arial" w:cs="Arial" w:eastAsia="Arial" w:hAnsi="Arial"/>
                <w:sz w:val="14"/>
                <w:szCs w:val="14"/>
                <w:color w:val="auto"/>
                <w:w w:val="89"/>
              </w:rPr>
              <w:t>2013</w:t>
            </w:r>
          </w:p>
        </w:tc>
        <w:tc>
          <w:tcPr>
            <w:tcW w:w="80" w:type="dxa"/>
            <w:vAlign w:val="bottom"/>
            <w:shd w:val="clear" w:color="auto" w:fill="CCFFCC"/>
          </w:tcPr>
          <w:p>
            <w:pPr>
              <w:spacing w:after="0"/>
              <w:rPr>
                <w:sz w:val="8"/>
                <w:szCs w:val="8"/>
                <w:color w:val="auto"/>
              </w:rPr>
            </w:pPr>
          </w:p>
        </w:tc>
        <w:tc>
          <w:tcPr>
            <w:tcW w:w="1380" w:type="dxa"/>
            <w:vAlign w:val="bottom"/>
            <w:vMerge w:val="continue"/>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1140" w:type="dxa"/>
            <w:vAlign w:val="bottom"/>
            <w:shd w:val="clear" w:color="auto" w:fill="CCFFCC"/>
          </w:tcPr>
          <w:p>
            <w:pPr>
              <w:spacing w:after="0"/>
              <w:rPr>
                <w:sz w:val="8"/>
                <w:szCs w:val="8"/>
                <w:color w:val="auto"/>
              </w:rPr>
            </w:pPr>
          </w:p>
        </w:tc>
        <w:tc>
          <w:tcPr>
            <w:tcW w:w="420" w:type="dxa"/>
            <w:vAlign w:val="bottom"/>
            <w:gridSpan w:val="2"/>
            <w:vMerge w:val="continue"/>
            <w:shd w:val="clear" w:color="auto" w:fill="CCFFCC"/>
          </w:tcPr>
          <w:p>
            <w:pPr>
              <w:spacing w:after="0"/>
              <w:rPr>
                <w:sz w:val="8"/>
                <w:szCs w:val="8"/>
                <w:color w:val="auto"/>
              </w:rPr>
            </w:pPr>
          </w:p>
        </w:tc>
        <w:tc>
          <w:tcPr>
            <w:tcW w:w="174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$2.95-$3.18</w:t>
            </w:r>
          </w:p>
        </w:tc>
        <w:tc>
          <w:tcPr>
            <w:tcW w:w="100" w:type="dxa"/>
            <w:vAlign w:val="bottom"/>
            <w:shd w:val="clear" w:color="auto" w:fill="CCFFCC"/>
          </w:tcPr>
          <w:p>
            <w:pPr>
              <w:spacing w:after="0"/>
              <w:rPr>
                <w:sz w:val="8"/>
                <w:szCs w:val="8"/>
                <w:color w:val="auto"/>
              </w:rPr>
            </w:pPr>
          </w:p>
        </w:tc>
        <w:tc>
          <w:tcPr>
            <w:tcW w:w="1520" w:type="dxa"/>
            <w:vAlign w:val="bottom"/>
            <w:gridSpan w:val="2"/>
            <w:vMerge w:val="restart"/>
            <w:shd w:val="clear" w:color="auto" w:fill="CCFFCC"/>
          </w:tcPr>
          <w:p>
            <w:pPr>
              <w:jc w:val="center"/>
              <w:ind w:right="80"/>
              <w:spacing w:after="0"/>
              <w:rPr>
                <w:sz w:val="20"/>
                <w:szCs w:val="20"/>
                <w:color w:val="auto"/>
              </w:rPr>
            </w:pPr>
            <w:r>
              <w:rPr>
                <w:rFonts w:ascii="Arial" w:cs="Arial" w:eastAsia="Arial" w:hAnsi="Arial"/>
                <w:sz w:val="14"/>
                <w:szCs w:val="14"/>
                <w:color w:val="auto"/>
                <w:w w:val="92"/>
              </w:rPr>
              <w:t>Over 0.67-3 years</w:t>
            </w:r>
          </w:p>
        </w:tc>
        <w:tc>
          <w:tcPr>
            <w:tcW w:w="0" w:type="dxa"/>
            <w:vAlign w:val="bottom"/>
          </w:tcPr>
          <w:p>
            <w:pPr>
              <w:spacing w:after="0"/>
              <w:rPr>
                <w:sz w:val="1"/>
                <w:szCs w:val="1"/>
                <w:color w:val="auto"/>
              </w:rPr>
            </w:pPr>
          </w:p>
        </w:tc>
      </w:tr>
      <w:tr>
        <w:trPr>
          <w:trHeight w:val="66"/>
        </w:trPr>
        <w:tc>
          <w:tcPr>
            <w:tcW w:w="2740" w:type="dxa"/>
            <w:vAlign w:val="bottom"/>
            <w:gridSpan w:val="2"/>
            <w:vMerge w:val="continue"/>
            <w:shd w:val="clear" w:color="auto" w:fill="CCFFCC"/>
          </w:tcPr>
          <w:p>
            <w:pPr>
              <w:spacing w:after="0"/>
              <w:rPr>
                <w:sz w:val="5"/>
                <w:szCs w:val="5"/>
                <w:color w:val="auto"/>
              </w:rPr>
            </w:pPr>
          </w:p>
        </w:tc>
        <w:tc>
          <w:tcPr>
            <w:tcW w:w="1380" w:type="dxa"/>
            <w:vAlign w:val="bottom"/>
            <w:vMerge w:val="continue"/>
            <w:shd w:val="clear" w:color="auto" w:fill="CCFFCC"/>
          </w:tcPr>
          <w:p>
            <w:pPr>
              <w:spacing w:after="0"/>
              <w:rPr>
                <w:sz w:val="5"/>
                <w:szCs w:val="5"/>
                <w:color w:val="auto"/>
              </w:rPr>
            </w:pPr>
          </w:p>
        </w:tc>
        <w:tc>
          <w:tcPr>
            <w:tcW w:w="80" w:type="dxa"/>
            <w:vAlign w:val="bottom"/>
            <w:shd w:val="clear" w:color="auto" w:fill="CCFFCC"/>
          </w:tcPr>
          <w:p>
            <w:pPr>
              <w:spacing w:after="0"/>
              <w:rPr>
                <w:sz w:val="5"/>
                <w:szCs w:val="5"/>
                <w:color w:val="auto"/>
              </w:rPr>
            </w:pPr>
          </w:p>
        </w:tc>
        <w:tc>
          <w:tcPr>
            <w:tcW w:w="1380" w:type="dxa"/>
            <w:vAlign w:val="bottom"/>
            <w:shd w:val="clear" w:color="auto" w:fill="CCFFCC"/>
          </w:tcPr>
          <w:p>
            <w:pPr>
              <w:spacing w:after="0"/>
              <w:rPr>
                <w:sz w:val="5"/>
                <w:szCs w:val="5"/>
                <w:color w:val="auto"/>
              </w:rPr>
            </w:pPr>
          </w:p>
        </w:tc>
        <w:tc>
          <w:tcPr>
            <w:tcW w:w="100" w:type="dxa"/>
            <w:vAlign w:val="bottom"/>
            <w:shd w:val="clear" w:color="auto" w:fill="CCFFCC"/>
          </w:tcPr>
          <w:p>
            <w:pPr>
              <w:spacing w:after="0"/>
              <w:rPr>
                <w:sz w:val="5"/>
                <w:szCs w:val="5"/>
                <w:color w:val="auto"/>
              </w:rPr>
            </w:pPr>
          </w:p>
        </w:tc>
        <w:tc>
          <w:tcPr>
            <w:tcW w:w="1140" w:type="dxa"/>
            <w:vAlign w:val="bottom"/>
            <w:shd w:val="clear" w:color="auto" w:fill="CCFFCC"/>
          </w:tcPr>
          <w:p>
            <w:pPr>
              <w:spacing w:after="0"/>
              <w:rPr>
                <w:sz w:val="5"/>
                <w:szCs w:val="5"/>
                <w:color w:val="auto"/>
              </w:rPr>
            </w:pPr>
          </w:p>
        </w:tc>
        <w:tc>
          <w:tcPr>
            <w:tcW w:w="240" w:type="dxa"/>
            <w:vAlign w:val="bottom"/>
            <w:shd w:val="clear" w:color="auto" w:fill="CCFFCC"/>
          </w:tcPr>
          <w:p>
            <w:pPr>
              <w:spacing w:after="0"/>
              <w:rPr>
                <w:sz w:val="5"/>
                <w:szCs w:val="5"/>
                <w:color w:val="auto"/>
              </w:rPr>
            </w:pPr>
          </w:p>
        </w:tc>
        <w:tc>
          <w:tcPr>
            <w:tcW w:w="180" w:type="dxa"/>
            <w:vAlign w:val="bottom"/>
            <w:shd w:val="clear" w:color="auto" w:fill="CCFFCC"/>
          </w:tcPr>
          <w:p>
            <w:pPr>
              <w:spacing w:after="0"/>
              <w:rPr>
                <w:sz w:val="5"/>
                <w:szCs w:val="5"/>
                <w:color w:val="auto"/>
              </w:rPr>
            </w:pPr>
          </w:p>
        </w:tc>
        <w:tc>
          <w:tcPr>
            <w:tcW w:w="1740" w:type="dxa"/>
            <w:vAlign w:val="bottom"/>
            <w:vMerge w:val="continue"/>
            <w:shd w:val="clear" w:color="auto" w:fill="CCFFCC"/>
          </w:tcPr>
          <w:p>
            <w:pPr>
              <w:spacing w:after="0"/>
              <w:rPr>
                <w:sz w:val="5"/>
                <w:szCs w:val="5"/>
                <w:color w:val="auto"/>
              </w:rPr>
            </w:pPr>
          </w:p>
        </w:tc>
        <w:tc>
          <w:tcPr>
            <w:tcW w:w="100" w:type="dxa"/>
            <w:vAlign w:val="bottom"/>
            <w:shd w:val="clear" w:color="auto" w:fill="CCFFCC"/>
          </w:tcPr>
          <w:p>
            <w:pPr>
              <w:spacing w:after="0"/>
              <w:rPr>
                <w:sz w:val="5"/>
                <w:szCs w:val="5"/>
                <w:color w:val="auto"/>
              </w:rPr>
            </w:pPr>
          </w:p>
        </w:tc>
        <w:tc>
          <w:tcPr>
            <w:tcW w:w="1520" w:type="dxa"/>
            <w:vAlign w:val="bottom"/>
            <w:gridSpan w:val="2"/>
            <w:vMerge w:val="continue"/>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2"/>
              </w:rPr>
              <w:t>January-October</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66,000</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Consultants</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89"/>
              </w:rPr>
              <w:t>2013</w:t>
            </w:r>
          </w:p>
        </w:tc>
        <w:tc>
          <w:tcPr>
            <w:tcW w:w="8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$2.96-$3.26</w:t>
            </w:r>
          </w:p>
        </w:tc>
        <w:tc>
          <w:tcPr>
            <w:tcW w:w="100" w:type="dxa"/>
            <w:vAlign w:val="bottom"/>
          </w:tcPr>
          <w:p>
            <w:pPr>
              <w:spacing w:after="0"/>
              <w:rPr>
                <w:sz w:val="8"/>
                <w:szCs w:val="8"/>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Over 0.75-1.20 years</w:t>
            </w:r>
          </w:p>
        </w:tc>
        <w:tc>
          <w:tcPr>
            <w:tcW w:w="0" w:type="dxa"/>
            <w:vAlign w:val="bottom"/>
          </w:tcPr>
          <w:p>
            <w:pPr>
              <w:spacing w:after="0"/>
              <w:rPr>
                <w:sz w:val="1"/>
                <w:szCs w:val="1"/>
                <w:color w:val="auto"/>
              </w:rPr>
            </w:pPr>
          </w:p>
        </w:tc>
      </w:tr>
      <w:tr>
        <w:trPr>
          <w:trHeight w:val="81"/>
        </w:trPr>
        <w:tc>
          <w:tcPr>
            <w:tcW w:w="274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about stock options and RSU activity for the year ended December 31,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826"/>
              <w:spacing w:after="0"/>
              <w:rPr>
                <w:sz w:val="20"/>
                <w:szCs w:val="20"/>
                <w:color w:val="auto"/>
              </w:rPr>
            </w:pPr>
            <w:r>
              <w:rPr>
                <w:rFonts w:ascii="Arial" w:cs="Arial" w:eastAsia="Arial" w:hAnsi="Arial"/>
                <w:sz w:val="14"/>
                <w:szCs w:val="14"/>
                <w:b w:val="1"/>
                <w:bCs w:val="1"/>
                <w:color w:val="auto"/>
                <w:w w:val="90"/>
              </w:rPr>
              <w:t>RSUs</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right"/>
              <w:ind w:right="1045"/>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1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No. of</w:t>
            </w:r>
          </w:p>
        </w:tc>
        <w:tc>
          <w:tcPr>
            <w:tcW w:w="80" w:type="dxa"/>
            <w:vAlign w:val="bottom"/>
          </w:tcPr>
          <w:p>
            <w:pPr>
              <w:spacing w:after="0"/>
              <w:rPr>
                <w:sz w:val="10"/>
                <w:szCs w:val="10"/>
                <w:color w:val="auto"/>
              </w:rPr>
            </w:pPr>
          </w:p>
        </w:tc>
        <w:tc>
          <w:tcPr>
            <w:tcW w:w="1280" w:type="dxa"/>
            <w:vAlign w:val="bottom"/>
            <w:gridSpan w:val="3"/>
          </w:tcPr>
          <w:p>
            <w:pPr>
              <w:jc w:val="center"/>
              <w:ind w:left="106"/>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No. of</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w w:val="91"/>
              </w:rPr>
              <w:t>Weighted average</w:t>
            </w:r>
          </w:p>
        </w:tc>
        <w:tc>
          <w:tcPr>
            <w:tcW w:w="40" w:type="dxa"/>
            <w:vAlign w:val="bottom"/>
          </w:tcPr>
          <w:p>
            <w:pPr>
              <w:spacing w:after="0"/>
              <w:rPr>
                <w:sz w:val="10"/>
                <w:szCs w:val="10"/>
                <w:color w:val="auto"/>
              </w:rPr>
            </w:pPr>
          </w:p>
        </w:tc>
        <w:tc>
          <w:tcPr>
            <w:tcW w:w="1220" w:type="dxa"/>
            <w:vAlign w:val="bottom"/>
            <w:vMerge w:val="restart"/>
          </w:tcPr>
          <w:p>
            <w:pPr>
              <w:jc w:val="center"/>
              <w:ind w:right="225"/>
              <w:spacing w:after="0"/>
              <w:rPr>
                <w:sz w:val="20"/>
                <w:szCs w:val="20"/>
                <w:color w:val="auto"/>
              </w:rPr>
            </w:pPr>
            <w:r>
              <w:rPr>
                <w:rFonts w:ascii="Arial" w:cs="Arial" w:eastAsia="Arial" w:hAnsi="Arial"/>
                <w:sz w:val="14"/>
                <w:szCs w:val="14"/>
                <w:b w:val="1"/>
                <w:bCs w:val="1"/>
                <w:color w:val="auto"/>
                <w:w w:val="92"/>
              </w:rPr>
              <w:t>Exercise price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tcPr>
          <w:p>
            <w:pPr>
              <w:jc w:val="center"/>
              <w:ind w:right="68"/>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left="206"/>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grant date fair</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1180" w:type="dxa"/>
            <w:vAlign w:val="bottom"/>
          </w:tcPr>
          <w:p>
            <w:pPr>
              <w:jc w:val="center"/>
              <w:ind w:left="246"/>
              <w:spacing w:after="0"/>
              <w:rPr>
                <w:sz w:val="20"/>
                <w:szCs w:val="20"/>
                <w:color w:val="auto"/>
              </w:rPr>
            </w:pPr>
            <w:r>
              <w:rPr>
                <w:rFonts w:ascii="Arial" w:cs="Arial" w:eastAsia="Arial" w:hAnsi="Arial"/>
                <w:sz w:val="14"/>
                <w:szCs w:val="14"/>
                <w:b w:val="1"/>
                <w:bCs w:val="1"/>
                <w:color w:val="auto"/>
                <w:w w:val="94"/>
              </w:rPr>
              <w:t>value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options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6"/>
              </w:rPr>
              <w:t>exercise price</w:t>
            </w:r>
          </w:p>
        </w:tc>
        <w:tc>
          <w:tcPr>
            <w:tcW w:w="40" w:type="dxa"/>
            <w:vAlign w:val="bottom"/>
          </w:tcPr>
          <w:p>
            <w:pPr>
              <w:spacing w:after="0"/>
              <w:rPr>
                <w:sz w:val="14"/>
                <w:szCs w:val="14"/>
                <w:color w:val="auto"/>
              </w:rPr>
            </w:pPr>
          </w:p>
        </w:tc>
        <w:tc>
          <w:tcPr>
            <w:tcW w:w="1220" w:type="dxa"/>
            <w:vAlign w:val="bottom"/>
          </w:tcPr>
          <w:p>
            <w:pPr>
              <w:jc w:val="center"/>
              <w:ind w:right="185"/>
              <w:spacing w:after="0"/>
              <w:rPr>
                <w:sz w:val="20"/>
                <w:szCs w:val="20"/>
                <w:color w:val="auto"/>
              </w:rPr>
            </w:pPr>
            <w:r>
              <w:rPr>
                <w:rFonts w:ascii="Arial" w:cs="Arial" w:eastAsia="Arial" w:hAnsi="Arial"/>
                <w:sz w:val="14"/>
                <w:szCs w:val="14"/>
                <w:b w:val="1"/>
                <w:bCs w:val="1"/>
                <w:color w:val="auto"/>
                <w:w w:val="94"/>
              </w:rPr>
              <w:t>range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2"/>
        </w:trPr>
        <w:tc>
          <w:tcPr>
            <w:tcW w:w="254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Outstanding at January 1, 2013</w:t>
            </w:r>
          </w:p>
        </w:tc>
        <w:tc>
          <w:tcPr>
            <w:tcW w:w="1140" w:type="dxa"/>
            <w:vAlign w:val="bottom"/>
            <w:tcBorders>
              <w:top w:val="single" w:sz="8" w:color="auto"/>
            </w:tcBorders>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3,125,000</w:t>
            </w:r>
          </w:p>
        </w:tc>
        <w:tc>
          <w:tcPr>
            <w:tcW w:w="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18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gridSpan w:val="4"/>
            <w:shd w:val="clear" w:color="auto" w:fill="CCFFCC"/>
          </w:tcPr>
          <w:p>
            <w:pPr>
              <w:jc w:val="right"/>
              <w:spacing w:after="0" w:line="142" w:lineRule="exact"/>
              <w:rPr>
                <w:sz w:val="20"/>
                <w:szCs w:val="20"/>
                <w:color w:val="auto"/>
              </w:rPr>
            </w:pPr>
            <w:r>
              <w:rPr>
                <w:rFonts w:ascii="Arial" w:cs="Arial" w:eastAsia="Arial" w:hAnsi="Arial"/>
                <w:sz w:val="14"/>
                <w:szCs w:val="14"/>
                <w:color w:val="auto"/>
                <w:w w:val="87"/>
              </w:rPr>
              <w:t>3.72</w:t>
            </w:r>
          </w:p>
        </w:tc>
        <w:tc>
          <w:tcPr>
            <w:tcW w:w="120" w:type="dxa"/>
            <w:vAlign w:val="bottom"/>
            <w:tcBorders>
              <w:top w:val="single" w:sz="8" w:color="CCFFCC"/>
            </w:tcBorders>
            <w:shd w:val="clear" w:color="auto" w:fill="CCFFCC"/>
          </w:tcPr>
          <w:p>
            <w:pPr>
              <w:spacing w:after="0"/>
              <w:rPr>
                <w:sz w:val="12"/>
                <w:szCs w:val="12"/>
                <w:color w:val="auto"/>
              </w:rPr>
            </w:pPr>
          </w:p>
        </w:tc>
        <w:tc>
          <w:tcPr>
            <w:tcW w:w="1160" w:type="dxa"/>
            <w:vAlign w:val="bottom"/>
            <w:tcBorders>
              <w:top w:val="single" w:sz="8" w:color="auto"/>
            </w:tcBorders>
            <w:shd w:val="clear" w:color="auto" w:fill="CCFFCC"/>
          </w:tcPr>
          <w:p>
            <w:pPr>
              <w:jc w:val="right"/>
              <w:ind w:right="5"/>
              <w:spacing w:after="0" w:line="142" w:lineRule="exact"/>
              <w:rPr>
                <w:sz w:val="20"/>
                <w:szCs w:val="20"/>
                <w:color w:val="auto"/>
              </w:rPr>
            </w:pPr>
            <w:r>
              <w:rPr>
                <w:rFonts w:ascii="Arial" w:cs="Arial" w:eastAsia="Arial" w:hAnsi="Arial"/>
                <w:sz w:val="14"/>
                <w:szCs w:val="14"/>
                <w:color w:val="auto"/>
              </w:rPr>
              <w:t>9,149,105</w:t>
            </w:r>
          </w:p>
        </w:tc>
        <w:tc>
          <w:tcPr>
            <w:tcW w:w="4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gridSpan w:val="2"/>
            <w:shd w:val="clear" w:color="auto" w:fill="CCFFCC"/>
          </w:tcPr>
          <w:p>
            <w:pPr>
              <w:ind w:left="1020"/>
              <w:spacing w:after="0" w:line="142" w:lineRule="exact"/>
              <w:rPr>
                <w:sz w:val="20"/>
                <w:szCs w:val="20"/>
                <w:color w:val="auto"/>
              </w:rPr>
            </w:pPr>
            <w:r>
              <w:rPr>
                <w:rFonts w:ascii="Arial" w:cs="Arial" w:eastAsia="Arial" w:hAnsi="Arial"/>
                <w:sz w:val="14"/>
                <w:szCs w:val="14"/>
                <w:color w:val="auto"/>
              </w:rPr>
              <w:t>3.33</w:t>
            </w:r>
          </w:p>
        </w:tc>
        <w:tc>
          <w:tcPr>
            <w:tcW w:w="10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40" w:type="dxa"/>
            <w:vAlign w:val="bottom"/>
            <w:tcBorders>
              <w:top w:val="single" w:sz="8" w:color="auto"/>
            </w:tcBorders>
            <w:shd w:val="clear" w:color="auto" w:fill="CCFFCC"/>
          </w:tcPr>
          <w:p>
            <w:pPr>
              <w:spacing w:after="0"/>
              <w:rPr>
                <w:sz w:val="12"/>
                <w:szCs w:val="12"/>
                <w:color w:val="auto"/>
              </w:rPr>
            </w:pPr>
          </w:p>
        </w:tc>
        <w:tc>
          <w:tcPr>
            <w:tcW w:w="1220" w:type="dxa"/>
            <w:vAlign w:val="bottom"/>
            <w:tcBorders>
              <w:top w:val="single" w:sz="8" w:color="auto"/>
            </w:tcBorders>
            <w:shd w:val="clear" w:color="auto" w:fill="CCFFCC"/>
          </w:tcPr>
          <w:p>
            <w:pPr>
              <w:ind w:left="420"/>
              <w:spacing w:after="0" w:line="142" w:lineRule="exact"/>
              <w:rPr>
                <w:sz w:val="20"/>
                <w:szCs w:val="20"/>
                <w:color w:val="auto"/>
              </w:rPr>
            </w:pPr>
            <w:r>
              <w:rPr>
                <w:rFonts w:ascii="Arial" w:cs="Arial" w:eastAsia="Arial" w:hAnsi="Arial"/>
                <w:sz w:val="14"/>
                <w:szCs w:val="14"/>
                <w:color w:val="auto"/>
                <w:w w:val="91"/>
              </w:rPr>
              <w:t>$0.01 – $5.50</w:t>
            </w:r>
          </w:p>
        </w:tc>
        <w:tc>
          <w:tcPr>
            <w:tcW w:w="10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gridSpan w:val="3"/>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2.57</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Arial" w:cs="Arial" w:eastAsia="Arial" w:hAnsi="Arial"/>
                <w:sz w:val="14"/>
                <w:szCs w:val="14"/>
                <w:color w:val="auto"/>
              </w:rPr>
              <w:t>Granted</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722,250</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4"/>
          </w:tcPr>
          <w:p>
            <w:pPr>
              <w:jc w:val="right"/>
              <w:spacing w:after="0"/>
              <w:rPr>
                <w:sz w:val="20"/>
                <w:szCs w:val="20"/>
                <w:color w:val="auto"/>
              </w:rPr>
            </w:pPr>
            <w:r>
              <w:rPr>
                <w:rFonts w:ascii="Arial" w:cs="Arial" w:eastAsia="Arial" w:hAnsi="Arial"/>
                <w:sz w:val="14"/>
                <w:szCs w:val="14"/>
                <w:color w:val="auto"/>
                <w:w w:val="87"/>
              </w:rPr>
              <w:t>3.15</w:t>
            </w:r>
          </w:p>
        </w:tc>
        <w:tc>
          <w:tcPr>
            <w:tcW w:w="1280" w:type="dxa"/>
            <w:vAlign w:val="bottom"/>
            <w:gridSpan w:val="2"/>
          </w:tcPr>
          <w:p>
            <w:pPr>
              <w:jc w:val="right"/>
              <w:ind w:right="5"/>
              <w:spacing w:after="0"/>
              <w:rPr>
                <w:sz w:val="20"/>
                <w:szCs w:val="20"/>
                <w:color w:val="auto"/>
              </w:rPr>
            </w:pPr>
            <w:r>
              <w:rPr>
                <w:rFonts w:ascii="Arial" w:cs="Arial" w:eastAsia="Arial" w:hAnsi="Arial"/>
                <w:sz w:val="14"/>
                <w:szCs w:val="14"/>
                <w:color w:val="auto"/>
              </w:rPr>
              <w:t>3,498,333</w:t>
            </w:r>
          </w:p>
        </w:tc>
        <w:tc>
          <w:tcPr>
            <w:tcW w:w="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ind w:left="102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ind w:left="420"/>
              <w:spacing w:after="0"/>
              <w:rPr>
                <w:sz w:val="20"/>
                <w:szCs w:val="20"/>
                <w:color w:val="auto"/>
              </w:rPr>
            </w:pPr>
            <w:r>
              <w:rPr>
                <w:rFonts w:ascii="Arial" w:cs="Arial" w:eastAsia="Arial" w:hAnsi="Arial"/>
                <w:sz w:val="14"/>
                <w:szCs w:val="14"/>
                <w:color w:val="auto"/>
                <w:w w:val="91"/>
              </w:rPr>
              <w:t>$2.77 – $3.30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CFFCC"/>
          </w:tcPr>
          <w:p>
            <w:pPr>
              <w:spacing w:after="0"/>
              <w:rPr>
                <w:sz w:val="20"/>
                <w:szCs w:val="20"/>
                <w:color w:val="auto"/>
              </w:rPr>
            </w:pPr>
            <w:r>
              <w:rPr>
                <w:rFonts w:ascii="Arial" w:cs="Arial" w:eastAsia="Arial" w:hAnsi="Arial"/>
                <w:sz w:val="14"/>
                <w:szCs w:val="14"/>
                <w:color w:val="auto"/>
              </w:rPr>
              <w:t>Vested/Exercised</w:t>
            </w:r>
          </w:p>
        </w:tc>
        <w:tc>
          <w:tcPr>
            <w:tcW w:w="1180" w:type="dxa"/>
            <w:vAlign w:val="bottom"/>
            <w:gridSpan w:val="3"/>
            <w:shd w:val="clear" w:color="auto" w:fill="CCFFCC"/>
          </w:tcPr>
          <w:p>
            <w:pPr>
              <w:jc w:val="right"/>
              <w:ind w:right="40"/>
              <w:spacing w:after="0"/>
              <w:rPr>
                <w:sz w:val="20"/>
                <w:szCs w:val="20"/>
                <w:color w:val="auto"/>
              </w:rPr>
            </w:pPr>
            <w:r>
              <w:rPr>
                <w:rFonts w:ascii="Arial" w:cs="Arial" w:eastAsia="Arial" w:hAnsi="Arial"/>
                <w:sz w:val="14"/>
                <w:szCs w:val="14"/>
                <w:color w:val="auto"/>
              </w:rPr>
              <w:t>(1,452,721)</w:t>
            </w:r>
          </w:p>
        </w:tc>
        <w:tc>
          <w:tcPr>
            <w:tcW w:w="126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4"/>
            <w:shd w:val="clear" w:color="auto" w:fill="CCFFCC"/>
          </w:tcPr>
          <w:p>
            <w:pPr>
              <w:jc w:val="right"/>
              <w:spacing w:after="0"/>
              <w:rPr>
                <w:sz w:val="20"/>
                <w:szCs w:val="20"/>
                <w:color w:val="auto"/>
              </w:rPr>
            </w:pPr>
            <w:r>
              <w:rPr>
                <w:rFonts w:ascii="Arial" w:cs="Arial" w:eastAsia="Arial" w:hAnsi="Arial"/>
                <w:sz w:val="14"/>
                <w:szCs w:val="14"/>
                <w:color w:val="auto"/>
                <w:w w:val="87"/>
              </w:rPr>
              <w:t>3.60</w:t>
            </w:r>
          </w:p>
        </w:tc>
        <w:tc>
          <w:tcPr>
            <w:tcW w:w="1320" w:type="dxa"/>
            <w:vAlign w:val="bottom"/>
            <w:gridSpan w:val="3"/>
            <w:shd w:val="clear" w:color="auto" w:fill="CCFFCC"/>
          </w:tcPr>
          <w:p>
            <w:pPr>
              <w:jc w:val="right"/>
              <w:ind w:right="40"/>
              <w:spacing w:after="0"/>
              <w:rPr>
                <w:sz w:val="20"/>
                <w:szCs w:val="20"/>
                <w:color w:val="auto"/>
              </w:rPr>
            </w:pPr>
            <w:r>
              <w:rPr>
                <w:rFonts w:ascii="Arial" w:cs="Arial" w:eastAsia="Arial" w:hAnsi="Arial"/>
                <w:sz w:val="14"/>
                <w:szCs w:val="14"/>
                <w:color w:val="auto"/>
              </w:rPr>
              <w:t>(724,923)</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ind w:left="1020"/>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20" w:type="dxa"/>
            <w:vAlign w:val="bottom"/>
            <w:shd w:val="clear" w:color="auto" w:fill="CCFFCC"/>
          </w:tcPr>
          <w:p>
            <w:pPr>
              <w:ind w:left="420"/>
              <w:spacing w:after="0"/>
              <w:rPr>
                <w:sz w:val="20"/>
                <w:szCs w:val="20"/>
                <w:color w:val="auto"/>
              </w:rPr>
            </w:pPr>
            <w:r>
              <w:rPr>
                <w:rFonts w:ascii="Arial" w:cs="Arial" w:eastAsia="Arial" w:hAnsi="Arial"/>
                <w:sz w:val="14"/>
                <w:szCs w:val="14"/>
                <w:color w:val="auto"/>
                <w:w w:val="91"/>
              </w:rPr>
              <w:t>$0.01 – $3.18</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3"/>
            <w:shd w:val="clear" w:color="auto" w:fill="CCFFCC"/>
          </w:tcPr>
          <w:p>
            <w:pPr>
              <w:jc w:val="right"/>
              <w:ind w:right="8"/>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20"/>
                <w:szCs w:val="20"/>
                <w:color w:val="auto"/>
              </w:rPr>
            </w:pPr>
            <w:r>
              <w:rPr>
                <w:rFonts w:ascii="Arial" w:cs="Arial" w:eastAsia="Arial" w:hAnsi="Arial"/>
                <w:sz w:val="14"/>
                <w:szCs w:val="14"/>
                <w:color w:val="auto"/>
              </w:rPr>
              <w:t>Expired</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w w:val="99"/>
              </w:rPr>
              <w:t>—</w:t>
            </w:r>
          </w:p>
        </w:tc>
        <w:tc>
          <w:tcPr>
            <w:tcW w:w="1320" w:type="dxa"/>
            <w:vAlign w:val="bottom"/>
            <w:gridSpan w:val="3"/>
          </w:tcPr>
          <w:p>
            <w:pPr>
              <w:jc w:val="right"/>
              <w:ind w:right="40"/>
              <w:spacing w:after="0"/>
              <w:rPr>
                <w:sz w:val="20"/>
                <w:szCs w:val="20"/>
                <w:color w:val="auto"/>
              </w:rPr>
            </w:pPr>
            <w:r>
              <w:rPr>
                <w:rFonts w:ascii="Arial" w:cs="Arial" w:eastAsia="Arial" w:hAnsi="Arial"/>
                <w:sz w:val="14"/>
                <w:szCs w:val="14"/>
                <w:color w:val="auto"/>
              </w:rPr>
              <w:t>(982,534)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ind w:left="1020"/>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ind w:left="420"/>
              <w:spacing w:after="0"/>
              <w:rPr>
                <w:sz w:val="20"/>
                <w:szCs w:val="20"/>
                <w:color w:val="auto"/>
              </w:rPr>
            </w:pPr>
            <w:r>
              <w:rPr>
                <w:rFonts w:ascii="Arial" w:cs="Arial" w:eastAsia="Arial" w:hAnsi="Arial"/>
                <w:sz w:val="14"/>
                <w:szCs w:val="14"/>
                <w:color w:val="auto"/>
                <w:w w:val="91"/>
              </w:rPr>
              <w:t>$0.01 – $5.50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CFFCC"/>
          </w:tcPr>
          <w:p>
            <w:pPr>
              <w:spacing w:after="0"/>
              <w:rPr>
                <w:sz w:val="20"/>
                <w:szCs w:val="20"/>
                <w:color w:val="auto"/>
              </w:rPr>
            </w:pPr>
            <w:r>
              <w:rPr>
                <w:rFonts w:ascii="Arial" w:cs="Arial" w:eastAsia="Arial" w:hAnsi="Arial"/>
                <w:sz w:val="14"/>
                <w:szCs w:val="14"/>
                <w:color w:val="auto"/>
              </w:rPr>
              <w:t>Forfeited</w:t>
            </w:r>
          </w:p>
        </w:tc>
        <w:tc>
          <w:tcPr>
            <w:tcW w:w="1180" w:type="dxa"/>
            <w:vAlign w:val="bottom"/>
            <w:gridSpan w:val="3"/>
            <w:shd w:val="clear" w:color="auto" w:fill="CCFFCC"/>
          </w:tcPr>
          <w:p>
            <w:pPr>
              <w:jc w:val="right"/>
              <w:ind w:right="40"/>
              <w:spacing w:after="0"/>
              <w:rPr>
                <w:sz w:val="20"/>
                <w:szCs w:val="20"/>
                <w:color w:val="auto"/>
              </w:rPr>
            </w:pPr>
            <w:r>
              <w:rPr>
                <w:rFonts w:ascii="Arial" w:cs="Arial" w:eastAsia="Arial" w:hAnsi="Arial"/>
                <w:sz w:val="14"/>
                <w:szCs w:val="14"/>
                <w:color w:val="auto"/>
              </w:rPr>
              <w:t>(233,126)</w:t>
            </w:r>
          </w:p>
        </w:tc>
        <w:tc>
          <w:tcPr>
            <w:tcW w:w="126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4"/>
            <w:shd w:val="clear" w:color="auto" w:fill="CCFFCC"/>
          </w:tcPr>
          <w:p>
            <w:pPr>
              <w:jc w:val="right"/>
              <w:spacing w:after="0"/>
              <w:rPr>
                <w:sz w:val="20"/>
                <w:szCs w:val="20"/>
                <w:color w:val="auto"/>
              </w:rPr>
            </w:pPr>
            <w:r>
              <w:rPr>
                <w:rFonts w:ascii="Arial" w:cs="Arial" w:eastAsia="Arial" w:hAnsi="Arial"/>
                <w:sz w:val="14"/>
                <w:szCs w:val="14"/>
                <w:color w:val="auto"/>
                <w:w w:val="87"/>
              </w:rPr>
              <w:t>3.71</w:t>
            </w:r>
          </w:p>
        </w:tc>
        <w:tc>
          <w:tcPr>
            <w:tcW w:w="1320" w:type="dxa"/>
            <w:vAlign w:val="bottom"/>
            <w:gridSpan w:val="3"/>
            <w:shd w:val="clear" w:color="auto" w:fill="CCFFCC"/>
          </w:tcPr>
          <w:p>
            <w:pPr>
              <w:jc w:val="right"/>
              <w:ind w:right="40"/>
              <w:spacing w:after="0"/>
              <w:rPr>
                <w:sz w:val="20"/>
                <w:szCs w:val="20"/>
                <w:color w:val="auto"/>
              </w:rPr>
            </w:pPr>
            <w:r>
              <w:rPr>
                <w:rFonts w:ascii="Arial" w:cs="Arial" w:eastAsia="Arial" w:hAnsi="Arial"/>
                <w:sz w:val="14"/>
                <w:szCs w:val="14"/>
                <w:color w:val="auto"/>
              </w:rPr>
              <w:t>(482,822)</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ind w:left="1020"/>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220" w:type="dxa"/>
            <w:vAlign w:val="bottom"/>
            <w:shd w:val="clear" w:color="auto" w:fill="CCFFCC"/>
          </w:tcPr>
          <w:p>
            <w:pPr>
              <w:ind w:left="420"/>
              <w:spacing w:after="0"/>
              <w:rPr>
                <w:sz w:val="20"/>
                <w:szCs w:val="20"/>
                <w:color w:val="auto"/>
              </w:rPr>
            </w:pPr>
            <w:r>
              <w:rPr>
                <w:rFonts w:ascii="Arial" w:cs="Arial" w:eastAsia="Arial" w:hAnsi="Arial"/>
                <w:sz w:val="14"/>
                <w:szCs w:val="14"/>
                <w:color w:val="auto"/>
                <w:w w:val="91"/>
              </w:rPr>
              <w:t>$0.01 – $5.50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3"/>
            <w:shd w:val="clear" w:color="auto" w:fill="CCFFCC"/>
          </w:tcPr>
          <w:p>
            <w:pPr>
              <w:jc w:val="right"/>
              <w:ind w:right="8"/>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Outstanding at December 31, 2013</w:t>
            </w:r>
          </w:p>
        </w:tc>
        <w:tc>
          <w:tcPr>
            <w:tcW w:w="114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2,161,403</w:t>
            </w:r>
          </w:p>
        </w:tc>
        <w:tc>
          <w:tcPr>
            <w:tcW w:w="40" w:type="dxa"/>
            <w:vAlign w:val="bottom"/>
            <w:tcBorders>
              <w:bottom w:val="single" w:sz="8" w:color="CCFFCC"/>
            </w:tcBorders>
          </w:tcPr>
          <w:p>
            <w:pPr>
              <w:spacing w:after="0"/>
              <w:rPr>
                <w:sz w:val="15"/>
                <w:szCs w:val="15"/>
                <w:color w:val="auto"/>
              </w:rPr>
            </w:pPr>
          </w:p>
        </w:tc>
        <w:tc>
          <w:tcPr>
            <w:tcW w:w="80" w:type="dxa"/>
            <w:vAlign w:val="bottom"/>
            <w:tcBorders>
              <w:bottom w:val="single" w:sz="8" w:color="CCFFCC"/>
            </w:tcBorders>
          </w:tcPr>
          <w:p>
            <w:pPr>
              <w:spacing w:after="0"/>
              <w:rPr>
                <w:sz w:val="15"/>
                <w:szCs w:val="15"/>
                <w:color w:val="auto"/>
              </w:rPr>
            </w:pPr>
          </w:p>
        </w:tc>
        <w:tc>
          <w:tcPr>
            <w:tcW w:w="1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w w:val="87"/>
              </w:rPr>
              <w:t>3.61</w:t>
            </w:r>
          </w:p>
        </w:tc>
        <w:tc>
          <w:tcPr>
            <w:tcW w:w="120" w:type="dxa"/>
            <w:vAlign w:val="bottom"/>
            <w:tcBorders>
              <w:bottom w:val="single" w:sz="8" w:color="CCFFCC"/>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
              <w:spacing w:after="0" w:line="142" w:lineRule="exact"/>
              <w:rPr>
                <w:sz w:val="20"/>
                <w:szCs w:val="20"/>
                <w:color w:val="auto"/>
              </w:rPr>
            </w:pPr>
            <w:r>
              <w:rPr>
                <w:rFonts w:ascii="Arial" w:cs="Arial" w:eastAsia="Arial" w:hAnsi="Arial"/>
                <w:sz w:val="14"/>
                <w:szCs w:val="14"/>
                <w:b w:val="1"/>
                <w:bCs w:val="1"/>
                <w:color w:val="auto"/>
              </w:rPr>
              <w:t>10,457,159</w:t>
            </w:r>
          </w:p>
        </w:tc>
        <w:tc>
          <w:tcPr>
            <w:tcW w:w="40" w:type="dxa"/>
            <w:vAlign w:val="bottom"/>
            <w:tcBorders>
              <w:bottom w:val="single" w:sz="8" w:color="CCFFCC"/>
            </w:tcBorders>
          </w:tcPr>
          <w:p>
            <w:pPr>
              <w:spacing w:after="0"/>
              <w:rPr>
                <w:sz w:val="15"/>
                <w:szCs w:val="15"/>
                <w:color w:val="auto"/>
              </w:rPr>
            </w:pPr>
          </w:p>
        </w:tc>
        <w:tc>
          <w:tcPr>
            <w:tcW w:w="60" w:type="dxa"/>
            <w:vAlign w:val="bottom"/>
            <w:tcBorders>
              <w:bottom w:val="single" w:sz="8" w:color="CCFFCC"/>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gridSpan w:val="2"/>
          </w:tcPr>
          <w:p>
            <w:pPr>
              <w:ind w:left="1020"/>
              <w:spacing w:after="0" w:line="142" w:lineRule="exact"/>
              <w:rPr>
                <w:sz w:val="20"/>
                <w:szCs w:val="20"/>
                <w:color w:val="auto"/>
              </w:rPr>
            </w:pPr>
            <w:r>
              <w:rPr>
                <w:rFonts w:ascii="Arial" w:cs="Arial" w:eastAsia="Arial" w:hAnsi="Arial"/>
                <w:sz w:val="14"/>
                <w:szCs w:val="14"/>
                <w:color w:val="auto"/>
              </w:rPr>
              <w:t>3.23</w:t>
            </w:r>
          </w:p>
        </w:tc>
        <w:tc>
          <w:tcPr>
            <w:tcW w:w="100" w:type="dxa"/>
            <w:vAlign w:val="bottom"/>
            <w:tcBorders>
              <w:bottom w:val="single" w:sz="8" w:color="CCFFC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ind w:left="420"/>
              <w:spacing w:after="0" w:line="142" w:lineRule="exact"/>
              <w:rPr>
                <w:sz w:val="20"/>
                <w:szCs w:val="20"/>
                <w:color w:val="auto"/>
              </w:rPr>
            </w:pPr>
            <w:r>
              <w:rPr>
                <w:rFonts w:ascii="Arial" w:cs="Arial" w:eastAsia="Arial" w:hAnsi="Arial"/>
                <w:sz w:val="14"/>
                <w:szCs w:val="14"/>
                <w:color w:val="auto"/>
                <w:w w:val="91"/>
              </w:rPr>
              <w:t>$0.01 – $5.50</w:t>
            </w:r>
          </w:p>
        </w:tc>
        <w:tc>
          <w:tcPr>
            <w:tcW w:w="100" w:type="dxa"/>
            <w:vAlign w:val="bottom"/>
            <w:tcBorders>
              <w:bottom w:val="single" w:sz="8" w:color="CCFFC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color w:val="auto"/>
              </w:rPr>
              <w:t>2.50</w:t>
            </w:r>
          </w:p>
        </w:tc>
        <w:tc>
          <w:tcPr>
            <w:tcW w:w="100" w:type="dxa"/>
            <w:vAlign w:val="bottom"/>
            <w:tcBorders>
              <w:bottom w:val="single" w:sz="8" w:color="CCFFC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540" w:type="dxa"/>
            <w:vAlign w:val="bottom"/>
            <w:tcBorders>
              <w:bottom w:val="single" w:sz="8" w:color="CCFFCC"/>
            </w:tcBorders>
            <w:shd w:val="clear" w:color="auto" w:fill="CCFFCC"/>
          </w:tcPr>
          <w:p>
            <w:pPr>
              <w:spacing w:after="0" w:line="129" w:lineRule="exact"/>
              <w:rPr>
                <w:sz w:val="20"/>
                <w:szCs w:val="20"/>
                <w:color w:val="auto"/>
              </w:rPr>
            </w:pPr>
            <w:r>
              <w:rPr>
                <w:rFonts w:ascii="Arial" w:cs="Arial" w:eastAsia="Arial" w:hAnsi="Arial"/>
                <w:sz w:val="14"/>
                <w:szCs w:val="14"/>
                <w:b w:val="1"/>
                <w:bCs w:val="1"/>
                <w:color w:val="auto"/>
              </w:rPr>
              <w:t>Exercisable at December 31, 2013</w:t>
            </w:r>
          </w:p>
        </w:tc>
        <w:tc>
          <w:tcPr>
            <w:tcW w:w="1140" w:type="dxa"/>
            <w:vAlign w:val="bottom"/>
            <w:tcBorders>
              <w:bottom w:val="single" w:sz="8" w:color="auto"/>
            </w:tcBorders>
            <w:gridSpan w:val="2"/>
            <w:shd w:val="clear" w:color="auto" w:fill="CCFFCC"/>
          </w:tcPr>
          <w:p>
            <w:pPr>
              <w:jc w:val="right"/>
              <w:ind w:right="60"/>
              <w:spacing w:after="0" w:line="12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1180" w:type="dxa"/>
            <w:vAlign w:val="bottom"/>
            <w:tcBorders>
              <w:bottom w:val="single" w:sz="8" w:color="auto"/>
            </w:tcBorders>
            <w:shd w:val="clear" w:color="auto" w:fill="CCFFCC"/>
          </w:tcPr>
          <w:p>
            <w:pPr>
              <w:spacing w:after="0"/>
              <w:rPr>
                <w:sz w:val="11"/>
                <w:szCs w:val="11"/>
                <w:color w:val="auto"/>
              </w:rPr>
            </w:pPr>
          </w:p>
        </w:tc>
        <w:tc>
          <w:tcPr>
            <w:tcW w:w="60" w:type="dxa"/>
            <w:vAlign w:val="bottom"/>
            <w:tcBorders>
              <w:bottom w:val="single" w:sz="8" w:color="auto"/>
            </w:tcBorders>
            <w:shd w:val="clear" w:color="auto" w:fill="CCFFCC"/>
          </w:tcPr>
          <w:p>
            <w:pPr>
              <w:spacing w:after="0"/>
              <w:rPr>
                <w:sz w:val="11"/>
                <w:szCs w:val="11"/>
                <w:color w:val="auto"/>
              </w:rPr>
            </w:pPr>
          </w:p>
        </w:tc>
        <w:tc>
          <w:tcPr>
            <w:tcW w:w="40" w:type="dxa"/>
            <w:vAlign w:val="bottom"/>
            <w:tcBorders>
              <w:bottom w:val="single" w:sz="8" w:color="auto"/>
            </w:tcBorders>
            <w:shd w:val="clear" w:color="auto" w:fill="CCFFCC"/>
          </w:tcPr>
          <w:p>
            <w:pPr>
              <w:spacing w:after="0"/>
              <w:rPr>
                <w:sz w:val="11"/>
                <w:szCs w:val="11"/>
                <w:color w:val="auto"/>
              </w:rPr>
            </w:pPr>
          </w:p>
        </w:tc>
        <w:tc>
          <w:tcPr>
            <w:tcW w:w="220" w:type="dxa"/>
            <w:vAlign w:val="bottom"/>
            <w:tcBorders>
              <w:bottom w:val="single" w:sz="8" w:color="auto"/>
            </w:tcBorders>
            <w:gridSpan w:val="2"/>
            <w:shd w:val="clear" w:color="auto" w:fill="CCFFCC"/>
          </w:tcPr>
          <w:p>
            <w:pPr>
              <w:jc w:val="right"/>
              <w:spacing w:after="0" w:line="129"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FFCC"/>
            </w:tcBorders>
            <w:shd w:val="clear" w:color="auto" w:fill="CCFFCC"/>
          </w:tcPr>
          <w:p>
            <w:pPr>
              <w:spacing w:after="0"/>
              <w:rPr>
                <w:sz w:val="11"/>
                <w:szCs w:val="11"/>
                <w:color w:val="auto"/>
              </w:rPr>
            </w:pPr>
          </w:p>
        </w:tc>
        <w:tc>
          <w:tcPr>
            <w:tcW w:w="1160" w:type="dxa"/>
            <w:vAlign w:val="bottom"/>
            <w:tcBorders>
              <w:bottom w:val="single" w:sz="8" w:color="auto"/>
            </w:tcBorders>
            <w:shd w:val="clear" w:color="auto" w:fill="CCFFCC"/>
          </w:tcPr>
          <w:p>
            <w:pPr>
              <w:jc w:val="right"/>
              <w:ind w:right="5"/>
              <w:spacing w:after="0" w:line="129" w:lineRule="exact"/>
              <w:rPr>
                <w:sz w:val="20"/>
                <w:szCs w:val="20"/>
                <w:color w:val="auto"/>
              </w:rPr>
            </w:pPr>
            <w:r>
              <w:rPr>
                <w:rFonts w:ascii="Arial" w:cs="Arial" w:eastAsia="Arial" w:hAnsi="Arial"/>
                <w:sz w:val="14"/>
                <w:szCs w:val="14"/>
                <w:b w:val="1"/>
                <w:bCs w:val="1"/>
                <w:color w:val="auto"/>
              </w:rPr>
              <w:t>5,863,479</w:t>
            </w:r>
          </w:p>
        </w:tc>
        <w:tc>
          <w:tcPr>
            <w:tcW w:w="40" w:type="dxa"/>
            <w:vAlign w:val="bottom"/>
            <w:tcBorders>
              <w:bottom w:val="single" w:sz="8" w:color="CCFFCC"/>
            </w:tcBorders>
            <w:shd w:val="clear" w:color="auto" w:fill="CCFFCC"/>
          </w:tcPr>
          <w:p>
            <w:pPr>
              <w:spacing w:after="0"/>
              <w:rPr>
                <w:sz w:val="11"/>
                <w:szCs w:val="11"/>
                <w:color w:val="auto"/>
              </w:rPr>
            </w:pPr>
          </w:p>
        </w:tc>
        <w:tc>
          <w:tcPr>
            <w:tcW w:w="60" w:type="dxa"/>
            <w:vAlign w:val="bottom"/>
            <w:tcBorders>
              <w:bottom w:val="single" w:sz="8" w:color="CCFFCC"/>
            </w:tcBorders>
            <w:shd w:val="clear" w:color="auto" w:fill="CCFFCC"/>
          </w:tcPr>
          <w:p>
            <w:pPr>
              <w:spacing w:after="0"/>
              <w:rPr>
                <w:sz w:val="11"/>
                <w:szCs w:val="11"/>
                <w:color w:val="auto"/>
              </w:rPr>
            </w:pPr>
          </w:p>
        </w:tc>
        <w:tc>
          <w:tcPr>
            <w:tcW w:w="14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gridSpan w:val="2"/>
            <w:shd w:val="clear" w:color="auto" w:fill="CCFFCC"/>
          </w:tcPr>
          <w:p>
            <w:pPr>
              <w:ind w:left="1020"/>
              <w:spacing w:after="0" w:line="129" w:lineRule="exact"/>
              <w:rPr>
                <w:sz w:val="20"/>
                <w:szCs w:val="20"/>
                <w:color w:val="auto"/>
              </w:rPr>
            </w:pPr>
            <w:r>
              <w:rPr>
                <w:rFonts w:ascii="Arial" w:cs="Arial" w:eastAsia="Arial" w:hAnsi="Arial"/>
                <w:sz w:val="14"/>
                <w:szCs w:val="14"/>
                <w:color w:val="auto"/>
              </w:rPr>
              <w:t>3.09</w:t>
            </w:r>
          </w:p>
        </w:tc>
        <w:tc>
          <w:tcPr>
            <w:tcW w:w="100" w:type="dxa"/>
            <w:vAlign w:val="bottom"/>
            <w:tcBorders>
              <w:bottom w:val="single" w:sz="8" w:color="CCFFCC"/>
            </w:tcBorders>
            <w:shd w:val="clear" w:color="auto" w:fill="CCFFCC"/>
          </w:tcPr>
          <w:p>
            <w:pPr>
              <w:spacing w:after="0"/>
              <w:rPr>
                <w:sz w:val="11"/>
                <w:szCs w:val="11"/>
                <w:color w:val="auto"/>
              </w:rPr>
            </w:pPr>
          </w:p>
        </w:tc>
        <w:tc>
          <w:tcPr>
            <w:tcW w:w="160" w:type="dxa"/>
            <w:vAlign w:val="bottom"/>
            <w:tcBorders>
              <w:bottom w:val="single" w:sz="8" w:color="auto"/>
            </w:tcBorders>
            <w:shd w:val="clear" w:color="auto" w:fill="CCFFCC"/>
          </w:tcPr>
          <w:p>
            <w:pPr>
              <w:spacing w:after="0"/>
              <w:rPr>
                <w:sz w:val="11"/>
                <w:szCs w:val="11"/>
                <w:color w:val="auto"/>
              </w:rPr>
            </w:pPr>
          </w:p>
        </w:tc>
        <w:tc>
          <w:tcPr>
            <w:tcW w:w="60" w:type="dxa"/>
            <w:vAlign w:val="bottom"/>
            <w:tcBorders>
              <w:bottom w:val="single" w:sz="8" w:color="auto"/>
            </w:tcBorders>
            <w:shd w:val="clear" w:color="auto" w:fill="CCFFCC"/>
          </w:tcPr>
          <w:p>
            <w:pPr>
              <w:spacing w:after="0"/>
              <w:rPr>
                <w:sz w:val="11"/>
                <w:szCs w:val="11"/>
                <w:color w:val="auto"/>
              </w:rPr>
            </w:pPr>
          </w:p>
        </w:tc>
        <w:tc>
          <w:tcPr>
            <w:tcW w:w="40" w:type="dxa"/>
            <w:vAlign w:val="bottom"/>
            <w:tcBorders>
              <w:bottom w:val="single" w:sz="8" w:color="auto"/>
            </w:tcBorders>
            <w:shd w:val="clear" w:color="auto" w:fill="CCFFCC"/>
          </w:tcPr>
          <w:p>
            <w:pPr>
              <w:spacing w:after="0"/>
              <w:rPr>
                <w:sz w:val="11"/>
                <w:szCs w:val="11"/>
                <w:color w:val="auto"/>
              </w:rPr>
            </w:pPr>
          </w:p>
        </w:tc>
        <w:tc>
          <w:tcPr>
            <w:tcW w:w="1220" w:type="dxa"/>
            <w:vAlign w:val="bottom"/>
            <w:tcBorders>
              <w:bottom w:val="single" w:sz="8" w:color="auto"/>
            </w:tcBorders>
            <w:shd w:val="clear" w:color="auto" w:fill="CCFFCC"/>
          </w:tcPr>
          <w:p>
            <w:pPr>
              <w:ind w:left="420"/>
              <w:spacing w:after="0" w:line="129" w:lineRule="exact"/>
              <w:rPr>
                <w:sz w:val="20"/>
                <w:szCs w:val="20"/>
                <w:color w:val="auto"/>
              </w:rPr>
            </w:pPr>
            <w:r>
              <w:rPr>
                <w:rFonts w:ascii="Arial" w:cs="Arial" w:eastAsia="Arial" w:hAnsi="Arial"/>
                <w:sz w:val="14"/>
                <w:szCs w:val="14"/>
                <w:color w:val="auto"/>
                <w:w w:val="91"/>
              </w:rPr>
              <w:t>$0.01 – $5.50</w:t>
            </w:r>
          </w:p>
        </w:tc>
        <w:tc>
          <w:tcPr>
            <w:tcW w:w="10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auto"/>
            </w:tcBorders>
            <w:shd w:val="clear" w:color="auto" w:fill="CCFFCC"/>
          </w:tcPr>
          <w:p>
            <w:pPr>
              <w:spacing w:after="0"/>
              <w:rPr>
                <w:sz w:val="11"/>
                <w:szCs w:val="11"/>
                <w:color w:val="auto"/>
              </w:rPr>
            </w:pPr>
          </w:p>
        </w:tc>
        <w:tc>
          <w:tcPr>
            <w:tcW w:w="360" w:type="dxa"/>
            <w:vAlign w:val="bottom"/>
            <w:tcBorders>
              <w:bottom w:val="single" w:sz="8" w:color="auto"/>
            </w:tcBorders>
            <w:shd w:val="clear" w:color="auto" w:fill="CCFFCC"/>
          </w:tcPr>
          <w:p>
            <w:pPr>
              <w:spacing w:after="0"/>
              <w:rPr>
                <w:sz w:val="11"/>
                <w:szCs w:val="11"/>
                <w:color w:val="auto"/>
              </w:rPr>
            </w:pPr>
          </w:p>
        </w:tc>
        <w:tc>
          <w:tcPr>
            <w:tcW w:w="100" w:type="dxa"/>
            <w:vAlign w:val="bottom"/>
            <w:tcBorders>
              <w:bottom w:val="single" w:sz="8" w:color="auto"/>
            </w:tcBorders>
            <w:shd w:val="clear" w:color="auto" w:fill="CCFFCC"/>
          </w:tcPr>
          <w:p>
            <w:pPr>
              <w:spacing w:after="0"/>
              <w:rPr>
                <w:sz w:val="11"/>
                <w:szCs w:val="11"/>
                <w:color w:val="auto"/>
              </w:rPr>
            </w:pPr>
          </w:p>
        </w:tc>
        <w:tc>
          <w:tcPr>
            <w:tcW w:w="940" w:type="dxa"/>
            <w:vAlign w:val="bottom"/>
            <w:tcBorders>
              <w:bottom w:val="single" w:sz="8" w:color="auto"/>
            </w:tcBorders>
            <w:shd w:val="clear" w:color="auto" w:fill="CCFFCC"/>
          </w:tcPr>
          <w:p>
            <w:pPr>
              <w:spacing w:after="0"/>
              <w:rPr>
                <w:sz w:val="11"/>
                <w:szCs w:val="11"/>
                <w:color w:val="auto"/>
              </w:rPr>
            </w:pPr>
          </w:p>
        </w:tc>
        <w:tc>
          <w:tcPr>
            <w:tcW w:w="10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ind w:left="700"/>
              <w:spacing w:after="0"/>
              <w:rPr>
                <w:sz w:val="20"/>
                <w:szCs w:val="20"/>
                <w:color w:val="auto"/>
              </w:rPr>
            </w:pPr>
            <w:r>
              <w:rPr>
                <w:rFonts w:ascii="Arial" w:cs="Arial" w:eastAsia="Arial" w:hAnsi="Arial"/>
                <w:sz w:val="16"/>
                <w:szCs w:val="16"/>
                <w:b w:val="1"/>
                <w:bCs w:val="1"/>
                <w:color w:val="auto"/>
              </w:rPr>
              <w:t>Non vested options:</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Borders>
              <w:bottom w:val="single" w:sz="8" w:color="auto"/>
            </w:tcBorders>
            <w:gridSpan w:val="6"/>
          </w:tcPr>
          <w:p>
            <w:pPr>
              <w:jc w:val="right"/>
              <w:ind w:right="445"/>
              <w:spacing w:after="0"/>
              <w:rPr>
                <w:sz w:val="20"/>
                <w:szCs w:val="20"/>
                <w:color w:val="auto"/>
              </w:rPr>
            </w:pPr>
            <w:r>
              <w:rPr>
                <w:rFonts w:ascii="Arial" w:cs="Arial" w:eastAsia="Arial" w:hAnsi="Arial"/>
                <w:sz w:val="16"/>
                <w:szCs w:val="16"/>
                <w:b w:val="1"/>
                <w:bCs w:val="1"/>
                <w:color w:val="auto"/>
              </w:rPr>
              <w:t>Non vested RSUs:</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91"/>
              </w:rPr>
              <w:t>Weighted average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11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grant date fair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3"/>
          </w:tcPr>
          <w:p>
            <w:pPr>
              <w:jc w:val="center"/>
              <w:ind w:left="245"/>
              <w:spacing w:after="0"/>
              <w:rPr>
                <w:sz w:val="20"/>
                <w:szCs w:val="20"/>
                <w:color w:val="auto"/>
              </w:rPr>
            </w:pPr>
            <w:r>
              <w:rPr>
                <w:rFonts w:ascii="Arial" w:cs="Arial" w:eastAsia="Arial" w:hAnsi="Arial"/>
                <w:sz w:val="16"/>
                <w:szCs w:val="16"/>
                <w:b w:val="1"/>
                <w:bCs w:val="1"/>
                <w:color w:val="auto"/>
                <w:w w:val="93"/>
              </w:rPr>
              <w:t>grant date fair</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6"/>
                <w:szCs w:val="16"/>
                <w:b w:val="1"/>
                <w:bCs w:val="1"/>
                <w:color w:val="auto"/>
              </w:rPr>
              <w:t>No. of options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value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No. of RSUs</w:t>
            </w:r>
          </w:p>
        </w:tc>
        <w:tc>
          <w:tcPr>
            <w:tcW w:w="40" w:type="dxa"/>
            <w:vAlign w:val="bottom"/>
          </w:tcPr>
          <w:p>
            <w:pPr>
              <w:spacing w:after="0"/>
              <w:rPr>
                <w:sz w:val="18"/>
                <w:szCs w:val="18"/>
                <w:color w:val="auto"/>
              </w:rPr>
            </w:pPr>
          </w:p>
        </w:tc>
        <w:tc>
          <w:tcPr>
            <w:tcW w:w="1220" w:type="dxa"/>
            <w:vAlign w:val="bottom"/>
          </w:tcPr>
          <w:p>
            <w:pPr>
              <w:jc w:val="center"/>
              <w:ind w:left="465"/>
              <w:spacing w:after="0"/>
              <w:rPr>
                <w:sz w:val="20"/>
                <w:szCs w:val="20"/>
                <w:color w:val="auto"/>
              </w:rPr>
            </w:pPr>
            <w:r>
              <w:rPr>
                <w:rFonts w:ascii="Arial" w:cs="Arial" w:eastAsia="Arial" w:hAnsi="Arial"/>
                <w:sz w:val="16"/>
                <w:szCs w:val="16"/>
                <w:b w:val="1"/>
                <w:bCs w:val="1"/>
                <w:color w:val="auto"/>
                <w:w w:val="87"/>
              </w:rPr>
              <w:t>value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b w:val="1"/>
                <w:bCs w:val="1"/>
                <w:color w:val="auto"/>
              </w:rPr>
              <w:t>Balance at January 1, 2013</w:t>
            </w:r>
          </w:p>
        </w:tc>
        <w:tc>
          <w:tcPr>
            <w:tcW w:w="10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40" w:type="dxa"/>
            <w:vAlign w:val="bottom"/>
            <w:tcBorders>
              <w:top w:val="single" w:sz="8" w:color="auto"/>
            </w:tcBorders>
            <w:shd w:val="clear" w:color="auto" w:fill="CCFFCC"/>
          </w:tcPr>
          <w:p>
            <w:pPr>
              <w:spacing w:after="0"/>
              <w:rPr>
                <w:sz w:val="17"/>
                <w:szCs w:val="17"/>
                <w:color w:val="auto"/>
              </w:rPr>
            </w:pPr>
          </w:p>
        </w:tc>
        <w:tc>
          <w:tcPr>
            <w:tcW w:w="126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6"/>
                <w:szCs w:val="16"/>
                <w:color w:val="auto"/>
              </w:rPr>
              <w:t>4,902,989</w:t>
            </w:r>
          </w:p>
        </w:tc>
        <w:tc>
          <w:tcPr>
            <w:tcW w:w="60" w:type="dxa"/>
            <w:vAlign w:val="bottom"/>
            <w:tcBorders>
              <w:top w:val="single" w:sz="8" w:color="auto"/>
            </w:tcBorders>
            <w:shd w:val="clear" w:color="auto" w:fill="CCFFCC"/>
          </w:tcPr>
          <w:p>
            <w:pPr>
              <w:spacing w:after="0"/>
              <w:rPr>
                <w:sz w:val="17"/>
                <w:szCs w:val="17"/>
                <w:color w:val="auto"/>
              </w:rPr>
            </w:pPr>
          </w:p>
        </w:tc>
        <w:tc>
          <w:tcPr>
            <w:tcW w:w="40" w:type="dxa"/>
            <w:vAlign w:val="bottom"/>
            <w:tcBorders>
              <w:top w:val="single" w:sz="8" w:color="CCFFCC"/>
            </w:tcBorders>
            <w:shd w:val="clear" w:color="auto" w:fill="CCFFCC"/>
          </w:tcPr>
          <w:p>
            <w:pPr>
              <w:spacing w:after="0"/>
              <w:rPr>
                <w:sz w:val="17"/>
                <w:szCs w:val="17"/>
                <w:color w:val="auto"/>
              </w:rPr>
            </w:pPr>
          </w:p>
        </w:tc>
        <w:tc>
          <w:tcPr>
            <w:tcW w:w="4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gridSpan w:val="5"/>
            <w:shd w:val="clear" w:color="auto" w:fill="CCFFCC"/>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top w:val="single" w:sz="8" w:color="CCFFCC"/>
            </w:tcBorders>
            <w:shd w:val="clear" w:color="auto" w:fill="CCFFCC"/>
          </w:tcPr>
          <w:p>
            <w:pPr>
              <w:spacing w:after="0"/>
              <w:rPr>
                <w:sz w:val="17"/>
                <w:szCs w:val="17"/>
                <w:color w:val="auto"/>
              </w:rPr>
            </w:pPr>
          </w:p>
        </w:tc>
        <w:tc>
          <w:tcPr>
            <w:tcW w:w="1500" w:type="dxa"/>
            <w:vAlign w:val="bottom"/>
            <w:tcBorders>
              <w:top w:val="single" w:sz="8" w:color="auto"/>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3,125,000</w:t>
            </w:r>
          </w:p>
        </w:tc>
        <w:tc>
          <w:tcPr>
            <w:tcW w:w="60" w:type="dxa"/>
            <w:vAlign w:val="bottom"/>
            <w:tcBorders>
              <w:top w:val="single" w:sz="8" w:color="CCFFCC"/>
            </w:tcBorders>
            <w:shd w:val="clear" w:color="auto" w:fill="CCFFCC"/>
          </w:tcPr>
          <w:p>
            <w:pPr>
              <w:spacing w:after="0"/>
              <w:rPr>
                <w:sz w:val="17"/>
                <w:szCs w:val="17"/>
                <w:color w:val="auto"/>
              </w:rPr>
            </w:pPr>
          </w:p>
        </w:tc>
        <w:tc>
          <w:tcPr>
            <w:tcW w:w="40" w:type="dxa"/>
            <w:vAlign w:val="bottom"/>
            <w:tcBorders>
              <w:top w:val="single" w:sz="8" w:color="CCFFCC"/>
            </w:tcBorders>
            <w:shd w:val="clear" w:color="auto" w:fill="CCFFCC"/>
          </w:tcPr>
          <w:p>
            <w:pPr>
              <w:spacing w:after="0"/>
              <w:rPr>
                <w:sz w:val="17"/>
                <w:szCs w:val="17"/>
                <w:color w:val="auto"/>
              </w:rPr>
            </w:pPr>
          </w:p>
        </w:tc>
        <w:tc>
          <w:tcPr>
            <w:tcW w:w="1220" w:type="dxa"/>
            <w:vAlign w:val="bottom"/>
            <w:tcBorders>
              <w:top w:val="single" w:sz="8" w:color="auto"/>
            </w:tcBorders>
            <w:shd w:val="clear" w:color="auto" w:fill="CCFFCC"/>
          </w:tcPr>
          <w:p>
            <w:pPr>
              <w:jc w:val="right"/>
              <w:ind w:right="1045"/>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tcBorders>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spacing w:after="0"/>
              <w:rPr>
                <w:sz w:val="17"/>
                <w:szCs w:val="17"/>
                <w:color w:val="auto"/>
              </w:rPr>
            </w:pPr>
          </w:p>
        </w:tc>
        <w:tc>
          <w:tcPr>
            <w:tcW w:w="3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6"/>
                <w:szCs w:val="16"/>
                <w:color w:val="auto"/>
                <w:w w:val="83"/>
              </w:rPr>
              <w:t>3.72</w:t>
            </w:r>
          </w:p>
        </w:tc>
        <w:tc>
          <w:tcPr>
            <w:tcW w:w="100" w:type="dxa"/>
            <w:vAlign w:val="bottom"/>
            <w:tcBorders>
              <w:top w:val="single" w:sz="8" w:color="CCFFCC"/>
            </w:tcBorders>
            <w:shd w:val="clear" w:color="auto" w:fill="CCFFCC"/>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Granted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3,498,333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520" w:type="dxa"/>
            <w:vAlign w:val="bottom"/>
            <w:gridSpan w:val="5"/>
          </w:tcPr>
          <w:p>
            <w:pPr>
              <w:jc w:val="right"/>
              <w:spacing w:after="0"/>
              <w:rPr>
                <w:sz w:val="20"/>
                <w:szCs w:val="20"/>
                <w:color w:val="auto"/>
              </w:rPr>
            </w:pPr>
            <w:r>
              <w:rPr>
                <w:rFonts w:ascii="Arial" w:cs="Arial" w:eastAsia="Arial" w:hAnsi="Arial"/>
                <w:sz w:val="16"/>
                <w:szCs w:val="16"/>
                <w:color w:val="auto"/>
              </w:rPr>
              <w:t>2.16</w:t>
            </w:r>
          </w:p>
        </w:tc>
        <w:tc>
          <w:tcPr>
            <w:tcW w:w="1600" w:type="dxa"/>
            <w:vAlign w:val="bottom"/>
            <w:gridSpan w:val="4"/>
          </w:tcPr>
          <w:p>
            <w:pPr>
              <w:ind w:left="1000"/>
              <w:spacing w:after="0"/>
              <w:rPr>
                <w:sz w:val="20"/>
                <w:szCs w:val="20"/>
                <w:color w:val="auto"/>
              </w:rPr>
            </w:pPr>
            <w:r>
              <w:rPr>
                <w:rFonts w:ascii="Arial" w:cs="Arial" w:eastAsia="Arial" w:hAnsi="Arial"/>
                <w:sz w:val="16"/>
                <w:szCs w:val="16"/>
                <w:color w:val="auto"/>
              </w:rPr>
              <w:t>722,250</w:t>
            </w:r>
          </w:p>
        </w:tc>
        <w:tc>
          <w:tcPr>
            <w:tcW w:w="60" w:type="dxa"/>
            <w:vAlign w:val="bottom"/>
          </w:tcPr>
          <w:p>
            <w:pPr>
              <w:spacing w:after="0"/>
              <w:rPr>
                <w:sz w:val="17"/>
                <w:szCs w:val="17"/>
                <w:color w:val="auto"/>
              </w:rPr>
            </w:pPr>
          </w:p>
        </w:tc>
        <w:tc>
          <w:tcPr>
            <w:tcW w:w="1260" w:type="dxa"/>
            <w:vAlign w:val="bottom"/>
            <w:gridSpan w:val="2"/>
          </w:tcPr>
          <w:p>
            <w:pPr>
              <w:jc w:val="right"/>
              <w:ind w:right="104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ind w:right="5"/>
              <w:spacing w:after="0"/>
              <w:rPr>
                <w:sz w:val="20"/>
                <w:szCs w:val="20"/>
                <w:color w:val="auto"/>
              </w:rPr>
            </w:pPr>
            <w:r>
              <w:rPr>
                <w:rFonts w:ascii="Arial" w:cs="Arial" w:eastAsia="Arial" w:hAnsi="Arial"/>
                <w:sz w:val="16"/>
                <w:szCs w:val="16"/>
                <w:color w:val="auto"/>
                <w:w w:val="83"/>
              </w:rPr>
              <w:t>3.15</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FFCC"/>
          </w:tcPr>
          <w:p>
            <w:pPr>
              <w:spacing w:after="0"/>
              <w:rPr>
                <w:sz w:val="20"/>
                <w:szCs w:val="20"/>
                <w:color w:val="auto"/>
              </w:rPr>
            </w:pPr>
            <w:r>
              <w:rPr>
                <w:rFonts w:ascii="Arial" w:cs="Arial" w:eastAsia="Arial" w:hAnsi="Arial"/>
                <w:sz w:val="16"/>
                <w:szCs w:val="16"/>
                <w:color w:val="auto"/>
              </w:rPr>
              <w:t>Vested</w:t>
            </w:r>
          </w:p>
        </w:tc>
        <w:tc>
          <w:tcPr>
            <w:tcW w:w="10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360" w:type="dxa"/>
            <w:vAlign w:val="bottom"/>
            <w:gridSpan w:val="4"/>
            <w:shd w:val="clear" w:color="auto" w:fill="CCFFCC"/>
          </w:tcPr>
          <w:p>
            <w:pPr>
              <w:jc w:val="right"/>
              <w:ind w:right="40"/>
              <w:spacing w:after="0"/>
              <w:rPr>
                <w:sz w:val="20"/>
                <w:szCs w:val="20"/>
                <w:color w:val="auto"/>
              </w:rPr>
            </w:pPr>
            <w:r>
              <w:rPr>
                <w:rFonts w:ascii="Arial" w:cs="Arial" w:eastAsia="Arial" w:hAnsi="Arial"/>
                <w:sz w:val="16"/>
                <w:szCs w:val="16"/>
                <w:color w:val="auto"/>
              </w:rPr>
              <w:t>(3,324,820)</w:t>
            </w:r>
          </w:p>
        </w:tc>
        <w:tc>
          <w:tcPr>
            <w:tcW w:w="220" w:type="dxa"/>
            <w:vAlign w:val="bottom"/>
            <w:gridSpan w:val="2"/>
            <w:shd w:val="clear" w:color="auto" w:fill="CCFFCC"/>
          </w:tcPr>
          <w:p>
            <w:pPr>
              <w:jc w:val="right"/>
              <w:ind w:right="24"/>
              <w:spacing w:after="0"/>
              <w:rPr>
                <w:sz w:val="20"/>
                <w:szCs w:val="20"/>
                <w:color w:val="auto"/>
              </w:rPr>
            </w:pPr>
            <w:r>
              <w:rPr>
                <w:rFonts w:ascii="Arial" w:cs="Arial" w:eastAsia="Arial" w:hAnsi="Arial"/>
                <w:sz w:val="16"/>
                <w:szCs w:val="16"/>
                <w:color w:val="auto"/>
              </w:rPr>
              <w:t>$</w:t>
            </w:r>
          </w:p>
        </w:tc>
        <w:tc>
          <w:tcPr>
            <w:tcW w:w="1520" w:type="dxa"/>
            <w:vAlign w:val="bottom"/>
            <w:gridSpan w:val="5"/>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660" w:type="dxa"/>
            <w:vAlign w:val="bottom"/>
            <w:gridSpan w:val="5"/>
            <w:shd w:val="clear" w:color="auto" w:fill="CCFFCC"/>
          </w:tcPr>
          <w:p>
            <w:pPr>
              <w:jc w:val="right"/>
              <w:ind w:right="60"/>
              <w:spacing w:after="0"/>
              <w:rPr>
                <w:sz w:val="20"/>
                <w:szCs w:val="20"/>
                <w:color w:val="auto"/>
              </w:rPr>
            </w:pPr>
            <w:r>
              <w:rPr>
                <w:rFonts w:ascii="Arial" w:cs="Arial" w:eastAsia="Arial" w:hAnsi="Arial"/>
                <w:sz w:val="16"/>
                <w:szCs w:val="16"/>
                <w:color w:val="auto"/>
              </w:rPr>
              <w:t>(1,452,721)</w:t>
            </w:r>
          </w:p>
        </w:tc>
        <w:tc>
          <w:tcPr>
            <w:tcW w:w="1260" w:type="dxa"/>
            <w:vAlign w:val="bottom"/>
            <w:gridSpan w:val="2"/>
            <w:shd w:val="clear" w:color="auto" w:fill="CCFFCC"/>
          </w:tcPr>
          <w:p>
            <w:pPr>
              <w:jc w:val="right"/>
              <w:ind w:right="1045"/>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60" w:type="dxa"/>
            <w:vAlign w:val="bottom"/>
            <w:shd w:val="clear" w:color="auto" w:fill="CCFFCC"/>
          </w:tcPr>
          <w:p>
            <w:pPr>
              <w:jc w:val="right"/>
              <w:ind w:right="5"/>
              <w:spacing w:after="0"/>
              <w:rPr>
                <w:sz w:val="20"/>
                <w:szCs w:val="20"/>
                <w:color w:val="auto"/>
              </w:rPr>
            </w:pPr>
            <w:r>
              <w:rPr>
                <w:rFonts w:ascii="Arial" w:cs="Arial" w:eastAsia="Arial" w:hAnsi="Arial"/>
                <w:sz w:val="16"/>
                <w:szCs w:val="16"/>
                <w:color w:val="auto"/>
                <w:w w:val="83"/>
              </w:rPr>
              <w:t>3.60</w:t>
            </w:r>
          </w:p>
        </w:tc>
        <w:tc>
          <w:tcPr>
            <w:tcW w:w="100" w:type="dxa"/>
            <w:vAlign w:val="bottom"/>
            <w:shd w:val="clear" w:color="auto" w:fill="CCFFCC"/>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Forfeited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6"/>
                <w:szCs w:val="16"/>
                <w:color w:val="auto"/>
              </w:rPr>
              <w:t>(482,822)</w:t>
            </w:r>
          </w:p>
        </w:tc>
        <w:tc>
          <w:tcPr>
            <w:tcW w:w="2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520" w:type="dxa"/>
            <w:vAlign w:val="bottom"/>
            <w:gridSpan w:val="5"/>
          </w:tcPr>
          <w:p>
            <w:pPr>
              <w:jc w:val="right"/>
              <w:spacing w:after="0"/>
              <w:rPr>
                <w:sz w:val="20"/>
                <w:szCs w:val="20"/>
                <w:color w:val="auto"/>
              </w:rPr>
            </w:pPr>
            <w:r>
              <w:rPr>
                <w:rFonts w:ascii="Arial" w:cs="Arial" w:eastAsia="Arial" w:hAnsi="Arial"/>
                <w:sz w:val="16"/>
                <w:szCs w:val="16"/>
                <w:color w:val="auto"/>
              </w:rPr>
              <w:t>2.44</w:t>
            </w:r>
          </w:p>
        </w:tc>
        <w:tc>
          <w:tcPr>
            <w:tcW w:w="1660" w:type="dxa"/>
            <w:vAlign w:val="bottom"/>
            <w:gridSpan w:val="5"/>
          </w:tcPr>
          <w:p>
            <w:pPr>
              <w:jc w:val="right"/>
              <w:ind w:right="60"/>
              <w:spacing w:after="0"/>
              <w:rPr>
                <w:sz w:val="20"/>
                <w:szCs w:val="20"/>
                <w:color w:val="auto"/>
              </w:rPr>
            </w:pPr>
            <w:r>
              <w:rPr>
                <w:rFonts w:ascii="Arial" w:cs="Arial" w:eastAsia="Arial" w:hAnsi="Arial"/>
                <w:sz w:val="16"/>
                <w:szCs w:val="16"/>
                <w:color w:val="auto"/>
              </w:rPr>
              <w:t>(233,126)</w:t>
            </w:r>
          </w:p>
        </w:tc>
        <w:tc>
          <w:tcPr>
            <w:tcW w:w="1260" w:type="dxa"/>
            <w:vAlign w:val="bottom"/>
            <w:gridSpan w:val="2"/>
          </w:tcPr>
          <w:p>
            <w:pPr>
              <w:jc w:val="right"/>
              <w:ind w:right="104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ind w:right="5"/>
              <w:spacing w:after="0"/>
              <w:rPr>
                <w:sz w:val="20"/>
                <w:szCs w:val="20"/>
                <w:color w:val="auto"/>
              </w:rPr>
            </w:pPr>
            <w:r>
              <w:rPr>
                <w:rFonts w:ascii="Arial" w:cs="Arial" w:eastAsia="Arial" w:hAnsi="Arial"/>
                <w:sz w:val="16"/>
                <w:szCs w:val="16"/>
                <w:color w:val="auto"/>
                <w:w w:val="83"/>
              </w:rPr>
              <w:t>3.71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6"/>
                <w:szCs w:val="16"/>
                <w:b w:val="1"/>
                <w:bCs w:val="1"/>
                <w:color w:val="auto"/>
              </w:rPr>
              <w:t>Balance at December 31, 2013</w:t>
            </w:r>
          </w:p>
        </w:tc>
        <w:tc>
          <w:tcPr>
            <w:tcW w:w="100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auto"/>
              <w:bottom w:val="single" w:sz="8" w:color="auto"/>
            </w:tcBorders>
            <w:shd w:val="clear" w:color="auto" w:fill="CCFFCC"/>
          </w:tcPr>
          <w:p>
            <w:pPr>
              <w:spacing w:after="0"/>
              <w:rPr>
                <w:sz w:val="17"/>
                <w:szCs w:val="17"/>
                <w:color w:val="auto"/>
              </w:rPr>
            </w:pPr>
          </w:p>
        </w:tc>
        <w:tc>
          <w:tcPr>
            <w:tcW w:w="40" w:type="dxa"/>
            <w:vAlign w:val="bottom"/>
            <w:tcBorders>
              <w:top w:val="single" w:sz="8" w:color="auto"/>
              <w:bottom w:val="single" w:sz="8" w:color="auto"/>
            </w:tcBorders>
            <w:shd w:val="clear" w:color="auto" w:fill="CCFFCC"/>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FFCC"/>
          </w:tcPr>
          <w:p>
            <w:pPr>
              <w:jc w:val="right"/>
              <w:spacing w:after="0"/>
              <w:rPr>
                <w:sz w:val="20"/>
                <w:szCs w:val="20"/>
                <w:color w:val="auto"/>
              </w:rPr>
            </w:pPr>
            <w:r>
              <w:rPr>
                <w:rFonts w:ascii="Arial" w:cs="Arial" w:eastAsia="Arial" w:hAnsi="Arial"/>
                <w:sz w:val="16"/>
                <w:szCs w:val="16"/>
                <w:color w:val="auto"/>
              </w:rPr>
              <w:t>4,593,680</w:t>
            </w:r>
          </w:p>
        </w:tc>
        <w:tc>
          <w:tcPr>
            <w:tcW w:w="60" w:type="dxa"/>
            <w:vAlign w:val="bottom"/>
            <w:tcBorders>
              <w:top w:val="single" w:sz="8" w:color="auto"/>
              <w:bottom w:val="single" w:sz="8" w:color="auto"/>
            </w:tcBorders>
            <w:shd w:val="clear" w:color="auto" w:fill="CCFFCC"/>
          </w:tcPr>
          <w:p>
            <w:pPr>
              <w:spacing w:after="0"/>
              <w:rPr>
                <w:sz w:val="17"/>
                <w:szCs w:val="17"/>
                <w:color w:val="auto"/>
              </w:rPr>
            </w:pPr>
          </w:p>
        </w:tc>
        <w:tc>
          <w:tcPr>
            <w:tcW w:w="40" w:type="dxa"/>
            <w:vAlign w:val="bottom"/>
            <w:tcBorders>
              <w:top w:val="single" w:sz="8" w:color="CCFFCC"/>
              <w:bottom w:val="single" w:sz="8" w:color="CCFFCC"/>
            </w:tcBorders>
            <w:shd w:val="clear" w:color="auto" w:fill="CCFFCC"/>
          </w:tcPr>
          <w:p>
            <w:pPr>
              <w:spacing w:after="0"/>
              <w:rPr>
                <w:sz w:val="17"/>
                <w:szCs w:val="17"/>
                <w:color w:val="auto"/>
              </w:rPr>
            </w:pPr>
          </w:p>
        </w:tc>
        <w:tc>
          <w:tcPr>
            <w:tcW w:w="4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auto"/>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gridSpan w:val="5"/>
            <w:shd w:val="clear" w:color="auto" w:fill="CCFFCC"/>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500" w:type="dxa"/>
            <w:vAlign w:val="bottom"/>
            <w:tcBorders>
              <w:top w:val="single" w:sz="8" w:color="auto"/>
              <w:bottom w:val="single" w:sz="8" w:color="auto"/>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2,161,403</w:t>
            </w: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40" w:type="dxa"/>
            <w:vAlign w:val="bottom"/>
            <w:tcBorders>
              <w:top w:val="single" w:sz="8" w:color="CCFFCC"/>
              <w:bottom w:val="single" w:sz="8" w:color="CCFFCC"/>
            </w:tcBorders>
            <w:shd w:val="clear" w:color="auto" w:fill="CCFFCC"/>
          </w:tcPr>
          <w:p>
            <w:pPr>
              <w:spacing w:after="0"/>
              <w:rPr>
                <w:sz w:val="17"/>
                <w:szCs w:val="17"/>
                <w:color w:val="auto"/>
              </w:rPr>
            </w:pPr>
          </w:p>
        </w:tc>
        <w:tc>
          <w:tcPr>
            <w:tcW w:w="1220" w:type="dxa"/>
            <w:vAlign w:val="bottom"/>
            <w:tcBorders>
              <w:top w:val="single" w:sz="8" w:color="auto"/>
              <w:bottom w:val="single" w:sz="8" w:color="auto"/>
            </w:tcBorders>
            <w:shd w:val="clear" w:color="auto" w:fill="CCFFCC"/>
          </w:tcPr>
          <w:p>
            <w:pPr>
              <w:jc w:val="right"/>
              <w:ind w:right="1045"/>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shd w:val="clear" w:color="auto" w:fill="CCFFCC"/>
          </w:tcPr>
          <w:p>
            <w:pPr>
              <w:spacing w:after="0"/>
              <w:rPr>
                <w:sz w:val="17"/>
                <w:szCs w:val="17"/>
                <w:color w:val="auto"/>
              </w:rPr>
            </w:pPr>
          </w:p>
        </w:tc>
        <w:tc>
          <w:tcPr>
            <w:tcW w:w="80" w:type="dxa"/>
            <w:vAlign w:val="bottom"/>
            <w:tcBorders>
              <w:top w:val="single" w:sz="8" w:color="auto"/>
              <w:bottom w:val="single" w:sz="8" w:color="auto"/>
            </w:tcBorders>
            <w:shd w:val="clear" w:color="auto" w:fill="CCFFCC"/>
          </w:tcPr>
          <w:p>
            <w:pPr>
              <w:spacing w:after="0"/>
              <w:rPr>
                <w:sz w:val="17"/>
                <w:szCs w:val="17"/>
                <w:color w:val="auto"/>
              </w:rPr>
            </w:pPr>
          </w:p>
        </w:tc>
        <w:tc>
          <w:tcPr>
            <w:tcW w:w="3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6"/>
                <w:szCs w:val="16"/>
                <w:color w:val="auto"/>
                <w:w w:val="83"/>
              </w:rPr>
              <w:t>3.61</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Exercise price</w:t>
            </w:r>
          </w:p>
        </w:tc>
        <w:tc>
          <w:tcPr>
            <w:tcW w:w="1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No. options outstanding</w:t>
            </w:r>
          </w:p>
        </w:tc>
        <w:tc>
          <w:tcPr>
            <w:tcW w:w="1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No. options exercisable</w:t>
            </w:r>
          </w:p>
        </w:tc>
        <w:tc>
          <w:tcPr>
            <w:tcW w:w="120" w:type="dxa"/>
            <w:vAlign w:val="bottom"/>
          </w:tcPr>
          <w:p>
            <w:pPr>
              <w:spacing w:after="0"/>
              <w:rPr>
                <w:sz w:val="14"/>
                <w:szCs w:val="14"/>
                <w:color w:val="auto"/>
              </w:rPr>
            </w:pPr>
          </w:p>
        </w:tc>
        <w:tc>
          <w:tcPr>
            <w:tcW w:w="2820" w:type="dxa"/>
            <w:vAlign w:val="bottom"/>
            <w:gridSpan w:val="2"/>
          </w:tcPr>
          <w:p>
            <w:pPr>
              <w:ind w:left="460"/>
              <w:spacing w:after="0"/>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2"/>
          </w:tcPr>
          <w:p>
            <w:pPr>
              <w:ind w:left="660"/>
              <w:spacing w:after="0"/>
              <w:rPr>
                <w:sz w:val="20"/>
                <w:szCs w:val="20"/>
                <w:color w:val="auto"/>
              </w:rPr>
            </w:pPr>
            <w:r>
              <w:rPr>
                <w:rFonts w:ascii="Arial" w:cs="Arial" w:eastAsia="Arial" w:hAnsi="Arial"/>
                <w:sz w:val="14"/>
                <w:szCs w:val="14"/>
                <w:b w:val="1"/>
                <w:bCs w:val="1"/>
                <w:color w:val="auto"/>
              </w:rPr>
              <w:t>contractual life (years)</w:t>
            </w:r>
          </w:p>
        </w:tc>
        <w:tc>
          <w:tcPr>
            <w:tcW w:w="0" w:type="dxa"/>
            <w:vAlign w:val="bottom"/>
          </w:tcPr>
          <w:p>
            <w:pPr>
              <w:spacing w:after="0"/>
              <w:rPr>
                <w:sz w:val="1"/>
                <w:szCs w:val="1"/>
                <w:color w:val="auto"/>
              </w:rPr>
            </w:pPr>
          </w:p>
        </w:tc>
      </w:tr>
      <w:tr>
        <w:trPr>
          <w:trHeight w:val="142"/>
        </w:trPr>
        <w:tc>
          <w:tcPr>
            <w:tcW w:w="180" w:type="dxa"/>
            <w:vAlign w:val="bottom"/>
            <w:tcBorders>
              <w:top w:val="single" w:sz="8" w:color="auto"/>
            </w:tcBorders>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0.01-1.00</w:t>
            </w:r>
          </w:p>
        </w:tc>
        <w:tc>
          <w:tcPr>
            <w:tcW w:w="100" w:type="dxa"/>
            <w:vAlign w:val="bottom"/>
            <w:tcBorders>
              <w:top w:val="single" w:sz="8" w:color="CCFFCC"/>
            </w:tcBorders>
            <w:shd w:val="clear" w:color="auto" w:fill="CCFFCC"/>
          </w:tcPr>
          <w:p>
            <w:pPr>
              <w:spacing w:after="0"/>
              <w:rPr>
                <w:sz w:val="12"/>
                <w:szCs w:val="12"/>
                <w:color w:val="auto"/>
              </w:rPr>
            </w:pPr>
          </w:p>
        </w:tc>
        <w:tc>
          <w:tcPr>
            <w:tcW w:w="1880" w:type="dxa"/>
            <w:vAlign w:val="bottom"/>
            <w:tcBorders>
              <w:top w:val="single" w:sz="8" w:color="auto"/>
            </w:tcBorders>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381,679</w:t>
            </w:r>
          </w:p>
        </w:tc>
        <w:tc>
          <w:tcPr>
            <w:tcW w:w="100" w:type="dxa"/>
            <w:vAlign w:val="bottom"/>
            <w:tcBorders>
              <w:top w:val="single" w:sz="8" w:color="CCFFCC"/>
            </w:tcBorders>
            <w:shd w:val="clear" w:color="auto" w:fill="CCFFCC"/>
          </w:tcPr>
          <w:p>
            <w:pPr>
              <w:spacing w:after="0"/>
              <w:rPr>
                <w:sz w:val="12"/>
                <w:szCs w:val="12"/>
                <w:color w:val="auto"/>
              </w:rPr>
            </w:pPr>
          </w:p>
        </w:tc>
        <w:tc>
          <w:tcPr>
            <w:tcW w:w="18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381,679</w:t>
            </w:r>
          </w:p>
        </w:tc>
        <w:tc>
          <w:tcPr>
            <w:tcW w:w="120" w:type="dxa"/>
            <w:vAlign w:val="bottom"/>
            <w:tcBorders>
              <w:top w:val="single" w:sz="8" w:color="CCFFCC"/>
            </w:tcBorders>
            <w:shd w:val="clear" w:color="auto" w:fill="CCFFCC"/>
          </w:tcPr>
          <w:p>
            <w:pPr>
              <w:spacing w:after="0"/>
              <w:rPr>
                <w:sz w:val="12"/>
                <w:szCs w:val="12"/>
                <w:color w:val="auto"/>
              </w:rPr>
            </w:pPr>
          </w:p>
        </w:tc>
        <w:tc>
          <w:tcPr>
            <w:tcW w:w="27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3.72</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1.01-2.00</w:t>
            </w: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1,262,232</w:t>
            </w:r>
          </w:p>
        </w:tc>
        <w:tc>
          <w:tcPr>
            <w:tcW w:w="10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1,220,566</w:t>
            </w:r>
          </w:p>
        </w:tc>
        <w:tc>
          <w:tcPr>
            <w:tcW w:w="2840" w:type="dxa"/>
            <w:vAlign w:val="bottom"/>
            <w:gridSpan w:val="2"/>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2.01-3.00</w:t>
            </w:r>
          </w:p>
        </w:tc>
        <w:tc>
          <w:tcPr>
            <w:tcW w:w="18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655,000</w:t>
            </w:r>
          </w:p>
        </w:tc>
        <w:tc>
          <w:tcPr>
            <w:tcW w:w="100" w:type="dxa"/>
            <w:vAlign w:val="bottom"/>
            <w:shd w:val="clear" w:color="auto" w:fill="CCFFCC"/>
          </w:tcPr>
          <w:p>
            <w:pPr>
              <w:spacing w:after="0"/>
              <w:rPr>
                <w:sz w:val="14"/>
                <w:szCs w:val="14"/>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161,250</w:t>
            </w:r>
          </w:p>
        </w:tc>
        <w:tc>
          <w:tcPr>
            <w:tcW w:w="28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3.01-4.00</w:t>
            </w: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7,749,582</w:t>
            </w:r>
          </w:p>
        </w:tc>
        <w:tc>
          <w:tcPr>
            <w:tcW w:w="10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3,691,317</w:t>
            </w:r>
          </w:p>
        </w:tc>
        <w:tc>
          <w:tcPr>
            <w:tcW w:w="2840" w:type="dxa"/>
            <w:vAlign w:val="bottom"/>
            <w:gridSpan w:val="2"/>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4.01-5.00</w:t>
            </w:r>
          </w:p>
        </w:tc>
        <w:tc>
          <w:tcPr>
            <w:tcW w:w="18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11,166</w:t>
            </w:r>
          </w:p>
        </w:tc>
        <w:tc>
          <w:tcPr>
            <w:tcW w:w="100" w:type="dxa"/>
            <w:vAlign w:val="bottom"/>
            <w:shd w:val="clear" w:color="auto" w:fill="CCFFCC"/>
          </w:tcPr>
          <w:p>
            <w:pPr>
              <w:spacing w:after="0"/>
              <w:rPr>
                <w:sz w:val="14"/>
                <w:szCs w:val="14"/>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11,167</w:t>
            </w:r>
          </w:p>
        </w:tc>
        <w:tc>
          <w:tcPr>
            <w:tcW w:w="28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Borders>
              <w:bottom w:val="single" w:sz="8" w:color="CCFFCC"/>
            </w:tcBorders>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FFCC"/>
            </w:tcBorders>
            <w:gridSpan w:val="2"/>
          </w:tcPr>
          <w:p>
            <w:pPr>
              <w:jc w:val="right"/>
              <w:ind w:right="100"/>
              <w:spacing w:after="0"/>
              <w:rPr>
                <w:sz w:val="20"/>
                <w:szCs w:val="20"/>
                <w:color w:val="auto"/>
              </w:rPr>
            </w:pPr>
            <w:r>
              <w:rPr>
                <w:rFonts w:ascii="Arial" w:cs="Arial" w:eastAsia="Arial" w:hAnsi="Arial"/>
                <w:sz w:val="14"/>
                <w:szCs w:val="14"/>
                <w:color w:val="auto"/>
              </w:rPr>
              <w:t>5.04-6.00</w:t>
            </w:r>
          </w:p>
        </w:tc>
        <w:tc>
          <w:tcPr>
            <w:tcW w:w="1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397,500</w:t>
            </w:r>
          </w:p>
        </w:tc>
        <w:tc>
          <w:tcPr>
            <w:tcW w:w="100" w:type="dxa"/>
            <w:vAlign w:val="bottom"/>
            <w:tcBorders>
              <w:bottom w:val="single" w:sz="8" w:color="CCFFCC"/>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397,500</w:t>
            </w:r>
          </w:p>
        </w:tc>
        <w:tc>
          <w:tcPr>
            <w:tcW w:w="2840" w:type="dxa"/>
            <w:vAlign w:val="bottom"/>
            <w:tcBorders>
              <w:bottom w:val="single" w:sz="8" w:color="CCFFCC"/>
            </w:tcBorders>
            <w:gridSpan w:val="2"/>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CCFFCC"/>
            </w:tcBorders>
            <w:shd w:val="clear" w:color="auto" w:fill="CCFFCC"/>
          </w:tcPr>
          <w:p>
            <w:pPr>
              <w:spacing w:after="0"/>
              <w:rPr>
                <w:sz w:val="12"/>
                <w:szCs w:val="12"/>
                <w:color w:val="auto"/>
              </w:rPr>
            </w:pPr>
          </w:p>
        </w:tc>
        <w:tc>
          <w:tcPr>
            <w:tcW w:w="1220" w:type="dxa"/>
            <w:vAlign w:val="bottom"/>
            <w:tcBorders>
              <w:bottom w:val="single" w:sz="8" w:color="CCFFCC"/>
            </w:tcBorders>
            <w:shd w:val="clear" w:color="auto" w:fill="CCFFCC"/>
          </w:tcPr>
          <w:p>
            <w:pPr>
              <w:spacing w:after="0"/>
              <w:rPr>
                <w:sz w:val="12"/>
                <w:szCs w:val="12"/>
                <w:color w:val="auto"/>
              </w:rPr>
            </w:pPr>
          </w:p>
        </w:tc>
        <w:tc>
          <w:tcPr>
            <w:tcW w:w="100" w:type="dxa"/>
            <w:vAlign w:val="bottom"/>
            <w:tcBorders>
              <w:bottom w:val="single" w:sz="8" w:color="CCFFCC"/>
            </w:tcBorders>
            <w:shd w:val="clear" w:color="auto" w:fill="CCFFCC"/>
          </w:tcPr>
          <w:p>
            <w:pPr>
              <w:spacing w:after="0"/>
              <w:rPr>
                <w:sz w:val="12"/>
                <w:szCs w:val="12"/>
                <w:color w:val="auto"/>
              </w:rPr>
            </w:pPr>
          </w:p>
        </w:tc>
        <w:tc>
          <w:tcPr>
            <w:tcW w:w="1880" w:type="dxa"/>
            <w:vAlign w:val="bottom"/>
            <w:tcBorders>
              <w:bottom w:val="single" w:sz="8" w:color="auto"/>
            </w:tcBorders>
            <w:shd w:val="clear" w:color="auto" w:fill="CCFFCC"/>
          </w:tcPr>
          <w:p>
            <w:pPr>
              <w:jc w:val="right"/>
              <w:ind w:right="8"/>
              <w:spacing w:after="0" w:line="142" w:lineRule="exact"/>
              <w:rPr>
                <w:sz w:val="20"/>
                <w:szCs w:val="20"/>
                <w:color w:val="auto"/>
              </w:rPr>
            </w:pPr>
            <w:r>
              <w:rPr>
                <w:rFonts w:ascii="Arial" w:cs="Arial" w:eastAsia="Arial" w:hAnsi="Arial"/>
                <w:sz w:val="14"/>
                <w:szCs w:val="14"/>
                <w:b w:val="1"/>
                <w:bCs w:val="1"/>
                <w:color w:val="auto"/>
              </w:rPr>
              <w:t>10,457,159</w:t>
            </w:r>
          </w:p>
        </w:tc>
        <w:tc>
          <w:tcPr>
            <w:tcW w:w="100" w:type="dxa"/>
            <w:vAlign w:val="bottom"/>
            <w:tcBorders>
              <w:bottom w:val="single" w:sz="8" w:color="CCFFCC"/>
            </w:tcBorders>
            <w:shd w:val="clear" w:color="auto" w:fill="CCFFCC"/>
          </w:tcPr>
          <w:p>
            <w:pPr>
              <w:spacing w:after="0"/>
              <w:rPr>
                <w:sz w:val="12"/>
                <w:szCs w:val="12"/>
                <w:color w:val="auto"/>
              </w:rPr>
            </w:pPr>
          </w:p>
        </w:tc>
        <w:tc>
          <w:tcPr>
            <w:tcW w:w="18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5,863,479</w:t>
            </w:r>
          </w:p>
        </w:tc>
        <w:tc>
          <w:tcPr>
            <w:tcW w:w="120" w:type="dxa"/>
            <w:vAlign w:val="bottom"/>
            <w:tcBorders>
              <w:bottom w:val="single" w:sz="8" w:color="CCFFCC"/>
            </w:tcBorders>
            <w:shd w:val="clear" w:color="auto" w:fill="CCFFCC"/>
          </w:tcPr>
          <w:p>
            <w:pPr>
              <w:spacing w:after="0"/>
              <w:rPr>
                <w:sz w:val="12"/>
                <w:szCs w:val="12"/>
                <w:color w:val="auto"/>
              </w:rPr>
            </w:pPr>
          </w:p>
        </w:tc>
        <w:tc>
          <w:tcPr>
            <w:tcW w:w="2720" w:type="dxa"/>
            <w:vAlign w:val="bottom"/>
            <w:tcBorders>
              <w:bottom w:val="single" w:sz="8" w:color="CCFFCC"/>
            </w:tcBorders>
            <w:shd w:val="clear" w:color="auto" w:fill="CCFFCC"/>
          </w:tcPr>
          <w:p>
            <w:pPr>
              <w:spacing w:after="0"/>
              <w:rPr>
                <w:sz w:val="12"/>
                <w:szCs w:val="12"/>
                <w:color w:val="auto"/>
              </w:rPr>
            </w:pPr>
          </w:p>
        </w:tc>
        <w:tc>
          <w:tcPr>
            <w:tcW w:w="100" w:type="dxa"/>
            <w:vAlign w:val="bottom"/>
            <w:tcBorders>
              <w:bottom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52"/>
        <w:spacing w:after="0" w:line="257" w:lineRule="auto"/>
        <w:rPr>
          <w:sz w:val="20"/>
          <w:szCs w:val="20"/>
          <w:color w:val="auto"/>
        </w:rPr>
      </w:pPr>
      <w:r>
        <w:rPr>
          <w:rFonts w:ascii="Arial" w:cs="Arial" w:eastAsia="Arial" w:hAnsi="Arial"/>
          <w:sz w:val="18"/>
          <w:szCs w:val="18"/>
          <w:color w:val="auto"/>
        </w:rPr>
        <w:t>As of December 31, 2013, the total aggregate intrinsic value of options outstanding and options exercisable was $2,558 and $2,445, respectively. The total aggregate intrinsic value of options exercised was $1,322. As of December 31, 2012, the total aggregate intrinsic value of options outstanding and options exercisable was $3,548 and $3,200, respectively. The total aggregate intrinsic value of options exercised was $2,417. The total fair value of stock options that vested in the year ended December 31, 2013, and 2012, and cumulative from Inception until December 31, 2013 amounts to $7,807, $5,927 and $13,759 respectively.</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of December 31, 2013, there was approximately $17,481 of total unrecognized share-based payment cost related to non-vested options, shares and RSUs, granted under the incentive stock option plans. Overall, the cost is expected to be recognized over a weighted average of 1.5 years.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recognize tax benefits related to its stock-based compensation due to full valuation allowance in the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warrant activity for the year ended December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Weighted average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4000" w:type="dxa"/>
            <w:vAlign w:val="bottom"/>
          </w:tcPr>
          <w:p>
            <w:pPr>
              <w:spacing w:after="0"/>
              <w:rPr>
                <w:sz w:val="20"/>
                <w:szCs w:val="20"/>
                <w:color w:val="auto"/>
              </w:rPr>
            </w:pPr>
          </w:p>
        </w:tc>
        <w:tc>
          <w:tcPr>
            <w:tcW w:w="2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 of warrants</w:t>
            </w:r>
          </w:p>
        </w:tc>
        <w:tc>
          <w:tcPr>
            <w:tcW w:w="40" w:type="dxa"/>
            <w:vAlign w:val="bottom"/>
          </w:tcPr>
          <w:p>
            <w:pPr>
              <w:spacing w:after="0"/>
              <w:rPr>
                <w:sz w:val="20"/>
                <w:szCs w:val="20"/>
                <w:color w:val="auto"/>
              </w:rPr>
            </w:pPr>
          </w:p>
        </w:tc>
        <w:tc>
          <w:tcPr>
            <w:tcW w:w="1960" w:type="dxa"/>
            <w:vAlign w:val="bottom"/>
          </w:tcPr>
          <w:p>
            <w:pPr>
              <w:jc w:val="right"/>
              <w:ind w:right="157"/>
              <w:spacing w:after="0"/>
              <w:rPr>
                <w:sz w:val="20"/>
                <w:szCs w:val="20"/>
                <w:color w:val="auto"/>
              </w:rPr>
            </w:pPr>
            <w:r>
              <w:rPr>
                <w:rFonts w:ascii="Arial" w:cs="Arial" w:eastAsia="Arial" w:hAnsi="Arial"/>
                <w:sz w:val="18"/>
                <w:szCs w:val="18"/>
                <w:b w:val="1"/>
                <w:bCs w:val="1"/>
                <w:color w:val="auto"/>
              </w:rPr>
              <w:t>exercise price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price range</w:t>
            </w:r>
          </w:p>
        </w:tc>
      </w:tr>
      <w:tr>
        <w:trPr>
          <w:trHeight w:val="210"/>
        </w:trPr>
        <w:tc>
          <w:tcPr>
            <w:tcW w:w="40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2013</w:t>
            </w:r>
          </w:p>
        </w:tc>
        <w:tc>
          <w:tcPr>
            <w:tcW w:w="2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18,863,261</w:t>
            </w: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960" w:type="dxa"/>
            <w:vAlign w:val="bottom"/>
            <w:tcBorders>
              <w:top w:val="single" w:sz="8" w:color="auto"/>
            </w:tcBorders>
            <w:shd w:val="clear" w:color="auto" w:fill="CCFFCC"/>
          </w:tcPr>
          <w:p>
            <w:pPr>
              <w:jc w:val="right"/>
              <w:ind w:right="179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CFFCC"/>
            </w:tcBorders>
            <w:shd w:val="clear" w:color="auto" w:fill="CCFFCC"/>
          </w:tcPr>
          <w:p>
            <w:pPr>
              <w:spacing w:after="0"/>
              <w:rPr>
                <w:sz w:val="18"/>
                <w:szCs w:val="18"/>
                <w:color w:val="auto"/>
              </w:rPr>
            </w:pPr>
          </w:p>
        </w:tc>
        <w:tc>
          <w:tcPr>
            <w:tcW w:w="1500" w:type="dxa"/>
            <w:vAlign w:val="bottom"/>
            <w:tcBorders>
              <w:top w:val="single" w:sz="8" w:color="auto"/>
            </w:tcBorders>
            <w:shd w:val="clear" w:color="auto" w:fill="CCFFCC"/>
          </w:tcPr>
          <w:p>
            <w:pPr>
              <w:ind w:left="520"/>
              <w:spacing w:after="0"/>
              <w:rPr>
                <w:sz w:val="20"/>
                <w:szCs w:val="20"/>
                <w:color w:val="auto"/>
              </w:rPr>
            </w:pPr>
            <w:r>
              <w:rPr>
                <w:rFonts w:ascii="Arial" w:cs="Arial" w:eastAsia="Arial" w:hAnsi="Arial"/>
                <w:sz w:val="18"/>
                <w:szCs w:val="18"/>
                <w:color w:val="auto"/>
                <w:w w:val="87"/>
              </w:rPr>
              <w:t>$0.94 – $5.06</w:t>
            </w: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(435,783)</w:t>
            </w:r>
          </w:p>
        </w:tc>
        <w:tc>
          <w:tcPr>
            <w:tcW w:w="2000" w:type="dxa"/>
            <w:vAlign w:val="bottom"/>
            <w:gridSpan w:val="2"/>
          </w:tcPr>
          <w:p>
            <w:pPr>
              <w:jc w:val="right"/>
              <w:ind w:right="1797"/>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620" w:type="dxa"/>
            <w:vAlign w:val="bottom"/>
            <w:gridSpan w:val="2"/>
          </w:tcPr>
          <w:p>
            <w:pPr>
              <w:ind w:left="520"/>
              <w:spacing w:after="0"/>
              <w:rPr>
                <w:sz w:val="20"/>
                <w:szCs w:val="20"/>
                <w:color w:val="auto"/>
              </w:rPr>
            </w:pPr>
            <w:r>
              <w:rPr>
                <w:rFonts w:ascii="Arial" w:cs="Arial" w:eastAsia="Arial" w:hAnsi="Arial"/>
                <w:sz w:val="18"/>
                <w:szCs w:val="18"/>
                <w:color w:val="auto"/>
                <w:w w:val="98"/>
              </w:rPr>
              <w:t>$0.94 – $1.76</w:t>
            </w:r>
          </w:p>
        </w:tc>
      </w:tr>
      <w:tr>
        <w:trPr>
          <w:trHeight w:val="210"/>
        </w:trPr>
        <w:tc>
          <w:tcPr>
            <w:tcW w:w="40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2013</w:t>
            </w:r>
          </w:p>
        </w:tc>
        <w:tc>
          <w:tcPr>
            <w:tcW w:w="2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18,427,478</w:t>
            </w: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40" w:type="dxa"/>
            <w:vAlign w:val="bottom"/>
            <w:tcBorders>
              <w:top w:val="single" w:sz="8" w:color="CCFFCC"/>
              <w:bottom w:val="single" w:sz="8" w:color="CCFFCC"/>
            </w:tcBorders>
            <w:shd w:val="clear" w:color="auto" w:fill="CCFFCC"/>
          </w:tcPr>
          <w:p>
            <w:pPr>
              <w:spacing w:after="0"/>
              <w:rPr>
                <w:sz w:val="18"/>
                <w:szCs w:val="18"/>
                <w:color w:val="auto"/>
              </w:rPr>
            </w:pPr>
          </w:p>
        </w:tc>
        <w:tc>
          <w:tcPr>
            <w:tcW w:w="1960" w:type="dxa"/>
            <w:vAlign w:val="bottom"/>
            <w:tcBorders>
              <w:top w:val="single" w:sz="8" w:color="auto"/>
              <w:bottom w:val="single" w:sz="8" w:color="auto"/>
            </w:tcBorders>
            <w:shd w:val="clear" w:color="auto" w:fill="CCFFCC"/>
          </w:tcPr>
          <w:p>
            <w:pPr>
              <w:jc w:val="right"/>
              <w:ind w:right="179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500" w:type="dxa"/>
            <w:vAlign w:val="bottom"/>
            <w:tcBorders>
              <w:top w:val="single" w:sz="8" w:color="auto"/>
              <w:bottom w:val="single" w:sz="8" w:color="auto"/>
            </w:tcBorders>
            <w:shd w:val="clear" w:color="auto" w:fill="CCFFCC"/>
          </w:tcPr>
          <w:p>
            <w:pPr>
              <w:ind w:left="520"/>
              <w:spacing w:after="0"/>
              <w:rPr>
                <w:sz w:val="20"/>
                <w:szCs w:val="20"/>
                <w:color w:val="auto"/>
              </w:rPr>
            </w:pPr>
            <w:r>
              <w:rPr>
                <w:rFonts w:ascii="Arial" w:cs="Arial" w:eastAsia="Arial" w:hAnsi="Arial"/>
                <w:sz w:val="18"/>
                <w:szCs w:val="18"/>
                <w:color w:val="auto"/>
                <w:w w:val="87"/>
              </w:rPr>
              <w:t>$0.94 – $5.06</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0" w:gutter="0" w:footer="0" w:header="0"/>
          <w:type w:val="continuous"/>
        </w:sectPr>
      </w:pPr>
    </w:p>
    <w:bookmarkStart w:id="53" w:name="page54"/>
    <w:bookmarkEnd w:id="53"/>
    <w:p>
      <w:pPr>
        <w:jc w:val="center"/>
        <w:ind w:right="-40"/>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243840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54" w:name="page55"/>
    <w:bookmarkEnd w:id="54"/>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outstanding warrants consisted of the following:</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(1) Series 1 and Series 2 Warrants</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part of the Merger, on July 19, 2012, the Legal Parent issued to I/P’s stockholders 8,299,115 warrants at an exercise price of $1.76 per share and contractual term of 5 years (“Series 1 Warrant”). These warrants bear down-round protection clauses and as a result, they were initially classified as a long-term derivative liability and recorded at fair value. In addition, I/P’s stockholders received another 7,660,722 warrants at an exercise price of $1.76 per share and contractual term of 5 years (“Series 2 Warrant”). As the Series 2 Warrants do not have down-round protection clauses, they were classified as equity.</w:t>
      </w:r>
    </w:p>
    <w:p>
      <w:pPr>
        <w:spacing w:after="0" w:line="188"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As part of the issuance of October 2012 Warrants, the down-round protection clause in 2,173,852 then outstanding Series 1 Warrants was removed. Because such warrants were no longer subject to down-round protection they were re-measured at fair value and classified as equity instruments. The overall impact of the removal of the down-round warrant protection, which was not material, was recorded during the year ended December 31, 2013. As a result, during the year ended December 31, 2013 the Company recorded an additional non-operating expense of $1,617, and re-classified $3,918 from derivative liabilities on account of warrants to stockholders’ equity.</w:t>
      </w:r>
    </w:p>
    <w:p>
      <w:pPr>
        <w:spacing w:after="0" w:line="1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During the year ended December 31, 2013, 166,447 Series 1 Warrants and 45,190 Series 2 Warrants were exercised. From Inception and through December 31, 2013, 4,821,547 Series 1 Warrants and 1,326,060 Series 2 Warrants were exercised.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 Conversion Warrants, Special Bridge Warrants and Reload Warrants</w:t>
      </w:r>
    </w:p>
    <w:p>
      <w:pPr>
        <w:spacing w:after="0" w:line="22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On July 19, 2012, the date of the Merger, the Legal Parent’s outstanding warrants included: (i) 148,390 derivative warrants, at an exercise price of $0.94 per share, with a remaining contractual term of 2.44 years (the “Special Bridge Warrants”); (ii) 101,445 derivative warrants, at an exercise price of $0.94 per share, with a remaining contractual term of 2.44 years (the “Conversion Warrants”); (iii) 887,330 derivative warrants, at an exercise price of $1.76 per share, with a remaining contractual term of 4.55 years (the “Preferential Reload Warrants”); and (iv) 814,408 warrants, classified as equity, at an exercise price of $1.76 per share, with a remaining contractual term of 4.55 years (the “non-Preferential Reload Warrants”). During both the year ended December 31, 2013, and from Inception through December 31, 2013, 127,192 Special Bridge Warrants and 86,954 Conversion Warrants were exercised. During the year ended December 31, 2013, 10,000 non-Preferential Reload Warrants were exercised. From Inception and through December 31, 2013, 179,520 non-Preferential Reload Warrants and 726,721 Preferential Reload Warrants were exercised.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(3) Initial Public Offering Warrants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Upon completion of its initial public offering, in June 2010, the Legal Parent issued 4,784,000 warrants at an exercise price of $5.06 per share. These warrants are publicly traded and are exercisable until June 21, 2015, at an exercise price of $5.06 per share. As of December 31, 2013, all of these warrants were outstanding and classified as equity instruments.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(4) October 2012 Warrants</w:t>
      </w:r>
    </w:p>
    <w:p>
      <w:pPr>
        <w:spacing w:after="0" w:line="225"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On October 12, 2012, the Company entered into an agreement with certain of its warrant holders, pursuant to which, on October 23 and 24, 2012, the holders exercised in cash 3,721,062 of their outstanding warrants, with an exercise price of $1.76 per share. In exchange, the Company granted such warrant holders unregistered warrants of the Company to purchase an aggregate of 3,000,000 shares of the Company’s common stock, par value $0.01 per share, at an exercise price of $5.06 per share (the “October 2012 Warrants”). The contractual life of these warrants is 2.66 years and because such warrants do not bear any down-round protection clauses they were classified as equity instruments. October 2012 Warrants were valued using the following assumptions: volatility: 68.1%, share price: $3.50-$3.77, risk free interest rate: 0.724% and dividend yield: 0%. The fair value of warrants issued in exchange for the exercise of the Company’s derivative warrants was accounted for as an inducement, therefore an amount of $2,883 was recorded as a non-operating expense. As of December 31, 2013, all October 2012 warrants were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Revenue from Settlement and Licensing Agreement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30, 2013, the Company’s subsidiary entered into a settlement and license agreement with Microsoft Corporation to resolve its patent litigation pending in the U.S. District Court for the Southern District of New York (I/P Engine, Inc. v. Microsoft Corporation, Case No. 1:13-cv-00688 (SDNY)). According to the agreement, Microsoft Corporation paid the Company $1,000 and agreed to pay 5% of any future amount Google pays for its use of the patents acquired from Lycos. The parties also agreed to a limitation on Microsoft Corporation's total liability, which would not impact the Company unless the amounts received from Google substantially exceed the judgment previously awarded. In addition, the parties also entered into a patent assignment agreement, pursuant to which Microsoft Corporation assigned six patents to I/P Engine. The assigned patents relate to telecommunications, data management, and other technology areas.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ind w:right="460" w:firstLine="648"/>
        <w:spacing w:after="0" w:line="262" w:lineRule="auto"/>
        <w:rPr>
          <w:sz w:val="20"/>
          <w:szCs w:val="20"/>
          <w:color w:val="auto"/>
        </w:rPr>
      </w:pPr>
      <w:r>
        <w:rPr>
          <w:rFonts w:ascii="Arial" w:cs="Arial" w:eastAsia="Arial" w:hAnsi="Arial"/>
          <w:sz w:val="18"/>
          <w:szCs w:val="18"/>
          <w:color w:val="auto"/>
        </w:rPr>
        <w:t>For the years ended December 31, 2013 and 2012, and the cumulative period from Inception through December 31, 2013, loss from continuing operations before taxes consists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Cumulative</w:t>
            </w:r>
          </w:p>
        </w:tc>
      </w:tr>
      <w:tr>
        <w:trPr>
          <w:trHeight w:val="234"/>
        </w:trPr>
        <w:tc>
          <w:tcPr>
            <w:tcW w:w="5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520" w:type="dxa"/>
            <w:vAlign w:val="bottom"/>
            <w:tcBorders>
              <w:bottom w:val="single" w:sz="8" w:color="auto"/>
            </w:tcBorders>
            <w:gridSpan w:val="4"/>
          </w:tcPr>
          <w:p>
            <w:pPr>
              <w:ind w:left="860"/>
              <w:spacing w:after="0"/>
              <w:rPr>
                <w:sz w:val="20"/>
                <w:szCs w:val="20"/>
                <w:color w:val="auto"/>
              </w:rPr>
            </w:pPr>
            <w:r>
              <w:rPr>
                <w:rFonts w:ascii="Arial" w:cs="Arial" w:eastAsia="Arial" w:hAnsi="Arial"/>
                <w:sz w:val="18"/>
                <w:szCs w:val="18"/>
                <w:b w:val="1"/>
                <w:bCs w:val="1"/>
                <w:color w:val="auto"/>
                <w:w w:val="93"/>
              </w:rPr>
              <w:t>For the year ended December 31,</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from Inception through</w:t>
            </w:r>
          </w:p>
        </w:tc>
      </w:tr>
      <w:tr>
        <w:trPr>
          <w:trHeight w:val="210"/>
        </w:trPr>
        <w:tc>
          <w:tcPr>
            <w:tcW w:w="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40" w:type="dxa"/>
            <w:vAlign w:val="bottom"/>
          </w:tcPr>
          <w:p>
            <w:pPr>
              <w:ind w:left="860"/>
              <w:spacing w:after="0"/>
              <w:rPr>
                <w:sz w:val="20"/>
                <w:szCs w:val="20"/>
                <w:color w:val="auto"/>
              </w:rPr>
            </w:pPr>
            <w:r>
              <w:rPr>
                <w:rFonts w:ascii="Arial" w:cs="Arial" w:eastAsia="Arial" w:hAnsi="Arial"/>
                <w:sz w:val="18"/>
                <w:szCs w:val="18"/>
                <w:b w:val="1"/>
                <w:bCs w:val="1"/>
                <w:color w:val="auto"/>
              </w:rPr>
              <w:t>2013</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b w:val="1"/>
                <w:bCs w:val="1"/>
                <w:color w:val="auto"/>
              </w:rPr>
              <w:t>2012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2013</w:t>
            </w:r>
          </w:p>
        </w:tc>
      </w:tr>
      <w:tr>
        <w:trPr>
          <w:trHeight w:val="210"/>
        </w:trPr>
        <w:tc>
          <w:tcPr>
            <w:tcW w:w="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U.S.</w:t>
            </w:r>
          </w:p>
        </w:tc>
        <w:tc>
          <w:tcPr>
            <w:tcW w:w="4420" w:type="dxa"/>
            <w:vAlign w:val="bottom"/>
            <w:tcBorders>
              <w:top w:val="single" w:sz="8" w:color="CCFFCC"/>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(41,204)</w:t>
            </w:r>
          </w:p>
        </w:tc>
        <w:tc>
          <w:tcPr>
            <w:tcW w:w="120" w:type="dxa"/>
            <w:vAlign w:val="bottom"/>
            <w:tcBorders>
              <w:top w:val="single" w:sz="8" w:color="CCFFCC"/>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jc w:val="right"/>
              <w:ind w:right="115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(17,673)</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(61,631)</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Non-U.S.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(544)</w:t>
            </w:r>
          </w:p>
        </w:tc>
        <w:tc>
          <w:tcPr>
            <w:tcW w:w="1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r>
      <w:tr>
        <w:trPr>
          <w:trHeight w:val="210"/>
        </w:trPr>
        <w:tc>
          <w:tcPr>
            <w:tcW w:w="500" w:type="dxa"/>
            <w:vAlign w:val="bottom"/>
            <w:tcBorders>
              <w:top w:val="single" w:sz="8" w:color="CCFFCC"/>
              <w:bottom w:val="single" w:sz="8" w:color="CCFFCC"/>
            </w:tcBorders>
            <w:shd w:val="clear" w:color="auto" w:fill="CCFFCC"/>
          </w:tcPr>
          <w:p>
            <w:pPr>
              <w:spacing w:after="0"/>
              <w:rPr>
                <w:sz w:val="18"/>
                <w:szCs w:val="18"/>
                <w:color w:val="auto"/>
              </w:rPr>
            </w:pPr>
          </w:p>
        </w:tc>
        <w:tc>
          <w:tcPr>
            <w:tcW w:w="4420" w:type="dxa"/>
            <w:vAlign w:val="bottom"/>
            <w:tcBorders>
              <w:top w:val="single" w:sz="8" w:color="CCFFCC"/>
              <w:bottom w:val="single" w:sz="8" w:color="CCFFCC"/>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(41,748)</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320" w:type="dxa"/>
            <w:vAlign w:val="bottom"/>
            <w:tcBorders>
              <w:top w:val="single" w:sz="8" w:color="auto"/>
              <w:bottom w:val="single" w:sz="8" w:color="auto"/>
            </w:tcBorders>
            <w:shd w:val="clear" w:color="auto" w:fill="CCFFCC"/>
          </w:tcPr>
          <w:p>
            <w:pPr>
              <w:jc w:val="right"/>
              <w:ind w:right="115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(18,409)</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(62,911)</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500" w:type="dxa"/>
            <w:vAlign w:val="bottom"/>
          </w:tcPr>
          <w:p>
            <w:pPr>
              <w:spacing w:after="0"/>
              <w:rPr>
                <w:sz w:val="24"/>
                <w:szCs w:val="24"/>
                <w:color w:val="auto"/>
              </w:rPr>
            </w:pPr>
          </w:p>
        </w:tc>
        <w:tc>
          <w:tcPr>
            <w:tcW w:w="10920" w:type="dxa"/>
            <w:vAlign w:val="bottom"/>
            <w:gridSpan w:val="10"/>
          </w:tcPr>
          <w:p>
            <w:pPr>
              <w:ind w:left="160"/>
              <w:spacing w:after="0"/>
              <w:rPr>
                <w:sz w:val="20"/>
                <w:szCs w:val="20"/>
                <w:color w:val="auto"/>
              </w:rPr>
            </w:pPr>
            <w:r>
              <w:rPr>
                <w:rFonts w:ascii="Arial" w:cs="Arial" w:eastAsia="Arial" w:hAnsi="Arial"/>
                <w:sz w:val="18"/>
                <w:szCs w:val="18"/>
                <w:color w:val="auto"/>
              </w:rPr>
              <w:t>Income tax expense attributable to the operating loss of continuing and discontinued operations consists of the following:</w:t>
            </w:r>
          </w:p>
        </w:tc>
      </w:tr>
      <w:tr>
        <w:trPr>
          <w:trHeight w:val="216"/>
        </w:trPr>
        <w:tc>
          <w:tcPr>
            <w:tcW w:w="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Cumulative</w:t>
            </w:r>
          </w:p>
        </w:tc>
      </w:tr>
      <w:tr>
        <w:trPr>
          <w:trHeight w:val="234"/>
        </w:trPr>
        <w:tc>
          <w:tcPr>
            <w:tcW w:w="5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520" w:type="dxa"/>
            <w:vAlign w:val="bottom"/>
            <w:tcBorders>
              <w:bottom w:val="single" w:sz="8" w:color="auto"/>
            </w:tcBorders>
            <w:gridSpan w:val="4"/>
          </w:tcPr>
          <w:p>
            <w:pPr>
              <w:ind w:left="860"/>
              <w:spacing w:after="0"/>
              <w:rPr>
                <w:sz w:val="20"/>
                <w:szCs w:val="20"/>
                <w:color w:val="auto"/>
              </w:rPr>
            </w:pPr>
            <w:r>
              <w:rPr>
                <w:rFonts w:ascii="Arial" w:cs="Arial" w:eastAsia="Arial" w:hAnsi="Arial"/>
                <w:sz w:val="18"/>
                <w:szCs w:val="18"/>
                <w:b w:val="1"/>
                <w:bCs w:val="1"/>
                <w:color w:val="auto"/>
                <w:w w:val="93"/>
              </w:rPr>
              <w:t>For the year ended December 31,</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from Inception through</w:t>
            </w:r>
          </w:p>
        </w:tc>
      </w:tr>
      <w:tr>
        <w:trPr>
          <w:trHeight w:val="260"/>
        </w:trPr>
        <w:tc>
          <w:tcPr>
            <w:tcW w:w="500" w:type="dxa"/>
            <w:vAlign w:val="bottom"/>
            <w:tcBorders>
              <w:bottom w:val="single" w:sz="8" w:color="CCFFCC"/>
            </w:tcBorders>
          </w:tcPr>
          <w:p>
            <w:pPr>
              <w:spacing w:after="0"/>
              <w:rPr>
                <w:sz w:val="22"/>
                <w:szCs w:val="22"/>
                <w:color w:val="auto"/>
              </w:rPr>
            </w:pPr>
          </w:p>
        </w:tc>
        <w:tc>
          <w:tcPr>
            <w:tcW w:w="4420" w:type="dxa"/>
            <w:vAlign w:val="bottom"/>
            <w:tcBorders>
              <w:bottom w:val="single" w:sz="8" w:color="CCFFCC"/>
            </w:tcBorders>
          </w:tcPr>
          <w:p>
            <w:pPr>
              <w:spacing w:after="0"/>
              <w:rPr>
                <w:sz w:val="22"/>
                <w:szCs w:val="22"/>
                <w:color w:val="auto"/>
              </w:rPr>
            </w:pPr>
          </w:p>
        </w:tc>
        <w:tc>
          <w:tcPr>
            <w:tcW w:w="134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2013</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2012</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December 31, 2013</w:t>
            </w:r>
          </w:p>
        </w:tc>
        <w:tc>
          <w:tcPr>
            <w:tcW w:w="100" w:type="dxa"/>
            <w:vAlign w:val="bottom"/>
            <w:tcBorders>
              <w:bottom w:val="single" w:sz="8" w:color="CCFFCC"/>
            </w:tcBorders>
          </w:tcPr>
          <w:p>
            <w:pPr>
              <w:spacing w:after="0"/>
              <w:rPr>
                <w:sz w:val="22"/>
                <w:szCs w:val="22"/>
                <w:color w:val="auto"/>
              </w:rPr>
            </w:pPr>
          </w:p>
        </w:tc>
      </w:tr>
    </w:tbl>
    <w:p>
      <w:pPr>
        <w:sectPr>
          <w:pgSz w:w="11900" w:h="16900" w:orient="portrait"/>
          <w:cols w:equalWidth="0" w:num="1">
            <w:col w:w="11420"/>
          </w:cols>
          <w:pgMar w:left="240" w:top="341" w:right="23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9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U.S. (continuing operations)</w:t>
            </w:r>
          </w:p>
        </w:tc>
        <w:tc>
          <w:tcPr>
            <w:tcW w:w="360" w:type="dxa"/>
            <w:vAlign w:val="bottom"/>
            <w:shd w:val="clear" w:color="auto" w:fill="CCFFCC"/>
          </w:tcPr>
          <w:p>
            <w:pPr>
              <w:spacing w:after="0"/>
              <w:rPr>
                <w:sz w:val="19"/>
                <w:szCs w:val="19"/>
                <w:color w:val="auto"/>
              </w:rPr>
            </w:pPr>
          </w:p>
        </w:tc>
        <w:tc>
          <w:tcPr>
            <w:tcW w:w="17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w:t>
            </w:r>
          </w:p>
        </w:tc>
        <w:tc>
          <w:tcPr>
            <w:tcW w:w="2760" w:type="dxa"/>
            <w:vAlign w:val="bottom"/>
            <w:tcBorders>
              <w:top w:val="single" w:sz="8" w:color="CCFFCC"/>
            </w:tcBorders>
            <w:gridSpan w:val="2"/>
          </w:tcPr>
          <w:p>
            <w:pPr>
              <w:spacing w:after="0"/>
              <w:rPr>
                <w:sz w:val="18"/>
                <w:szCs w:val="18"/>
                <w:color w:val="auto"/>
              </w:rPr>
            </w:pPr>
          </w:p>
        </w:tc>
        <w:tc>
          <w:tcPr>
            <w:tcW w:w="360" w:type="dxa"/>
            <w:vAlign w:val="bottom"/>
            <w:tcBorders>
              <w:top w:val="single" w:sz="8" w:color="CCFFCC"/>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840" w:type="dxa"/>
            <w:vAlign w:val="bottom"/>
            <w:tcBorders>
              <w:top w:val="single" w:sz="8" w:color="CCFFCC"/>
            </w:tcBorders>
            <w:gridSpan w:val="2"/>
          </w:tcPr>
          <w:p>
            <w:pPr>
              <w:ind w:left="14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CCFFCC"/>
            </w:tcBorders>
          </w:tcPr>
          <w:p>
            <w:pPr>
              <w:jc w:val="right"/>
              <w:ind w:right="7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FFC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FFCC"/>
            </w:tcBorders>
            <w:gridSpan w:val="2"/>
          </w:tcPr>
          <w:p>
            <w:pPr>
              <w:jc w:val="right"/>
              <w:ind w:right="705"/>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FFCC"/>
            </w:tcBorders>
            <w:gridSpan w:val="2"/>
          </w:tcPr>
          <w:p>
            <w:pPr>
              <w:ind w:left="9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Deferred</w:t>
            </w:r>
          </w:p>
        </w:tc>
        <w:tc>
          <w:tcPr>
            <w:tcW w:w="36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ind w:left="146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ind w:left="92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ind w:left="14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900" w:type="dxa"/>
            <w:vAlign w:val="bottom"/>
            <w:gridSpan w:val="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Non-U.S (discontinued operations)</w:t>
            </w:r>
          </w:p>
        </w:tc>
        <w:tc>
          <w:tcPr>
            <w:tcW w:w="36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w:t>
            </w:r>
          </w:p>
        </w:tc>
        <w:tc>
          <w:tcPr>
            <w:tcW w:w="2260" w:type="dxa"/>
            <w:vAlign w:val="bottom"/>
            <w:tcBorders>
              <w:top w:val="single" w:sz="8" w:color="CCFFCC"/>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1840" w:type="dxa"/>
            <w:vAlign w:val="bottom"/>
            <w:tcBorders>
              <w:top w:val="single" w:sz="8" w:color="CCFFCC"/>
            </w:tcBorders>
            <w:gridSpan w:val="2"/>
          </w:tcPr>
          <w:p>
            <w:pPr>
              <w:jc w:val="right"/>
              <w:ind w:right="120"/>
              <w:spacing w:after="0"/>
              <w:rPr>
                <w:sz w:val="20"/>
                <w:szCs w:val="20"/>
                <w:color w:val="auto"/>
              </w:rPr>
            </w:pPr>
            <w:r>
              <w:rPr>
                <w:rFonts w:ascii="Arial" w:cs="Arial" w:eastAsia="Arial" w:hAnsi="Arial"/>
                <w:sz w:val="18"/>
                <w:szCs w:val="18"/>
                <w:b w:val="1"/>
                <w:bCs w:val="1"/>
                <w:color w:val="auto"/>
              </w:rPr>
              <w:t>(245)</w:t>
            </w:r>
          </w:p>
        </w:tc>
        <w:tc>
          <w:tcPr>
            <w:tcW w:w="880" w:type="dxa"/>
            <w:vAlign w:val="bottom"/>
            <w:tcBorders>
              <w:top w:val="single" w:sz="8" w:color="CCFFCC"/>
            </w:tcBorders>
          </w:tcPr>
          <w:p>
            <w:pPr>
              <w:spacing w:after="0"/>
              <w:rPr>
                <w:sz w:val="18"/>
                <w:szCs w:val="18"/>
                <w:color w:val="auto"/>
              </w:rPr>
            </w:pPr>
          </w:p>
        </w:tc>
        <w:tc>
          <w:tcPr>
            <w:tcW w:w="1220" w:type="dxa"/>
            <w:vAlign w:val="bottom"/>
            <w:tcBorders>
              <w:top w:val="single" w:sz="8" w:color="CCFFCC"/>
            </w:tcBorders>
            <w:gridSpan w:val="2"/>
          </w:tcPr>
          <w:p>
            <w:pPr>
              <w:jc w:val="right"/>
              <w:ind w:right="60"/>
              <w:spacing w:after="0"/>
              <w:rPr>
                <w:sz w:val="20"/>
                <w:szCs w:val="20"/>
                <w:color w:val="auto"/>
              </w:rPr>
            </w:pPr>
            <w:r>
              <w:rPr>
                <w:rFonts w:ascii="Arial" w:cs="Arial" w:eastAsia="Arial" w:hAnsi="Arial"/>
                <w:sz w:val="18"/>
                <w:szCs w:val="18"/>
                <w:color w:val="auto"/>
              </w:rPr>
              <w:t>(112)</w:t>
            </w:r>
          </w:p>
        </w:tc>
        <w:tc>
          <w:tcPr>
            <w:tcW w:w="60" w:type="dxa"/>
            <w:vAlign w:val="bottom"/>
            <w:tcBorders>
              <w:top w:val="single" w:sz="8" w:color="CCFFCC"/>
            </w:tcBorders>
          </w:tcPr>
          <w:p>
            <w:pPr>
              <w:spacing w:after="0"/>
              <w:rPr>
                <w:sz w:val="18"/>
                <w:szCs w:val="18"/>
                <w:color w:val="auto"/>
              </w:rPr>
            </w:pPr>
          </w:p>
        </w:tc>
        <w:tc>
          <w:tcPr>
            <w:tcW w:w="860" w:type="dxa"/>
            <w:vAlign w:val="bottom"/>
            <w:tcBorders>
              <w:top w:val="single" w:sz="8" w:color="CCFFCC"/>
            </w:tcBorders>
          </w:tcPr>
          <w:p>
            <w:pPr>
              <w:spacing w:after="0"/>
              <w:rPr>
                <w:sz w:val="18"/>
                <w:szCs w:val="18"/>
                <w:color w:val="auto"/>
              </w:rPr>
            </w:pPr>
          </w:p>
        </w:tc>
        <w:tc>
          <w:tcPr>
            <w:tcW w:w="1280" w:type="dxa"/>
            <w:vAlign w:val="bottom"/>
            <w:tcBorders>
              <w:top w:val="single" w:sz="8" w:color="CCFFCC"/>
            </w:tcBorders>
            <w:gridSpan w:val="2"/>
          </w:tcPr>
          <w:p>
            <w:pPr>
              <w:ind w:left="780"/>
              <w:spacing w:after="0"/>
              <w:rPr>
                <w:sz w:val="20"/>
                <w:szCs w:val="20"/>
                <w:color w:val="auto"/>
              </w:rPr>
            </w:pPr>
            <w:r>
              <w:rPr>
                <w:rFonts w:ascii="Arial" w:cs="Arial" w:eastAsia="Arial" w:hAnsi="Arial"/>
                <w:sz w:val="18"/>
                <w:szCs w:val="18"/>
                <w:color w:val="auto"/>
              </w:rPr>
              <w:t>(357)</w:t>
            </w: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Deferred</w:t>
            </w:r>
          </w:p>
        </w:tc>
        <w:tc>
          <w:tcPr>
            <w:tcW w:w="360" w:type="dxa"/>
            <w:vAlign w:val="bottom"/>
            <w:tcBorders>
              <w:bottom w:val="single" w:sz="8" w:color="auto"/>
            </w:tcBorders>
            <w:shd w:val="clear" w:color="auto" w:fill="CCFFCC"/>
          </w:tcPr>
          <w:p>
            <w:pPr>
              <w:spacing w:after="0"/>
              <w:rPr>
                <w:sz w:val="18"/>
                <w:szCs w:val="18"/>
                <w:color w:val="auto"/>
              </w:rPr>
            </w:pPr>
          </w:p>
        </w:tc>
        <w:tc>
          <w:tcPr>
            <w:tcW w:w="1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ind w:left="9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FFC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0"/>
              </w:rPr>
              <w:t>(312)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2"/>
          </w:tcPr>
          <w:p>
            <w:pPr>
              <w:ind w:left="280"/>
              <w:spacing w:after="0"/>
              <w:rPr>
                <w:sz w:val="20"/>
                <w:szCs w:val="20"/>
                <w:color w:val="auto"/>
              </w:rPr>
            </w:pPr>
            <w:r>
              <w:rPr>
                <w:rFonts w:ascii="Arial" w:cs="Arial" w:eastAsia="Arial" w:hAnsi="Arial"/>
                <w:sz w:val="18"/>
                <w:szCs w:val="18"/>
                <w:color w:val="auto"/>
              </w:rPr>
              <w:t>F-18</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56" w:name="page57"/>
    <w:bookmarkEnd w:id="56"/>
    <w:p>
      <w:pPr>
        <w:jc w:val="both"/>
        <w:ind w:right="20" w:firstLine="648"/>
        <w:spacing w:after="0" w:line="277" w:lineRule="auto"/>
        <w:rPr>
          <w:sz w:val="20"/>
          <w:szCs w:val="20"/>
          <w:color w:val="auto"/>
        </w:rPr>
      </w:pPr>
      <w:r>
        <w:rPr>
          <w:rFonts w:ascii="Arial" w:cs="Arial" w:eastAsia="Arial" w:hAnsi="Arial"/>
          <w:sz w:val="18"/>
          <w:szCs w:val="18"/>
          <w:color w:val="auto"/>
        </w:rPr>
        <w:t>Income tax expense attributable to continuing operations differed from the amounts computed by applying the U.S. federal income tax rate of 35% to loss from continuing operations before taxes on income as a result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from 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41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For the year ended December 31, 2012</w:t>
            </w:r>
          </w:p>
        </w:tc>
        <w:tc>
          <w:tcPr>
            <w:tcW w:w="200" w:type="dxa"/>
            <w:vAlign w:val="bottom"/>
          </w:tcPr>
          <w:p>
            <w:pPr>
              <w:spacing w:after="0"/>
              <w:rPr>
                <w:sz w:val="20"/>
                <w:szCs w:val="20"/>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Loss from continuing operations before taxes on income</w:t>
            </w:r>
          </w:p>
        </w:tc>
        <w:tc>
          <w:tcPr>
            <w:tcW w:w="1140" w:type="dxa"/>
            <w:vAlign w:val="bottom"/>
            <w:shd w:val="clear" w:color="auto" w:fill="CCFFCC"/>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8"/>
              </w:rPr>
              <w:t>(41,748)</w:t>
            </w:r>
          </w:p>
        </w:tc>
        <w:tc>
          <w:tcPr>
            <w:tcW w:w="280" w:type="dxa"/>
            <w:vAlign w:val="bottom"/>
            <w:shd w:val="clear" w:color="auto" w:fill="CCFFCC"/>
          </w:tcPr>
          <w:p>
            <w:pPr>
              <w:spacing w:after="0"/>
              <w:rPr>
                <w:sz w:val="18"/>
                <w:szCs w:val="18"/>
                <w:color w:val="auto"/>
              </w:rPr>
            </w:pPr>
          </w:p>
        </w:tc>
        <w:tc>
          <w:tcPr>
            <w:tcW w:w="4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(18,409)</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(62,911)</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Tax rate</w:t>
            </w:r>
          </w:p>
        </w:tc>
        <w:tc>
          <w:tcPr>
            <w:tcW w:w="1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35 %</w:t>
            </w:r>
          </w:p>
        </w:tc>
        <w:tc>
          <w:tcPr>
            <w:tcW w:w="42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35 %</w:t>
            </w:r>
          </w:p>
        </w:tc>
        <w:tc>
          <w:tcPr>
            <w:tcW w:w="20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6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Computed "expected" tax benefit</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14,612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6,443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Foreign tax rate differential</w:t>
            </w:r>
          </w:p>
        </w:tc>
        <w:tc>
          <w:tcPr>
            <w:tcW w:w="11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(122)</w:t>
            </w:r>
          </w:p>
        </w:tc>
        <w:tc>
          <w:tcPr>
            <w:tcW w:w="42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FFCC"/>
          </w:tcPr>
          <w:p>
            <w:pPr>
              <w:spacing w:after="0"/>
              <w:rPr>
                <w:sz w:val="18"/>
                <w:szCs w:val="18"/>
                <w:color w:val="auto"/>
              </w:rPr>
            </w:pPr>
          </w:p>
        </w:tc>
        <w:tc>
          <w:tcPr>
            <w:tcW w:w="1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(17,085)</w:t>
            </w:r>
          </w:p>
        </w:tc>
        <w:tc>
          <w:tcPr>
            <w:tcW w:w="4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(7,461)</w:t>
            </w:r>
          </w:p>
        </w:tc>
        <w:tc>
          <w:tcPr>
            <w:tcW w:w="20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(25,777)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Nondeductible expenses</w:t>
            </w:r>
          </w:p>
        </w:tc>
        <w:tc>
          <w:tcPr>
            <w:tcW w:w="11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(125)</w:t>
            </w:r>
          </w:p>
        </w:tc>
        <w:tc>
          <w:tcPr>
            <w:tcW w:w="42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FFCC"/>
          </w:tcPr>
          <w:p>
            <w:pPr>
              <w:spacing w:after="0"/>
              <w:rPr>
                <w:sz w:val="18"/>
                <w:szCs w:val="18"/>
                <w:color w:val="auto"/>
              </w:rPr>
            </w:pPr>
          </w:p>
        </w:tc>
        <w:tc>
          <w:tcPr>
            <w:tcW w:w="1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State and local income tax, net of federal income tax expense</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2,714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Other items</w:t>
            </w:r>
          </w:p>
        </w:tc>
        <w:tc>
          <w:tcPr>
            <w:tcW w:w="114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FFCC"/>
          </w:tcPr>
          <w:p>
            <w:pPr>
              <w:spacing w:after="0"/>
              <w:rPr>
                <w:sz w:val="18"/>
                <w:szCs w:val="18"/>
                <w:color w:val="auto"/>
              </w:rPr>
            </w:pP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 expense attributable to continuing operations</w:t>
            </w: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deferred tax assets (liabilities) arise from the following types of temporary differences: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1"/>
              </w:rPr>
              <w:t>For the 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FFCC"/>
            </w:tcBorders>
          </w:tcPr>
          <w:p>
            <w:pPr>
              <w:spacing w:after="0"/>
              <w:rPr>
                <w:sz w:val="18"/>
                <w:szCs w:val="18"/>
                <w:color w:val="auto"/>
              </w:rPr>
            </w:pPr>
          </w:p>
        </w:tc>
        <w:tc>
          <w:tcPr>
            <w:tcW w:w="36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bottom w:val="single" w:sz="8" w:color="CCFF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Acquired patents (see also Note 5)</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Liability for accrued employee vacation and severance pay</w:t>
            </w:r>
          </w:p>
        </w:tc>
        <w:tc>
          <w:tcPr>
            <w:tcW w:w="3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8,104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36,605</w:t>
            </w:r>
          </w:p>
        </w:tc>
        <w:tc>
          <w:tcPr>
            <w:tcW w:w="140" w:type="dxa"/>
            <w:vAlign w:val="bottom"/>
            <w:shd w:val="clear" w:color="auto" w:fill="CCFFCC"/>
          </w:tcPr>
          <w:p>
            <w:pPr>
              <w:spacing w:after="0"/>
              <w:rPr>
                <w:sz w:val="18"/>
                <w:szCs w:val="18"/>
                <w:color w:val="auto"/>
              </w:rPr>
            </w:pPr>
          </w:p>
        </w:tc>
        <w:tc>
          <w:tcPr>
            <w:tcW w:w="300" w:type="dxa"/>
            <w:vAlign w:val="bottom"/>
            <w:tcBorders>
              <w:bottom w:val="single" w:sz="8" w:color="auto"/>
            </w:tcBorders>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23,127</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44,716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Less: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(44,445)</w:t>
            </w:r>
          </w:p>
        </w:tc>
        <w:tc>
          <w:tcPr>
            <w:tcW w:w="3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Deferred tax liability for acquired technology (refer to Note 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(264)</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Net deferred tax assets</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valuation allowance primarily relates to operating loss carryforwards ("NOL") that, in the judgment of management, are not more-likely-than-not to be realized. In assessing the realizability of deferred tax assets, management considers whether it is more-likely-than-not that some portion or all of the deferred tax assets will not be realized. The following table presents the changes to valuation allowance during the periods presented:</w:t>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42861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Charged to cost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42861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2011</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Charged to cost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42861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Acquisitions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42861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2012</w:t>
      </w:r>
    </w:p>
    <w:p>
      <w:pPr>
        <w:spacing w:after="0" w:line="27" w:lineRule="exact"/>
        <w:rPr>
          <w:sz w:val="20"/>
          <w:szCs w:val="20"/>
          <w:color w:val="auto"/>
        </w:rPr>
      </w:pPr>
    </w:p>
    <w:p>
      <w:pPr>
        <w:ind w:left="180" w:right="2259"/>
        <w:spacing w:after="0" w:line="361" w:lineRule="auto"/>
        <w:rPr>
          <w:sz w:val="20"/>
          <w:szCs w:val="20"/>
          <w:color w:val="auto"/>
        </w:rPr>
      </w:pPr>
      <w:r>
        <w:rPr>
          <w:rFonts w:ascii="Arial" w:cs="Arial" w:eastAsia="Arial" w:hAnsi="Arial"/>
          <w:sz w:val="15"/>
          <w:szCs w:val="15"/>
          <w:color w:val="auto"/>
        </w:rPr>
        <w:t>Charged to cost and expenses – continuing operations Charged to cost and expenses –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542861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2861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542861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2013</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2979"/>
        <w:spacing w:after="0"/>
        <w:rPr>
          <w:sz w:val="20"/>
          <w:szCs w:val="20"/>
          <w:color w:val="auto"/>
        </w:rPr>
      </w:pPr>
      <w:r>
        <w:rPr>
          <w:rFonts w:ascii="Arial" w:cs="Arial" w:eastAsia="Arial" w:hAnsi="Arial"/>
          <w:sz w:val="18"/>
          <w:szCs w:val="18"/>
          <w:b w:val="1"/>
          <w:bCs w:val="1"/>
          <w:color w:val="auto"/>
        </w:rPr>
        <w:t>Amount</w:t>
      </w:r>
    </w:p>
    <w:p>
      <w:pPr>
        <w:spacing w:after="0" w:line="27" w:lineRule="exact"/>
        <w:rPr>
          <w:sz w:val="20"/>
          <w:szCs w:val="20"/>
          <w:color w:val="auto"/>
        </w:rPr>
      </w:pPr>
    </w:p>
    <w:p>
      <w:pPr>
        <w:ind w:left="1021" w:hanging="1021"/>
        <w:spacing w:after="0"/>
        <w:tabs>
          <w:tab w:leader="none" w:pos="10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801"/>
        <w:spacing w:after="0"/>
        <w:rPr>
          <w:rFonts w:ascii="Arial" w:cs="Arial" w:eastAsia="Arial" w:hAnsi="Arial"/>
          <w:sz w:val="18"/>
          <w:szCs w:val="18"/>
          <w:color w:val="auto"/>
        </w:rPr>
      </w:pPr>
      <w:r>
        <w:rPr>
          <w:rFonts w:ascii="Arial" w:cs="Arial" w:eastAsia="Arial" w:hAnsi="Arial"/>
          <w:sz w:val="15"/>
          <w:szCs w:val="15"/>
          <w:color w:val="auto"/>
        </w:rPr>
        <w:t>1,231</w:t>
      </w:r>
    </w:p>
    <w:p>
      <w:pPr>
        <w:spacing w:after="0" w:line="255" w:lineRule="exact"/>
        <w:rPr>
          <w:sz w:val="20"/>
          <w:szCs w:val="20"/>
          <w:color w:val="auto"/>
        </w:rPr>
      </w:pPr>
    </w:p>
    <w:p>
      <w:pPr>
        <w:jc w:val="right"/>
        <w:ind w:right="3040"/>
        <w:spacing w:after="0"/>
        <w:rPr>
          <w:sz w:val="20"/>
          <w:szCs w:val="20"/>
          <w:color w:val="auto"/>
        </w:rPr>
      </w:pPr>
      <w:r>
        <w:rPr>
          <w:rFonts w:ascii="Arial" w:cs="Arial" w:eastAsia="Arial" w:hAnsi="Arial"/>
          <w:sz w:val="18"/>
          <w:szCs w:val="18"/>
          <w:b w:val="1"/>
          <w:bCs w:val="1"/>
          <w:color w:val="auto"/>
        </w:rPr>
        <w:t>1,231</w:t>
      </w:r>
    </w:p>
    <w:p>
      <w:pPr>
        <w:spacing w:after="0" w:line="27" w:lineRule="exact"/>
        <w:rPr>
          <w:sz w:val="20"/>
          <w:szCs w:val="20"/>
          <w:color w:val="auto"/>
        </w:rPr>
      </w:pPr>
    </w:p>
    <w:p>
      <w:pPr>
        <w:jc w:val="right"/>
        <w:ind w:right="3040"/>
        <w:spacing w:after="0"/>
        <w:rPr>
          <w:sz w:val="20"/>
          <w:szCs w:val="20"/>
          <w:color w:val="auto"/>
        </w:rPr>
      </w:pPr>
      <w:r>
        <w:rPr>
          <w:rFonts w:ascii="Arial" w:cs="Arial" w:eastAsia="Arial" w:hAnsi="Arial"/>
          <w:sz w:val="18"/>
          <w:szCs w:val="18"/>
          <w:color w:val="auto"/>
        </w:rPr>
        <w:t>12,240</w:t>
      </w:r>
    </w:p>
    <w:p>
      <w:pPr>
        <w:spacing w:after="0" w:line="9" w:lineRule="exact"/>
        <w:rPr>
          <w:sz w:val="20"/>
          <w:szCs w:val="20"/>
          <w:color w:val="auto"/>
        </w:rPr>
      </w:pPr>
    </w:p>
    <w:p>
      <w:pPr>
        <w:jc w:val="right"/>
        <w:ind w:right="3040"/>
        <w:spacing w:after="0"/>
        <w:rPr>
          <w:sz w:val="20"/>
          <w:szCs w:val="20"/>
          <w:color w:val="auto"/>
        </w:rPr>
      </w:pPr>
      <w:r>
        <w:rPr>
          <w:rFonts w:ascii="Arial" w:cs="Arial" w:eastAsia="Arial" w:hAnsi="Arial"/>
          <w:sz w:val="18"/>
          <w:szCs w:val="18"/>
          <w:color w:val="auto"/>
        </w:rPr>
        <w:t>10,803</w:t>
      </w:r>
    </w:p>
    <w:p>
      <w:pPr>
        <w:spacing w:after="0" w:line="220" w:lineRule="exact"/>
        <w:rPr>
          <w:sz w:val="20"/>
          <w:szCs w:val="20"/>
          <w:color w:val="auto"/>
        </w:rPr>
      </w:pPr>
    </w:p>
    <w:p>
      <w:pPr>
        <w:jc w:val="right"/>
        <w:ind w:right="3040"/>
        <w:spacing w:after="0"/>
        <w:rPr>
          <w:sz w:val="20"/>
          <w:szCs w:val="20"/>
          <w:color w:val="auto"/>
        </w:rPr>
      </w:pPr>
      <w:r>
        <w:rPr>
          <w:rFonts w:ascii="Arial" w:cs="Arial" w:eastAsia="Arial" w:hAnsi="Arial"/>
          <w:sz w:val="18"/>
          <w:szCs w:val="18"/>
          <w:b w:val="1"/>
          <w:bCs w:val="1"/>
          <w:color w:val="auto"/>
        </w:rPr>
        <w:t>24,274</w:t>
      </w:r>
    </w:p>
    <w:p>
      <w:pPr>
        <w:spacing w:after="0" w:line="27" w:lineRule="exact"/>
        <w:rPr>
          <w:sz w:val="20"/>
          <w:szCs w:val="20"/>
          <w:color w:val="auto"/>
        </w:rPr>
      </w:pPr>
    </w:p>
    <w:p>
      <w:pPr>
        <w:jc w:val="right"/>
        <w:ind w:right="3040"/>
        <w:spacing w:after="0"/>
        <w:rPr>
          <w:sz w:val="20"/>
          <w:szCs w:val="20"/>
          <w:color w:val="auto"/>
        </w:rPr>
      </w:pPr>
      <w:r>
        <w:rPr>
          <w:rFonts w:ascii="Arial" w:cs="Arial" w:eastAsia="Arial" w:hAnsi="Arial"/>
          <w:sz w:val="18"/>
          <w:szCs w:val="18"/>
          <w:color w:val="auto"/>
        </w:rPr>
        <w:t>17,085</w:t>
      </w:r>
    </w:p>
    <w:p>
      <w:pPr>
        <w:spacing w:after="0" w:line="9" w:lineRule="exact"/>
        <w:rPr>
          <w:sz w:val="20"/>
          <w:szCs w:val="20"/>
          <w:color w:val="auto"/>
        </w:rPr>
      </w:pPr>
    </w:p>
    <w:p>
      <w:pPr>
        <w:jc w:val="right"/>
        <w:ind w:right="3040"/>
        <w:spacing w:after="0"/>
        <w:rPr>
          <w:sz w:val="20"/>
          <w:szCs w:val="20"/>
          <w:color w:val="auto"/>
        </w:rPr>
      </w:pPr>
      <w:r>
        <w:rPr>
          <w:rFonts w:ascii="Arial" w:cs="Arial" w:eastAsia="Arial" w:hAnsi="Arial"/>
          <w:sz w:val="18"/>
          <w:szCs w:val="18"/>
          <w:color w:val="auto"/>
        </w:rPr>
        <w:t>3,086</w:t>
      </w:r>
    </w:p>
    <w:p>
      <w:pPr>
        <w:spacing w:after="0" w:line="220" w:lineRule="exact"/>
        <w:rPr>
          <w:sz w:val="20"/>
          <w:szCs w:val="20"/>
          <w:color w:val="auto"/>
        </w:rPr>
      </w:pPr>
    </w:p>
    <w:p>
      <w:pPr>
        <w:ind w:left="701" w:hanging="701"/>
        <w:spacing w:after="0"/>
        <w:tabs>
          <w:tab w:leader="none" w:pos="701"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44,445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975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48895</wp:posOffset>
            </wp:positionV>
            <wp:extent cx="7975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6459" w:space="720"/>
            <w:col w:w="4241"/>
          </w:cols>
          <w:pgMar w:left="240" w:top="341" w:right="239" w:bottom="0" w:gutter="0" w:footer="0" w:header="0"/>
          <w:type w:val="continuous"/>
        </w:sectPr>
      </w:pP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As mentioned below, the NOL amounts are presented before Internal Revenue Code, Section 382 limitations.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December 31, 2013, the Company has an aggregate total NOL for U.S. federal, state and local purposes in the amount of approximately $88,204 expiring 20 years from the respective tax years to which they relate (beginning with 2006 for Vringo, Inc., and 2011 for Innovate/Protect Inc.), i.e. 2026 to 2033. The Tax Reform Act of 1986 imposed substantial restrictions on the utilization of NOL and tax credits in the event of an ownership change of a corporation. Thus, in accordance with Internal Revenue Code, Section 382, the Company's initial public offering, its certain pre-Merger financing activities, as well as the Merger, may limit the Company's ability to utilize all such NOL and credit carryforwards.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2013, with the sale of its mobile social application business, and its classification as assets held for sale, the Company does not meet the criteria for the exception of indefinite reversal criteria for its Israeli subsidiary. The Company did not record any additional material provisions related to such event.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valuation allowance has been recorded against the net deferred tax asset in the U.S. as it is in the opinion of the Company’s management it is more likely than not that the operating loss carryforwards will not be utilized in the foreseeable future. No valuation allowance has been provided for the deferred tax assets of the Israeli subsidiary, since they are more likely than not to be realized.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files its tax returns in the U.S. federal jurisdiction, as well as in various state and local jurisdictions. Vringo, Inc, has open tax assessments for the years 2010 through 2013. As of December 31, 2013, all tax assessments for Innovate/Protect are still open. The Israeli subsidiary files its income tax returns in Israel. As of December 31, 2013, the Israeli subsidiary has open tax assessments for the years 2010 through 2013.</w:t>
      </w:r>
    </w:p>
    <w:p>
      <w:pPr>
        <w:sectPr>
          <w:pgSz w:w="11900" w:h="16838" w:orient="portrait"/>
          <w:cols w:equalWidth="0" w:num="1">
            <w:col w:w="11420"/>
          </w:cols>
          <w:pgMar w:left="240" w:top="341" w:right="239" w:bottom="0" w:gutter="0" w:footer="0" w:header="0"/>
          <w:type w:val="continuous"/>
        </w:sectPr>
      </w:pPr>
    </w:p>
    <w:bookmarkStart w:id="57" w:name="page58"/>
    <w:bookmarkEnd w:id="57"/>
    <w:p>
      <w:pPr>
        <w:jc w:val="center"/>
        <w:ind w:right="-40"/>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252730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58" w:name="page59"/>
    <w:bookmarkEnd w:id="58"/>
    <w:p>
      <w:pPr>
        <w:jc w:val="both"/>
        <w:ind w:right="20" w:firstLine="648"/>
        <w:spacing w:after="0" w:line="262" w:lineRule="auto"/>
        <w:rPr>
          <w:sz w:val="20"/>
          <w:szCs w:val="20"/>
          <w:color w:val="auto"/>
        </w:rPr>
      </w:pPr>
      <w:r>
        <w:rPr>
          <w:rFonts w:ascii="Arial" w:cs="Arial" w:eastAsia="Arial" w:hAnsi="Arial"/>
          <w:sz w:val="18"/>
          <w:szCs w:val="18"/>
          <w:color w:val="auto"/>
        </w:rPr>
        <w:t>The Company did not have any material unrecognized tax benefits in 2013 and 2012. The Company does not expect to record any additional material provisions for unrecognized tax benefits within the next year.</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Israeli subsidiary has qualified as a "Beneficiary Enterprise" under the 2005 amendment to the Israeli Law for the Encouragement of Capital Investments, 1959 (the "Investment Law"). As a Beneficiary Enterprise, the Israeli subsidiary is entitled to receive future tax benefits which are limited to a period of seven years. The year in which a company elects to commence its tax benefits is designated as the year of election ("Year of Election"). The Israeli subsidiary has elected 2007 as its Year of Election and has received a two year tax holiday for profits accumulated in the years 2007-2008. In 2011, the Israeli subsidiary irrevocably adopted an amendment to the Investment law, according to which the following uniform tax rates (applicable to the zone where the production facilities of the Israeli subsidiary are located) would apply: 15% in 2011 and 2012 and 12.5% in 2013. On August 5, 2013 the Knesset passed the Law for Changes in National Priorities (Legislative Amendments for Achieving Budget Objectives in the Years 2013 and 2014) – 2013, according to which, for 2014, the regular tax rate on corporate income will be raised by 1.5% to 26.5% and on tax rate of preferred income to 16%. As of the balance sheet date, the Israeli subsidiary believes that it is in compliance with the conditions of the Beneficiary Enterprise program. Income that is not derived from the Beneficiary Enterprise is subject to the regular corporate tax rate of 25% in 2013 and 26.5% in 2014.</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Litigation and legal proceedings</w:t>
      </w:r>
    </w:p>
    <w:p>
      <w:pPr>
        <w:spacing w:after="0" w:line="225" w:lineRule="exact"/>
        <w:rPr>
          <w:sz w:val="20"/>
          <w:szCs w:val="20"/>
          <w:color w:val="auto"/>
        </w:rPr>
      </w:pPr>
    </w:p>
    <w:p>
      <w:pPr>
        <w:jc w:val="both"/>
        <w:ind w:firstLine="739"/>
        <w:spacing w:after="0" w:line="279" w:lineRule="auto"/>
        <w:rPr>
          <w:sz w:val="20"/>
          <w:szCs w:val="20"/>
          <w:color w:val="auto"/>
        </w:rPr>
      </w:pPr>
      <w:r>
        <w:rPr>
          <w:rFonts w:ascii="Arial" w:cs="Arial" w:eastAsia="Arial" w:hAnsi="Arial"/>
          <w:sz w:val="17"/>
          <w:szCs w:val="17"/>
          <w:color w:val="auto"/>
        </w:rPr>
        <w:t>The Company retains the services of professional service providers, including law firms that specialize in intellectual property licensing, enforcement and patent law. These service providers are often retained on an hourly, monthly, project, contingent or a blended fee basis. In contingency fee arrangements, a portion of the legal fee is based on predetermined milestones or the Company’s actual collection of funds. The Company accrues contingent fees when it is probable that the milestones will be achieved and the fees can be reasonably estimated.</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From October 2012 through October 7, 2013, the Company’s subsidiaries filed patent infringement lawsuits against the subsidiaries of ZTE Corporation in the United Kingdom, France, Germany and Australia and against ASUSTeK Computer, Inc. and ASUS Computer GmbH in Germany.</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such jurisdictions, an unsuccessful plaintiff may be required to pay a portion of the other party’s legal fees. Pursuant to negotiation with ZTE’s United Kingdom subsidiary, the Company placed two written commitments, in November 2012 and May 2013, to ensure payment should a liability by Vringo Infrastructure arise as a result of the two cases it filed. Defendants estimated the total possible liability to be no more than $2,900 for each case. In addition, ZTE's German subsidiary started three revocation (invalidity) proceedings against the Company; two in the first half of 2013 and one in the first quarter 2014. Should ZTE's be successful in any of those actions the Company would liable for some portion of ZTE’s fees. The total amount the Company would have to pay is a statutorily determined percentage based on the estimated the value in dispute for these proceedings. ZTE has estimated the value of the revocation proceeding at €2,500 for each case; the Company assesses the likelihood of it as remote.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the Company may be required to grant additional written commitments, as necessary, in connection with its commenced proceedings against ZTE Corporation and its subsidiaries in Europe and Australia. It should be noted, however, that if the Company were successful on any court applications or the entirety of any litigation, ZTE Corporation would be responsible for a substantial portion of the Company’s legal fees.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  Leases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July 2012, the Company signed a rental agreement for its corporate executive office in New York for an annual rental fee of approximately $137 (subject to certain adjustments) which was to expire in September 2015. However in January 2014, the Company entered into an amended lease agreement with the landlord for newly renovated office within the same building. The annual rental fee for this new office is approximately $403 (subject to certain adjustments) beginning when the renovations are completed and the new office is available. Until the new office is available, the monthly rent is based on the previous annual rental fee. The lease for the New York office will expire 5 years and 3 months after the new office is available. The Company’s subsidiary in Israel leases an office space which expires in May 2014. The annual rental fee is approximately $72. Rent expense for operating leases for the years ended December 31, 2013, and 2012, and cumulative from Inception until December 31, 2013 amounts to $230, $120 and $361 respectively. Future minimum lease payments under non-cancelable operating leases for office space, as of December 31, 2013, are as follows:</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210"/>
        </w:trPr>
        <w:tc>
          <w:tcPr>
            <w:tcW w:w="2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2014</w:t>
            </w:r>
          </w:p>
        </w:tc>
        <w:tc>
          <w:tcPr>
            <w:tcW w:w="7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2015</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r>
      <w:tr>
        <w:trPr>
          <w:trHeight w:val="216"/>
        </w:trPr>
        <w:tc>
          <w:tcPr>
            <w:tcW w:w="27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FFCC"/>
          </w:tcPr>
          <w:p>
            <w:pPr>
              <w:spacing w:after="0"/>
              <w:rPr>
                <w:sz w:val="18"/>
                <w:szCs w:val="18"/>
                <w:color w:val="auto"/>
              </w:rPr>
            </w:pPr>
          </w:p>
        </w:tc>
      </w:tr>
      <w:tr>
        <w:trPr>
          <w:trHeight w:val="20"/>
        </w:trPr>
        <w:tc>
          <w:tcPr>
            <w:tcW w:w="27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Risks and Uncertainties</w:t>
      </w:r>
    </w:p>
    <w:p>
      <w:pPr>
        <w:spacing w:after="0" w:line="234" w:lineRule="exact"/>
        <w:rPr>
          <w:sz w:val="20"/>
          <w:szCs w:val="20"/>
          <w:color w:val="auto"/>
        </w:rPr>
      </w:pPr>
    </w:p>
    <w:p>
      <w:pPr>
        <w:jc w:val="both"/>
        <w:ind w:left="560" w:hanging="340"/>
        <w:spacing w:after="0" w:line="279" w:lineRule="auto"/>
        <w:tabs>
          <w:tab w:leader="none" w:pos="5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New legislation, regulations or rulings that impact the patent enforcement process or the rights of patent holders, could negatively affect the Company’s current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the Company’s ability to assert its patent or other intellectual property rights.</w:t>
      </w:r>
    </w:p>
    <w:p>
      <w:pPr>
        <w:spacing w:after="0" w:line="171" w:lineRule="exact"/>
        <w:rPr>
          <w:rFonts w:ascii="Arial" w:cs="Arial" w:eastAsia="Arial" w:hAnsi="Arial"/>
          <w:sz w:val="17"/>
          <w:szCs w:val="17"/>
          <w:color w:val="auto"/>
        </w:rPr>
      </w:pPr>
    </w:p>
    <w:p>
      <w:pPr>
        <w:jc w:val="both"/>
        <w:ind w:left="560" w:hanging="350"/>
        <w:spacing w:after="0" w:line="264"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patents owned by the Company are presumed to be valid and enforceable. As part of the Company’s ongoing legal proceedings, the validity and/or enforceability of the patents may be challenged in a court or administrative proceeding. To date, the Company’s patents have not been declared to be invalid or unenforceable.</w:t>
      </w:r>
    </w:p>
    <w:p>
      <w:pPr>
        <w:spacing w:after="0" w:line="181" w:lineRule="exact"/>
        <w:rPr>
          <w:rFonts w:ascii="Arial" w:cs="Arial" w:eastAsia="Arial" w:hAnsi="Arial"/>
          <w:sz w:val="18"/>
          <w:szCs w:val="18"/>
          <w:color w:val="auto"/>
        </w:rPr>
      </w:pPr>
    </w:p>
    <w:p>
      <w:pPr>
        <w:jc w:val="both"/>
        <w:ind w:left="560" w:hanging="340"/>
        <w:spacing w:after="0" w:line="264"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The Company maintains its cash and cash equivalents with various major financial institutions. These major financial institutions are located in the United States and its policy is designed to limit exposure to any one institution.</w:t>
      </w:r>
    </w:p>
    <w:p>
      <w:pPr>
        <w:spacing w:after="0" w:line="181" w:lineRule="exact"/>
        <w:rPr>
          <w:rFonts w:ascii="Arial" w:cs="Arial" w:eastAsia="Arial" w:hAnsi="Arial"/>
          <w:sz w:val="18"/>
          <w:szCs w:val="18"/>
          <w:color w:val="auto"/>
        </w:rPr>
      </w:pPr>
    </w:p>
    <w:p>
      <w:pPr>
        <w:jc w:val="both"/>
        <w:ind w:left="560" w:right="260" w:hanging="350"/>
        <w:spacing w:after="0" w:line="264"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portion of the Company’s expenses are denominated in NIS, British Pound and Euro. If the value of the U.S. dollar weakens against the value of these currencies, there will be a negative impact on the Company’s operating costs. In addition, the Company is subject to the risk of exchange rate fluctuations to the extent it holds monetary assets and liabilities in these currencies.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ectPr>
          <w:pgSz w:w="11900" w:h="16838" w:orient="portrait"/>
          <w:cols w:equalWidth="0" w:num="1">
            <w:col w:w="11420"/>
          </w:cols>
          <w:pgMar w:left="240" w:top="341" w:right="239" w:bottom="0" w:gutter="0" w:footer="0" w:header="0"/>
        </w:sectPr>
      </w:pPr>
    </w:p>
    <w:bookmarkStart w:id="59" w:name="page60"/>
    <w:bookmarkEnd w:id="59"/>
    <w:p>
      <w:pPr>
        <w:jc w:val="both"/>
        <w:ind w:left="360" w:hanging="340"/>
        <w:spacing w:after="0" w:line="259"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January and February 2014, 626,805 warrants to purchase an aggregate of 626,805 shares of the Company’s common stock, at an exercise price of $1.76 per share, were exercised by its warrant holders, pursuant to which it received an additional $1,103. In addition, 699,606 options and RSUs, collectively, to purchase 699,606 shares of the Company’s common stock, issued to employees, directors and management, were exercised. As a result, the Company received an additional $1,455.</w:t>
      </w:r>
    </w:p>
    <w:p>
      <w:pPr>
        <w:spacing w:after="0" w:line="186" w:lineRule="exact"/>
        <w:rPr>
          <w:rFonts w:ascii="Arial" w:cs="Arial" w:eastAsia="Arial" w:hAnsi="Arial"/>
          <w:sz w:val="18"/>
          <w:szCs w:val="18"/>
          <w:color w:val="auto"/>
        </w:rPr>
      </w:pPr>
    </w:p>
    <w:p>
      <w:pPr>
        <w:jc w:val="both"/>
        <w:ind w:left="360" w:hanging="350"/>
        <w:spacing w:after="0" w:line="279" w:lineRule="auto"/>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February 20, 2014, the Board approved a new grant of 1,025,000 options, at an exercise price of $4.10, to the Company’s directors and certain members of management, granted under the 2012 Plan. The options granted to directors will vest quarterly over a one year period. The options granted to certain members of management will vest quarterly over a three year period. The full impact of these events on the Company’s financial statements has not yet been determined, however, the Company believes that such effect will be material.</w:t>
      </w:r>
    </w:p>
    <w:p>
      <w:pPr>
        <w:spacing w:after="0" w:line="171" w:lineRule="exact"/>
        <w:rPr>
          <w:rFonts w:ascii="Arial" w:cs="Arial" w:eastAsia="Arial" w:hAnsi="Arial"/>
          <w:sz w:val="17"/>
          <w:szCs w:val="17"/>
          <w:color w:val="auto"/>
        </w:rPr>
      </w:pPr>
    </w:p>
    <w:p>
      <w:pPr>
        <w:jc w:val="both"/>
        <w:ind w:left="360" w:hanging="340"/>
        <w:spacing w:after="0" w:line="264"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February 18, 2014, the Company executed the sale of its mobile social application business to Infomedia, in exchange for 18 Class B shares of Infomedia, which represent an 8.25% ownership interest (refer to Note 7). The Infomedia Class B shares were accounted for as a cost-method investment.</w:t>
      </w:r>
    </w:p>
    <w:p>
      <w:pPr>
        <w:spacing w:after="0" w:line="200" w:lineRule="exact"/>
        <w:rPr>
          <w:sz w:val="20"/>
          <w:szCs w:val="20"/>
          <w:color w:val="auto"/>
        </w:rPr>
      </w:pPr>
    </w:p>
    <w:p>
      <w:pPr>
        <w:spacing w:after="0" w:line="2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229235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440" w:top="34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2014.</w:t>
      </w:r>
    </w:p>
    <w:p>
      <w:pPr>
        <w:spacing w:after="0" w:line="41" w:lineRule="exact"/>
        <w:rPr>
          <w:sz w:val="20"/>
          <w:szCs w:val="20"/>
          <w:color w:val="auto"/>
        </w:rPr>
      </w:pPr>
    </w:p>
    <w:tbl>
      <w:tblPr>
        <w:tblLayout w:type="fixed"/>
        <w:tblInd w:w="5500" w:type="dxa"/>
        <w:tblCellMar>
          <w:top w:w="0" w:type="dxa"/>
          <w:left w:w="0" w:type="dxa"/>
          <w:bottom w:w="0" w:type="dxa"/>
          <w:right w:w="0" w:type="dxa"/>
        </w:tblCellMar>
      </w:tblPr>
      <w:tr>
        <w:trPr>
          <w:trHeight w:val="23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1"/>
        </w:trPr>
        <w:tc>
          <w:tcPr>
            <w:tcW w:w="940" w:type="dxa"/>
            <w:vAlign w:val="bottom"/>
          </w:tcPr>
          <w:p>
            <w:pPr>
              <w:spacing w:after="0"/>
              <w:rPr>
                <w:sz w:val="16"/>
                <w:szCs w:val="16"/>
                <w:color w:val="auto"/>
              </w:rPr>
            </w:pPr>
          </w:p>
        </w:tc>
        <w:tc>
          <w:tcPr>
            <w:tcW w:w="4980" w:type="dxa"/>
            <w:vAlign w:val="bottom"/>
          </w:tcPr>
          <w:p>
            <w:pPr>
              <w:spacing w:after="0" w:line="191" w:lineRule="exact"/>
              <w:rPr>
                <w:sz w:val="20"/>
                <w:szCs w:val="20"/>
                <w:color w:val="auto"/>
              </w:rPr>
            </w:pPr>
            <w:r>
              <w:rPr>
                <w:rFonts w:ascii="Arial" w:cs="Arial" w:eastAsia="Arial" w:hAnsi="Arial"/>
                <w:sz w:val="18"/>
                <w:szCs w:val="18"/>
                <w:b w:val="1"/>
                <w:bCs w:val="1"/>
                <w:color w:val="auto"/>
              </w:rPr>
              <w:t>Andrew D. Perlman</w:t>
            </w:r>
          </w:p>
        </w:tc>
      </w:tr>
      <w:tr>
        <w:trPr>
          <w:trHeight w:val="216"/>
        </w:trPr>
        <w:tc>
          <w:tcPr>
            <w:tcW w:w="9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9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20"/>
                <w:szCs w:val="20"/>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46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26"/>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NDREW</w:t>
            </w:r>
            <w:r>
              <w:rPr>
                <w:rFonts w:ascii="Arial" w:cs="Arial" w:eastAsia="Arial" w:hAnsi="Arial"/>
                <w:sz w:val="18"/>
                <w:szCs w:val="18"/>
                <w:color w:val="auto"/>
              </w:rPr>
              <w:t xml:space="preserve"> D. P</w:t>
            </w:r>
            <w:r>
              <w:rPr>
                <w:rFonts w:ascii="Arial" w:cs="Arial" w:eastAsia="Arial" w:hAnsi="Arial"/>
                <w:sz w:val="12"/>
                <w:szCs w:val="12"/>
                <w:color w:val="auto"/>
              </w:rPr>
              <w:t>ERLMAN</w:t>
            </w:r>
          </w:p>
        </w:tc>
        <w:tc>
          <w:tcPr>
            <w:tcW w:w="100" w:type="dxa"/>
            <w:vAlign w:val="bottom"/>
          </w:tcPr>
          <w:p>
            <w:pPr>
              <w:spacing w:after="0"/>
              <w:rPr>
                <w:sz w:val="24"/>
                <w:szCs w:val="24"/>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 and Director (Principal</w:t>
            </w:r>
          </w:p>
        </w:tc>
        <w:tc>
          <w:tcPr>
            <w:tcW w:w="1560" w:type="dxa"/>
            <w:vAlign w:val="bottom"/>
          </w:tcPr>
          <w:p>
            <w:pPr>
              <w:spacing w:after="0"/>
              <w:rPr>
                <w:sz w:val="20"/>
                <w:szCs w:val="20"/>
                <w:color w:val="auto"/>
              </w:rPr>
            </w:pPr>
            <w:r>
              <w:rPr>
                <w:rFonts w:ascii="Arial" w:cs="Arial" w:eastAsia="Arial" w:hAnsi="Arial"/>
                <w:sz w:val="18"/>
                <w:szCs w:val="18"/>
                <w:color w:val="auto"/>
              </w:rPr>
              <w:t>March 10, 2014</w:t>
            </w:r>
          </w:p>
        </w:tc>
      </w:tr>
      <w:tr>
        <w:trPr>
          <w:trHeight w:val="228"/>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Andrew D. Perlman</w:t>
            </w:r>
          </w:p>
        </w:tc>
        <w:tc>
          <w:tcPr>
            <w:tcW w:w="100" w:type="dxa"/>
            <w:vAlign w:val="bottom"/>
          </w:tcPr>
          <w:p>
            <w:pPr>
              <w:spacing w:after="0"/>
              <w:rPr>
                <w:sz w:val="19"/>
                <w:szCs w:val="19"/>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Executive Officer)</w:t>
            </w:r>
          </w:p>
        </w:tc>
        <w:tc>
          <w:tcPr>
            <w:tcW w:w="156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NASTASIA</w:t>
            </w:r>
            <w:r>
              <w:rPr>
                <w:rFonts w:ascii="Arial" w:cs="Arial" w:eastAsia="Arial" w:hAnsi="Arial"/>
                <w:sz w:val="18"/>
                <w:szCs w:val="18"/>
                <w:color w:val="auto"/>
              </w:rPr>
              <w:t xml:space="preserve"> N</w:t>
            </w:r>
            <w:r>
              <w:rPr>
                <w:rFonts w:ascii="Arial" w:cs="Arial" w:eastAsia="Arial" w:hAnsi="Arial"/>
                <w:sz w:val="12"/>
                <w:szCs w:val="12"/>
                <w:color w:val="auto"/>
              </w:rPr>
              <w:t>YRKOVSKAYA</w:t>
            </w:r>
          </w:p>
        </w:tc>
        <w:tc>
          <w:tcPr>
            <w:tcW w:w="100" w:type="dxa"/>
            <w:vAlign w:val="bottom"/>
          </w:tcPr>
          <w:p>
            <w:pPr>
              <w:spacing w:after="0"/>
              <w:rPr>
                <w:sz w:val="24"/>
                <w:szCs w:val="24"/>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 (Principal Financial Officer</w:t>
            </w:r>
          </w:p>
        </w:tc>
        <w:tc>
          <w:tcPr>
            <w:tcW w:w="1560" w:type="dxa"/>
            <w:vAlign w:val="bottom"/>
          </w:tcPr>
          <w:p>
            <w:pPr>
              <w:spacing w:after="0"/>
              <w:rPr>
                <w:sz w:val="20"/>
                <w:szCs w:val="20"/>
                <w:color w:val="auto"/>
              </w:rPr>
            </w:pPr>
            <w:r>
              <w:rPr>
                <w:rFonts w:ascii="Arial" w:cs="Arial" w:eastAsia="Arial" w:hAnsi="Arial"/>
                <w:sz w:val="18"/>
                <w:szCs w:val="18"/>
                <w:color w:val="auto"/>
              </w:rPr>
              <w:t>March 10, 2014</w:t>
            </w:r>
          </w:p>
        </w:tc>
      </w:tr>
      <w:tr>
        <w:trPr>
          <w:trHeight w:val="228"/>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Anastasia Nyrkovskaya</w:t>
            </w:r>
          </w:p>
        </w:tc>
        <w:tc>
          <w:tcPr>
            <w:tcW w:w="100" w:type="dxa"/>
            <w:vAlign w:val="bottom"/>
          </w:tcPr>
          <w:p>
            <w:pPr>
              <w:spacing w:after="0"/>
              <w:rPr>
                <w:sz w:val="19"/>
                <w:szCs w:val="19"/>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and Principal Accounting Officer)</w:t>
            </w:r>
          </w:p>
        </w:tc>
        <w:tc>
          <w:tcPr>
            <w:tcW w:w="156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NDREW</w:t>
            </w:r>
            <w:r>
              <w:rPr>
                <w:rFonts w:ascii="Arial" w:cs="Arial" w:eastAsia="Arial" w:hAnsi="Arial"/>
                <w:sz w:val="18"/>
                <w:szCs w:val="18"/>
                <w:color w:val="auto"/>
              </w:rPr>
              <w:t xml:space="preserve"> K</w:t>
            </w:r>
            <w:r>
              <w:rPr>
                <w:rFonts w:ascii="Arial" w:cs="Arial" w:eastAsia="Arial" w:hAnsi="Arial"/>
                <w:sz w:val="12"/>
                <w:szCs w:val="12"/>
                <w:color w:val="auto"/>
              </w:rPr>
              <w:t>ENNEDY</w:t>
            </w:r>
            <w:r>
              <w:rPr>
                <w:rFonts w:ascii="Arial" w:cs="Arial" w:eastAsia="Arial" w:hAnsi="Arial"/>
                <w:sz w:val="18"/>
                <w:szCs w:val="18"/>
                <w:color w:val="auto"/>
              </w:rPr>
              <w:t xml:space="preserve"> L</w:t>
            </w:r>
            <w:r>
              <w:rPr>
                <w:rFonts w:ascii="Arial" w:cs="Arial" w:eastAsia="Arial" w:hAnsi="Arial"/>
                <w:sz w:val="12"/>
                <w:szCs w:val="12"/>
                <w:color w:val="auto"/>
              </w:rPr>
              <w:t>ANG</w:t>
            </w:r>
          </w:p>
        </w:tc>
        <w:tc>
          <w:tcPr>
            <w:tcW w:w="100" w:type="dxa"/>
            <w:vAlign w:val="bottom"/>
          </w:tcPr>
          <w:p>
            <w:pPr>
              <w:spacing w:after="0"/>
              <w:rPr>
                <w:sz w:val="24"/>
                <w:szCs w:val="24"/>
                <w:color w:val="auto"/>
              </w:rPr>
            </w:pPr>
          </w:p>
        </w:tc>
        <w:tc>
          <w:tcPr>
            <w:tcW w:w="61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0"/>
                <w:szCs w:val="20"/>
                <w:color w:val="auto"/>
              </w:rPr>
            </w:pPr>
            <w:r>
              <w:rPr>
                <w:rFonts w:ascii="Arial" w:cs="Arial" w:eastAsia="Arial" w:hAnsi="Arial"/>
                <w:sz w:val="18"/>
                <w:szCs w:val="18"/>
                <w:color w:val="auto"/>
              </w:rPr>
              <w:t>March 10, 2014</w:t>
            </w:r>
          </w:p>
        </w:tc>
      </w:tr>
      <w:tr>
        <w:trPr>
          <w:trHeight w:val="228"/>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Andrew Kennedy Lang</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LEXANDER</w:t>
            </w:r>
            <w:r>
              <w:rPr>
                <w:rFonts w:ascii="Arial" w:cs="Arial" w:eastAsia="Arial" w:hAnsi="Arial"/>
                <w:sz w:val="18"/>
                <w:szCs w:val="18"/>
                <w:color w:val="auto"/>
              </w:rPr>
              <w:t xml:space="preserve"> R. B</w:t>
            </w:r>
            <w:r>
              <w:rPr>
                <w:rFonts w:ascii="Arial" w:cs="Arial" w:eastAsia="Arial" w:hAnsi="Arial"/>
                <w:sz w:val="12"/>
                <w:szCs w:val="12"/>
                <w:color w:val="auto"/>
              </w:rPr>
              <w:t>ERGER</w:t>
            </w:r>
          </w:p>
        </w:tc>
        <w:tc>
          <w:tcPr>
            <w:tcW w:w="100" w:type="dxa"/>
            <w:vAlign w:val="bottom"/>
          </w:tcPr>
          <w:p>
            <w:pPr>
              <w:spacing w:after="0"/>
              <w:rPr>
                <w:sz w:val="24"/>
                <w:szCs w:val="24"/>
                <w:color w:val="auto"/>
              </w:rPr>
            </w:pPr>
          </w:p>
        </w:tc>
        <w:tc>
          <w:tcPr>
            <w:tcW w:w="61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0"/>
                <w:szCs w:val="20"/>
                <w:color w:val="auto"/>
              </w:rPr>
            </w:pPr>
            <w:r>
              <w:rPr>
                <w:rFonts w:ascii="Arial" w:cs="Arial" w:eastAsia="Arial" w:hAnsi="Arial"/>
                <w:sz w:val="18"/>
                <w:szCs w:val="18"/>
                <w:color w:val="auto"/>
              </w:rPr>
              <w:t>March 10, 2014</w:t>
            </w:r>
          </w:p>
        </w:tc>
      </w:tr>
      <w:tr>
        <w:trPr>
          <w:trHeight w:val="228"/>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Alexander R. Berger</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OHN</w:t>
            </w:r>
            <w:r>
              <w:rPr>
                <w:rFonts w:ascii="Arial" w:cs="Arial" w:eastAsia="Arial" w:hAnsi="Arial"/>
                <w:sz w:val="18"/>
                <w:szCs w:val="18"/>
                <w:color w:val="auto"/>
              </w:rPr>
              <w:t xml:space="preserve"> E</w:t>
            </w:r>
            <w:r>
              <w:rPr>
                <w:rFonts w:ascii="Arial" w:cs="Arial" w:eastAsia="Arial" w:hAnsi="Arial"/>
                <w:sz w:val="12"/>
                <w:szCs w:val="12"/>
                <w:color w:val="auto"/>
              </w:rPr>
              <w:t>NGELMAN</w:t>
            </w:r>
          </w:p>
        </w:tc>
        <w:tc>
          <w:tcPr>
            <w:tcW w:w="100" w:type="dxa"/>
            <w:vAlign w:val="bottom"/>
          </w:tcPr>
          <w:p>
            <w:pPr>
              <w:spacing w:after="0"/>
              <w:rPr>
                <w:sz w:val="24"/>
                <w:szCs w:val="24"/>
                <w:color w:val="auto"/>
              </w:rPr>
            </w:pPr>
          </w:p>
        </w:tc>
        <w:tc>
          <w:tcPr>
            <w:tcW w:w="61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0"/>
                <w:szCs w:val="20"/>
                <w:color w:val="auto"/>
              </w:rPr>
            </w:pPr>
            <w:r>
              <w:rPr>
                <w:rFonts w:ascii="Arial" w:cs="Arial" w:eastAsia="Arial" w:hAnsi="Arial"/>
                <w:sz w:val="18"/>
                <w:szCs w:val="18"/>
                <w:color w:val="auto"/>
              </w:rPr>
              <w:t>March 10, 2014</w:t>
            </w:r>
          </w:p>
        </w:tc>
      </w:tr>
      <w:tr>
        <w:trPr>
          <w:trHeight w:val="228"/>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John Engelman</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 V</w:t>
            </w:r>
            <w:r>
              <w:rPr>
                <w:rFonts w:ascii="Arial" w:cs="Arial" w:eastAsia="Arial" w:hAnsi="Arial"/>
                <w:sz w:val="12"/>
                <w:szCs w:val="12"/>
                <w:color w:val="auto"/>
              </w:rPr>
              <w:t>AN</w:t>
            </w:r>
            <w:r>
              <w:rPr>
                <w:rFonts w:ascii="Arial" w:cs="Arial" w:eastAsia="Arial" w:hAnsi="Arial"/>
                <w:sz w:val="18"/>
                <w:szCs w:val="18"/>
                <w:color w:val="auto"/>
              </w:rPr>
              <w:t xml:space="preserve"> S</w:t>
            </w:r>
            <w:r>
              <w:rPr>
                <w:rFonts w:ascii="Arial" w:cs="Arial" w:eastAsia="Arial" w:hAnsi="Arial"/>
                <w:sz w:val="12"/>
                <w:szCs w:val="12"/>
                <w:color w:val="auto"/>
              </w:rPr>
              <w:t>INCLAIR</w:t>
            </w:r>
          </w:p>
        </w:tc>
        <w:tc>
          <w:tcPr>
            <w:tcW w:w="100" w:type="dxa"/>
            <w:vAlign w:val="bottom"/>
          </w:tcPr>
          <w:p>
            <w:pPr>
              <w:spacing w:after="0"/>
              <w:rPr>
                <w:sz w:val="24"/>
                <w:szCs w:val="24"/>
                <w:color w:val="auto"/>
              </w:rPr>
            </w:pPr>
          </w:p>
        </w:tc>
        <w:tc>
          <w:tcPr>
            <w:tcW w:w="61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0"/>
                <w:szCs w:val="20"/>
                <w:color w:val="auto"/>
              </w:rPr>
            </w:pPr>
            <w:r>
              <w:rPr>
                <w:rFonts w:ascii="Arial" w:cs="Arial" w:eastAsia="Arial" w:hAnsi="Arial"/>
                <w:sz w:val="18"/>
                <w:szCs w:val="18"/>
                <w:color w:val="auto"/>
              </w:rPr>
              <w:t>March 10, 2014</w:t>
            </w:r>
          </w:p>
        </w:tc>
      </w:tr>
      <w:tr>
        <w:trPr>
          <w:trHeight w:val="228"/>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H. Van Sinclair</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ONALD</w:t>
            </w:r>
            <w:r>
              <w:rPr>
                <w:rFonts w:ascii="Arial" w:cs="Arial" w:eastAsia="Arial" w:hAnsi="Arial"/>
                <w:sz w:val="18"/>
                <w:szCs w:val="18"/>
                <w:color w:val="auto"/>
              </w:rPr>
              <w:t xml:space="preserve"> E. S</w:t>
            </w:r>
            <w:r>
              <w:rPr>
                <w:rFonts w:ascii="Arial" w:cs="Arial" w:eastAsia="Arial" w:hAnsi="Arial"/>
                <w:sz w:val="12"/>
                <w:szCs w:val="12"/>
                <w:color w:val="auto"/>
              </w:rPr>
              <w:t>TOUT</w:t>
            </w:r>
          </w:p>
        </w:tc>
        <w:tc>
          <w:tcPr>
            <w:tcW w:w="100" w:type="dxa"/>
            <w:vAlign w:val="bottom"/>
          </w:tcPr>
          <w:p>
            <w:pPr>
              <w:spacing w:after="0"/>
              <w:rPr>
                <w:sz w:val="24"/>
                <w:szCs w:val="24"/>
                <w:color w:val="auto"/>
              </w:rPr>
            </w:pPr>
          </w:p>
        </w:tc>
        <w:tc>
          <w:tcPr>
            <w:tcW w:w="61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0"/>
                <w:szCs w:val="20"/>
                <w:color w:val="auto"/>
              </w:rPr>
            </w:pPr>
            <w:r>
              <w:rPr>
                <w:rFonts w:ascii="Arial" w:cs="Arial" w:eastAsia="Arial" w:hAnsi="Arial"/>
                <w:sz w:val="18"/>
                <w:szCs w:val="18"/>
                <w:color w:val="auto"/>
              </w:rPr>
              <w:t>March 10, 2014</w:t>
            </w:r>
          </w:p>
        </w:tc>
      </w:tr>
      <w:tr>
        <w:trPr>
          <w:trHeight w:val="228"/>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Donald E. Stout</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SHLEY</w:t>
            </w:r>
            <w:r>
              <w:rPr>
                <w:rFonts w:ascii="Arial" w:cs="Arial" w:eastAsia="Arial" w:hAnsi="Arial"/>
                <w:sz w:val="18"/>
                <w:szCs w:val="18"/>
                <w:color w:val="auto"/>
              </w:rPr>
              <w:t xml:space="preserve"> C. K</w:t>
            </w:r>
            <w:r>
              <w:rPr>
                <w:rFonts w:ascii="Arial" w:cs="Arial" w:eastAsia="Arial" w:hAnsi="Arial"/>
                <w:sz w:val="12"/>
                <w:szCs w:val="12"/>
                <w:color w:val="auto"/>
              </w:rPr>
              <w:t>ELLER</w:t>
            </w:r>
          </w:p>
        </w:tc>
        <w:tc>
          <w:tcPr>
            <w:tcW w:w="100" w:type="dxa"/>
            <w:vAlign w:val="bottom"/>
          </w:tcPr>
          <w:p>
            <w:pPr>
              <w:spacing w:after="0"/>
              <w:rPr>
                <w:sz w:val="24"/>
                <w:szCs w:val="24"/>
                <w:color w:val="auto"/>
              </w:rPr>
            </w:pPr>
          </w:p>
        </w:tc>
        <w:tc>
          <w:tcPr>
            <w:tcW w:w="61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0"/>
                <w:szCs w:val="20"/>
                <w:color w:val="auto"/>
              </w:rPr>
            </w:pPr>
            <w:r>
              <w:rPr>
                <w:rFonts w:ascii="Arial" w:cs="Arial" w:eastAsia="Arial" w:hAnsi="Arial"/>
                <w:sz w:val="18"/>
                <w:szCs w:val="18"/>
                <w:color w:val="auto"/>
              </w:rPr>
              <w:t>March 10, 2014</w:t>
            </w:r>
          </w:p>
        </w:tc>
      </w:tr>
      <w:tr>
        <w:trPr>
          <w:trHeight w:val="228"/>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Ashley C. Keller</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OEL</w:t>
            </w:r>
            <w:r>
              <w:rPr>
                <w:rFonts w:ascii="Arial" w:cs="Arial" w:eastAsia="Arial" w:hAnsi="Arial"/>
                <w:sz w:val="18"/>
                <w:szCs w:val="18"/>
                <w:color w:val="auto"/>
              </w:rPr>
              <w:t xml:space="preserve"> J. S</w:t>
            </w:r>
            <w:r>
              <w:rPr>
                <w:rFonts w:ascii="Arial" w:cs="Arial" w:eastAsia="Arial" w:hAnsi="Arial"/>
                <w:sz w:val="12"/>
                <w:szCs w:val="12"/>
                <w:color w:val="auto"/>
              </w:rPr>
              <w:t>PIEGEL</w:t>
            </w:r>
          </w:p>
        </w:tc>
        <w:tc>
          <w:tcPr>
            <w:tcW w:w="100" w:type="dxa"/>
            <w:vAlign w:val="bottom"/>
          </w:tcPr>
          <w:p>
            <w:pPr>
              <w:spacing w:after="0"/>
              <w:rPr>
                <w:sz w:val="24"/>
                <w:szCs w:val="24"/>
                <w:color w:val="auto"/>
              </w:rPr>
            </w:pPr>
          </w:p>
        </w:tc>
        <w:tc>
          <w:tcPr>
            <w:tcW w:w="618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0"/>
                <w:szCs w:val="20"/>
                <w:color w:val="auto"/>
              </w:rPr>
            </w:pPr>
            <w:r>
              <w:rPr>
                <w:rFonts w:ascii="Arial" w:cs="Arial" w:eastAsia="Arial" w:hAnsi="Arial"/>
                <w:sz w:val="18"/>
                <w:szCs w:val="18"/>
                <w:color w:val="auto"/>
              </w:rPr>
              <w:t>March 10, 2014</w:t>
            </w:r>
          </w:p>
        </w:tc>
      </w:tr>
      <w:tr>
        <w:trPr>
          <w:trHeight w:val="228"/>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Noel J. Spiegel</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670"/>
        </w:trPr>
        <w:tc>
          <w:tcPr>
            <w:tcW w:w="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820" w:type="dxa"/>
            <w:vAlign w:val="bottom"/>
            <w:gridSpan w:val="2"/>
          </w:tcPr>
          <w:p>
            <w:pPr>
              <w:jc w:val="right"/>
              <w:ind w:right="349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58"/>
        </w:trPr>
        <w:tc>
          <w:tcPr>
            <w:tcW w:w="2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460"/>
              <w:spacing w:after="0"/>
              <w:rPr>
                <w:sz w:val="20"/>
                <w:szCs w:val="20"/>
                <w:color w:val="auto"/>
              </w:rPr>
            </w:pPr>
            <w:r>
              <w:rPr>
                <w:rFonts w:ascii="Arial" w:cs="Arial" w:eastAsia="Arial" w:hAnsi="Arial"/>
                <w:sz w:val="18"/>
                <w:szCs w:val="18"/>
                <w:b w:val="1"/>
                <w:bCs w:val="1"/>
                <w:color w:val="auto"/>
              </w:rPr>
              <w:t>EXHIBITS INDEX</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jc w:val="center"/>
              <w:ind w:right="970"/>
              <w:spacing w:after="0" w:line="195"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Agreement and Plan of Merger by and among Vringo, Inc., VIP Merger Sub, Inc. and Innovate/Protect, Inc., dated as of March 12, 2012</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from Exhibit 2.1 to our Current Report on Form 8-K filed on March 14, 2012)</w:t>
            </w:r>
          </w:p>
        </w:tc>
      </w:tr>
      <w:tr>
        <w:trPr>
          <w:trHeight w:val="432"/>
        </w:trPr>
        <w:tc>
          <w:tcPr>
            <w:tcW w:w="1380" w:type="dxa"/>
            <w:vAlign w:val="bottom"/>
            <w:gridSpan w:val="2"/>
          </w:tcPr>
          <w:p>
            <w:pPr>
              <w:jc w:val="center"/>
              <w:ind w:right="870"/>
              <w:spacing w:after="0"/>
              <w:rPr>
                <w:sz w:val="20"/>
                <w:szCs w:val="20"/>
                <w:color w:val="auto"/>
              </w:rPr>
            </w:pPr>
            <w:r>
              <w:rPr>
                <w:rFonts w:ascii="Arial" w:cs="Arial" w:eastAsia="Arial" w:hAnsi="Arial"/>
                <w:sz w:val="18"/>
                <w:szCs w:val="18"/>
                <w:color w:val="auto"/>
                <w:w w:val="93"/>
              </w:rPr>
              <w:t>3.1*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Amended and Restated Certificate of Incorporation, as amended</w:t>
            </w:r>
          </w:p>
        </w:tc>
      </w:tr>
      <w:tr>
        <w:trPr>
          <w:trHeight w:val="432"/>
        </w:trPr>
        <w:tc>
          <w:tcPr>
            <w:tcW w:w="1380" w:type="dxa"/>
            <w:vAlign w:val="bottom"/>
            <w:gridSpan w:val="2"/>
          </w:tcPr>
          <w:p>
            <w:pPr>
              <w:jc w:val="center"/>
              <w:ind w:right="950"/>
              <w:spacing w:after="0"/>
              <w:rPr>
                <w:sz w:val="20"/>
                <w:szCs w:val="20"/>
                <w:color w:val="auto"/>
              </w:rPr>
            </w:pPr>
            <w:r>
              <w:rPr>
                <w:rFonts w:ascii="Arial" w:cs="Arial" w:eastAsia="Arial" w:hAnsi="Arial"/>
                <w:sz w:val="18"/>
                <w:szCs w:val="18"/>
                <w:color w:val="auto"/>
                <w:w w:val="87"/>
              </w:rPr>
              <w:t>3.2</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4"/>
              </w:rPr>
              <w:t>Amended and Restated Bylaws (incorporated by reference from our Registration Statement on Form S-1 filed on January 29, 2010)</w:t>
            </w:r>
          </w:p>
        </w:tc>
      </w:tr>
      <w:tr>
        <w:trPr>
          <w:trHeight w:val="418"/>
        </w:trPr>
        <w:tc>
          <w:tcPr>
            <w:tcW w:w="1380" w:type="dxa"/>
            <w:vAlign w:val="bottom"/>
            <w:gridSpan w:val="2"/>
          </w:tcPr>
          <w:p>
            <w:pPr>
              <w:jc w:val="center"/>
              <w:ind w:right="950"/>
              <w:spacing w:after="0"/>
              <w:rPr>
                <w:sz w:val="20"/>
                <w:szCs w:val="20"/>
                <w:color w:val="auto"/>
              </w:rPr>
            </w:pPr>
            <w:r>
              <w:rPr>
                <w:rFonts w:ascii="Arial" w:cs="Arial" w:eastAsia="Arial" w:hAnsi="Arial"/>
                <w:sz w:val="18"/>
                <w:szCs w:val="18"/>
                <w:color w:val="auto"/>
                <w:w w:val="87"/>
              </w:rPr>
              <w:t>3.3</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2"/>
              </w:rPr>
              <w:t>Certificate of Designations, Preferences and Rights of Series A Convertible Preferred Stock (incorporated by reference from Exhibit 3.2</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to our Current Report on Form 8-K filed on July 20, 2012)</w:t>
            </w:r>
          </w:p>
        </w:tc>
      </w:tr>
      <w:tr>
        <w:trPr>
          <w:trHeight w:val="432"/>
        </w:trPr>
        <w:tc>
          <w:tcPr>
            <w:tcW w:w="1380" w:type="dxa"/>
            <w:vAlign w:val="bottom"/>
            <w:gridSpan w:val="2"/>
          </w:tcPr>
          <w:p>
            <w:pPr>
              <w:jc w:val="center"/>
              <w:ind w:right="950"/>
              <w:spacing w:after="0"/>
              <w:rPr>
                <w:sz w:val="20"/>
                <w:szCs w:val="20"/>
                <w:color w:val="auto"/>
              </w:rPr>
            </w:pPr>
            <w:r>
              <w:rPr>
                <w:rFonts w:ascii="Arial" w:cs="Arial" w:eastAsia="Arial" w:hAnsi="Arial"/>
                <w:sz w:val="18"/>
                <w:szCs w:val="18"/>
                <w:color w:val="auto"/>
                <w:w w:val="87"/>
              </w:rPr>
              <w:t>4.1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4"/>
              </w:rPr>
              <w:t>Specimen common stock certificate (incorporated by reference from our Registration Statement on Form S-1 filed on May 18, 2010)</w:t>
            </w:r>
          </w:p>
        </w:tc>
      </w:tr>
      <w:tr>
        <w:trPr>
          <w:trHeight w:val="432"/>
        </w:trPr>
        <w:tc>
          <w:tcPr>
            <w:tcW w:w="1380" w:type="dxa"/>
            <w:vAlign w:val="bottom"/>
            <w:gridSpan w:val="2"/>
          </w:tcPr>
          <w:p>
            <w:pPr>
              <w:jc w:val="center"/>
              <w:ind w:right="950"/>
              <w:spacing w:after="0"/>
              <w:rPr>
                <w:sz w:val="20"/>
                <w:szCs w:val="20"/>
                <w:color w:val="auto"/>
              </w:rPr>
            </w:pPr>
            <w:r>
              <w:rPr>
                <w:rFonts w:ascii="Arial" w:cs="Arial" w:eastAsia="Arial" w:hAnsi="Arial"/>
                <w:sz w:val="18"/>
                <w:szCs w:val="18"/>
                <w:color w:val="auto"/>
                <w:w w:val="87"/>
              </w:rPr>
              <w:t>4.2</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9"/>
              </w:rPr>
              <w:t>Specimen warrant certificate (incorporated by reference from our Registration Statement on Form S-1 filed on May 18, 2010)</w:t>
            </w:r>
          </w:p>
        </w:tc>
      </w:tr>
      <w:tr>
        <w:trPr>
          <w:trHeight w:val="432"/>
        </w:trPr>
        <w:tc>
          <w:tcPr>
            <w:tcW w:w="1380" w:type="dxa"/>
            <w:vAlign w:val="bottom"/>
            <w:gridSpan w:val="2"/>
          </w:tcPr>
          <w:p>
            <w:pPr>
              <w:jc w:val="center"/>
              <w:ind w:right="950"/>
              <w:spacing w:after="0"/>
              <w:rPr>
                <w:sz w:val="20"/>
                <w:szCs w:val="20"/>
                <w:color w:val="auto"/>
              </w:rPr>
            </w:pPr>
            <w:r>
              <w:rPr>
                <w:rFonts w:ascii="Arial" w:cs="Arial" w:eastAsia="Arial" w:hAnsi="Arial"/>
                <w:sz w:val="18"/>
                <w:szCs w:val="18"/>
                <w:color w:val="auto"/>
                <w:w w:val="87"/>
              </w:rPr>
              <w:t>4.3</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8"/>
              </w:rPr>
              <w:t>Form of Warrant Agreement (incorporated by reference from our Registration Statement on Form S-1 filed on March 29, 2010)</w:t>
            </w:r>
          </w:p>
        </w:tc>
      </w:tr>
      <w:tr>
        <w:trPr>
          <w:trHeight w:val="432"/>
        </w:trPr>
        <w:tc>
          <w:tcPr>
            <w:tcW w:w="1380" w:type="dxa"/>
            <w:vAlign w:val="bottom"/>
            <w:gridSpan w:val="2"/>
          </w:tcPr>
          <w:p>
            <w:pPr>
              <w:jc w:val="center"/>
              <w:ind w:right="950"/>
              <w:spacing w:after="0"/>
              <w:rPr>
                <w:sz w:val="20"/>
                <w:szCs w:val="20"/>
                <w:color w:val="auto"/>
              </w:rPr>
            </w:pPr>
            <w:r>
              <w:rPr>
                <w:rFonts w:ascii="Arial" w:cs="Arial" w:eastAsia="Arial" w:hAnsi="Arial"/>
                <w:sz w:val="18"/>
                <w:szCs w:val="18"/>
                <w:color w:val="auto"/>
                <w:w w:val="87"/>
              </w:rPr>
              <w:t>4.4</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3"/>
              </w:rPr>
              <w:t>Form of Special Bridge Warrants (incorporated by reference from our Registration Statement on Form S-1 filed on January 29, 2010)</w:t>
            </w:r>
          </w:p>
        </w:tc>
      </w:tr>
      <w:tr>
        <w:trPr>
          <w:trHeight w:val="418"/>
        </w:trPr>
        <w:tc>
          <w:tcPr>
            <w:tcW w:w="20" w:type="dxa"/>
            <w:vAlign w:val="bottom"/>
          </w:tcPr>
          <w:p>
            <w:pPr>
              <w:spacing w:after="0"/>
              <w:rPr>
                <w:sz w:val="24"/>
                <w:szCs w:val="24"/>
                <w:color w:val="auto"/>
              </w:rPr>
            </w:pPr>
          </w:p>
        </w:tc>
        <w:tc>
          <w:tcPr>
            <w:tcW w:w="1360" w:type="dxa"/>
            <w:vAlign w:val="bottom"/>
          </w:tcPr>
          <w:p>
            <w:pPr>
              <w:jc w:val="center"/>
              <w:ind w:right="890"/>
              <w:spacing w:after="0"/>
              <w:rPr>
                <w:sz w:val="20"/>
                <w:szCs w:val="20"/>
                <w:color w:val="auto"/>
              </w:rPr>
            </w:pPr>
            <w:r>
              <w:rPr>
                <w:rFonts w:ascii="Arial" w:cs="Arial" w:eastAsia="Arial" w:hAnsi="Arial"/>
                <w:sz w:val="18"/>
                <w:szCs w:val="18"/>
                <w:color w:val="auto"/>
                <w:w w:val="85"/>
              </w:rPr>
              <w:t>4.5†</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4"/>
              </w:rPr>
              <w:t>Form of Management Option Agreement (incorporated by reference from our Registration Statement on Form S-1 filed on March 29,</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2010)</w:t>
            </w:r>
          </w:p>
        </w:tc>
      </w:tr>
      <w:tr>
        <w:trPr>
          <w:trHeight w:val="418"/>
        </w:trPr>
        <w:tc>
          <w:tcPr>
            <w:tcW w:w="1380" w:type="dxa"/>
            <w:vAlign w:val="bottom"/>
            <w:gridSpan w:val="2"/>
          </w:tcPr>
          <w:p>
            <w:pPr>
              <w:jc w:val="center"/>
              <w:ind w:right="950"/>
              <w:spacing w:after="0"/>
              <w:rPr>
                <w:sz w:val="20"/>
                <w:szCs w:val="20"/>
                <w:color w:val="auto"/>
              </w:rPr>
            </w:pPr>
            <w:r>
              <w:rPr>
                <w:rFonts w:ascii="Arial" w:cs="Arial" w:eastAsia="Arial" w:hAnsi="Arial"/>
                <w:sz w:val="18"/>
                <w:szCs w:val="18"/>
                <w:color w:val="auto"/>
                <w:w w:val="87"/>
              </w:rPr>
              <w:t>4.6</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1"/>
              </w:rPr>
              <w:t>Form of Preferential Reload Warrant (incorporated by reference from our Quarterly Report on Form 10-Q for the period ended March 31,</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2012 filed on May 15, 2012)</w:t>
            </w:r>
          </w:p>
        </w:tc>
      </w:tr>
      <w:tr>
        <w:trPr>
          <w:trHeight w:val="418"/>
        </w:trPr>
        <w:tc>
          <w:tcPr>
            <w:tcW w:w="1380" w:type="dxa"/>
            <w:vAlign w:val="bottom"/>
            <w:gridSpan w:val="2"/>
          </w:tcPr>
          <w:p>
            <w:pPr>
              <w:jc w:val="center"/>
              <w:ind w:right="950"/>
              <w:spacing w:after="0"/>
              <w:rPr>
                <w:sz w:val="20"/>
                <w:szCs w:val="20"/>
                <w:color w:val="auto"/>
              </w:rPr>
            </w:pPr>
            <w:r>
              <w:rPr>
                <w:rFonts w:ascii="Arial" w:cs="Arial" w:eastAsia="Arial" w:hAnsi="Arial"/>
                <w:sz w:val="18"/>
                <w:szCs w:val="18"/>
                <w:color w:val="auto"/>
                <w:w w:val="87"/>
              </w:rPr>
              <w:t>4.7</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1"/>
              </w:rPr>
              <w:t>Form of Reload Warrants (incorporated by reference from our Quarterly Report on Form 10-Q for the period ended March 31, 2012 filed</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on May 15, 2012)</w:t>
            </w:r>
          </w:p>
        </w:tc>
      </w:tr>
      <w:tr>
        <w:trPr>
          <w:trHeight w:val="418"/>
        </w:trPr>
        <w:tc>
          <w:tcPr>
            <w:tcW w:w="1380" w:type="dxa"/>
            <w:vAlign w:val="bottom"/>
            <w:gridSpan w:val="2"/>
          </w:tcPr>
          <w:p>
            <w:pPr>
              <w:jc w:val="center"/>
              <w:ind w:right="950"/>
              <w:spacing w:after="0"/>
              <w:rPr>
                <w:sz w:val="20"/>
                <w:szCs w:val="20"/>
                <w:color w:val="auto"/>
              </w:rPr>
            </w:pPr>
            <w:r>
              <w:rPr>
                <w:rFonts w:ascii="Arial" w:cs="Arial" w:eastAsia="Arial" w:hAnsi="Arial"/>
                <w:sz w:val="18"/>
                <w:szCs w:val="18"/>
                <w:color w:val="auto"/>
                <w:w w:val="87"/>
              </w:rPr>
              <w:t>4.8</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3"/>
              </w:rPr>
              <w:t>Form of Series 1 Warrant (incorporated by reference from Annex F to our Registration Statement on Form S-4 (File No. 333-180609)</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originally filed with the SEC on April 6, 2012)</w:t>
            </w:r>
          </w:p>
        </w:tc>
      </w:tr>
      <w:tr>
        <w:trPr>
          <w:trHeight w:val="418"/>
        </w:trPr>
        <w:tc>
          <w:tcPr>
            <w:tcW w:w="1380" w:type="dxa"/>
            <w:vAlign w:val="bottom"/>
            <w:gridSpan w:val="2"/>
          </w:tcPr>
          <w:p>
            <w:pPr>
              <w:jc w:val="center"/>
              <w:ind w:right="950"/>
              <w:spacing w:after="0"/>
              <w:rPr>
                <w:sz w:val="20"/>
                <w:szCs w:val="20"/>
                <w:color w:val="auto"/>
              </w:rPr>
            </w:pPr>
            <w:r>
              <w:rPr>
                <w:rFonts w:ascii="Arial" w:cs="Arial" w:eastAsia="Arial" w:hAnsi="Arial"/>
                <w:sz w:val="18"/>
                <w:szCs w:val="18"/>
                <w:color w:val="auto"/>
                <w:w w:val="87"/>
              </w:rPr>
              <w:t>4.9</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3"/>
              </w:rPr>
              <w:t>Form of Series 2 Warrant (incorporated by reference from Annex G to our Registration Statement on Form S-4 (File No. 333-180609)</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originally filed with the SEC on April 6, 2012)</w:t>
            </w:r>
          </w:p>
        </w:tc>
      </w:tr>
      <w:tr>
        <w:trPr>
          <w:trHeight w:val="418"/>
        </w:trPr>
        <w:tc>
          <w:tcPr>
            <w:tcW w:w="1380" w:type="dxa"/>
            <w:vAlign w:val="bottom"/>
            <w:gridSpan w:val="2"/>
          </w:tcPr>
          <w:p>
            <w:pPr>
              <w:jc w:val="center"/>
              <w:ind w:right="870"/>
              <w:spacing w:after="0"/>
              <w:rPr>
                <w:sz w:val="20"/>
                <w:szCs w:val="20"/>
                <w:color w:val="auto"/>
              </w:rPr>
            </w:pPr>
            <w:r>
              <w:rPr>
                <w:rFonts w:ascii="Arial" w:cs="Arial" w:eastAsia="Arial" w:hAnsi="Arial"/>
                <w:sz w:val="18"/>
                <w:szCs w:val="18"/>
                <w:color w:val="auto"/>
                <w:w w:val="93"/>
              </w:rPr>
              <w:t>10.1†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4"/>
              </w:rPr>
              <w:t>Vringo, Inc. 2012 Employee, Director and Consultant Equity Incentive Plan (incorporated by reference from our Quarterly Report on</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Form 10-Q for the period ended September 30, 2012 filed on November 14, 2012)</w:t>
            </w:r>
          </w:p>
        </w:tc>
      </w:tr>
      <w:tr>
        <w:trPr>
          <w:trHeight w:val="432"/>
        </w:trPr>
        <w:tc>
          <w:tcPr>
            <w:tcW w:w="1380" w:type="dxa"/>
            <w:vAlign w:val="bottom"/>
            <w:gridSpan w:val="2"/>
          </w:tcPr>
          <w:p>
            <w:pPr>
              <w:jc w:val="center"/>
              <w:ind w:right="870"/>
              <w:spacing w:after="0"/>
              <w:rPr>
                <w:sz w:val="20"/>
                <w:szCs w:val="20"/>
                <w:color w:val="auto"/>
              </w:rPr>
            </w:pPr>
            <w:r>
              <w:rPr>
                <w:rFonts w:ascii="Arial" w:cs="Arial" w:eastAsia="Arial" w:hAnsi="Arial"/>
                <w:sz w:val="18"/>
                <w:szCs w:val="18"/>
                <w:color w:val="auto"/>
                <w:w w:val="93"/>
              </w:rPr>
              <w:t>10.2†</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6"/>
              </w:rPr>
              <w:t>Form of Stock Option Agreement (incorporated by reference from our Registration Statement on Form S-8 filed on July 26, 2012)</w:t>
            </w:r>
          </w:p>
        </w:tc>
      </w:tr>
      <w:tr>
        <w:trPr>
          <w:trHeight w:val="418"/>
        </w:trPr>
        <w:tc>
          <w:tcPr>
            <w:tcW w:w="1380" w:type="dxa"/>
            <w:vAlign w:val="bottom"/>
            <w:gridSpan w:val="2"/>
          </w:tcPr>
          <w:p>
            <w:pPr>
              <w:jc w:val="center"/>
              <w:ind w:right="870"/>
              <w:spacing w:after="0"/>
              <w:rPr>
                <w:sz w:val="20"/>
                <w:szCs w:val="20"/>
                <w:color w:val="auto"/>
              </w:rPr>
            </w:pPr>
            <w:r>
              <w:rPr>
                <w:rFonts w:ascii="Arial" w:cs="Arial" w:eastAsia="Arial" w:hAnsi="Arial"/>
                <w:sz w:val="18"/>
                <w:szCs w:val="18"/>
                <w:color w:val="auto"/>
                <w:w w:val="93"/>
              </w:rPr>
              <w:t>10.3†</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5"/>
              </w:rPr>
              <w:t>Form of Restricted Stock Unit Agreement (incorporated by reference from our Registration Statement on Form S-8 filed on July 26,</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2012)</w:t>
            </w:r>
          </w:p>
        </w:tc>
      </w:tr>
      <w:tr>
        <w:trPr>
          <w:trHeight w:val="418"/>
        </w:trPr>
        <w:tc>
          <w:tcPr>
            <w:tcW w:w="1380" w:type="dxa"/>
            <w:vAlign w:val="bottom"/>
            <w:gridSpan w:val="2"/>
          </w:tcPr>
          <w:p>
            <w:pPr>
              <w:jc w:val="center"/>
              <w:ind w:right="970"/>
              <w:spacing w:after="0"/>
              <w:rPr>
                <w:sz w:val="20"/>
                <w:szCs w:val="20"/>
                <w:color w:val="auto"/>
              </w:rPr>
            </w:pPr>
            <w:r>
              <w:rPr>
                <w:rFonts w:ascii="Arial" w:cs="Arial" w:eastAsia="Arial" w:hAnsi="Arial"/>
                <w:sz w:val="18"/>
                <w:szCs w:val="18"/>
                <w:color w:val="auto"/>
                <w:w w:val="91"/>
              </w:rPr>
              <w:t>10.4</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1"/>
              </w:rPr>
              <w:t>Master Content Provider Agreement, dated June 3, 2009, by and between Vringo and Maxis Mobile Services SDN BHD (incorporated by</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reference from our Registration Statement on Form S-1 filing on January 29, 2010)</w:t>
            </w:r>
          </w:p>
        </w:tc>
      </w:tr>
      <w:tr>
        <w:trPr>
          <w:trHeight w:val="418"/>
        </w:trPr>
        <w:tc>
          <w:tcPr>
            <w:tcW w:w="1380" w:type="dxa"/>
            <w:vAlign w:val="bottom"/>
            <w:gridSpan w:val="2"/>
          </w:tcPr>
          <w:p>
            <w:pPr>
              <w:jc w:val="center"/>
              <w:ind w:right="970"/>
              <w:spacing w:after="0"/>
              <w:rPr>
                <w:sz w:val="20"/>
                <w:szCs w:val="20"/>
                <w:color w:val="auto"/>
              </w:rPr>
            </w:pPr>
            <w:r>
              <w:rPr>
                <w:rFonts w:ascii="Arial" w:cs="Arial" w:eastAsia="Arial" w:hAnsi="Arial"/>
                <w:sz w:val="18"/>
                <w:szCs w:val="18"/>
                <w:color w:val="auto"/>
                <w:w w:val="91"/>
              </w:rPr>
              <w:t>10.5</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3"/>
              </w:rPr>
              <w:t>Marketing Agreement, dated June 30, 2009, by and between Vringo and Emirates Telecommunications Corporation (incorporated by</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reference from our Registration Statement on Form S-1 filing on January 29, 2010)</w:t>
            </w:r>
          </w:p>
        </w:tc>
      </w:tr>
      <w:tr>
        <w:trPr>
          <w:trHeight w:val="418"/>
        </w:trPr>
        <w:tc>
          <w:tcPr>
            <w:tcW w:w="1380" w:type="dxa"/>
            <w:vAlign w:val="bottom"/>
            <w:gridSpan w:val="2"/>
          </w:tcPr>
          <w:p>
            <w:pPr>
              <w:jc w:val="center"/>
              <w:ind w:right="970"/>
              <w:spacing w:after="0"/>
              <w:rPr>
                <w:sz w:val="20"/>
                <w:szCs w:val="20"/>
                <w:color w:val="auto"/>
              </w:rPr>
            </w:pPr>
            <w:r>
              <w:rPr>
                <w:rFonts w:ascii="Arial" w:cs="Arial" w:eastAsia="Arial" w:hAnsi="Arial"/>
                <w:sz w:val="18"/>
                <w:szCs w:val="18"/>
                <w:color w:val="auto"/>
                <w:w w:val="91"/>
              </w:rPr>
              <w:t>10.6</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9"/>
              </w:rPr>
              <w:t>Marketing Agreement, dated December 29, 2009, by and between Vringo and Hungama Digital Media Entertainment Pvt. Ltd.</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from our Registration Statement on Form S-1 filing on January 29, 2010)</w:t>
            </w:r>
          </w:p>
        </w:tc>
      </w:tr>
      <w:tr>
        <w:trPr>
          <w:trHeight w:val="418"/>
        </w:trPr>
        <w:tc>
          <w:tcPr>
            <w:tcW w:w="1380" w:type="dxa"/>
            <w:vAlign w:val="bottom"/>
            <w:gridSpan w:val="2"/>
          </w:tcPr>
          <w:p>
            <w:pPr>
              <w:jc w:val="center"/>
              <w:ind w:right="970"/>
              <w:spacing w:after="0"/>
              <w:rPr>
                <w:sz w:val="20"/>
                <w:szCs w:val="20"/>
                <w:color w:val="auto"/>
              </w:rPr>
            </w:pPr>
            <w:r>
              <w:rPr>
                <w:rFonts w:ascii="Arial" w:cs="Arial" w:eastAsia="Arial" w:hAnsi="Arial"/>
                <w:sz w:val="18"/>
                <w:szCs w:val="18"/>
                <w:color w:val="auto"/>
                <w:w w:val="91"/>
              </w:rPr>
              <w:t>10.7</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1"/>
              </w:rPr>
              <w:t>Summary of Rental Agreement, dated March 27, 2006, by and between Vringo and BIG Power Centers (incorporated by reference from</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our Registration Statement on Form S-1 filing on January 29, 2010)</w:t>
            </w:r>
          </w:p>
        </w:tc>
      </w:tr>
      <w:tr>
        <w:trPr>
          <w:trHeight w:val="418"/>
        </w:trPr>
        <w:tc>
          <w:tcPr>
            <w:tcW w:w="1380" w:type="dxa"/>
            <w:vAlign w:val="bottom"/>
            <w:gridSpan w:val="2"/>
          </w:tcPr>
          <w:p>
            <w:pPr>
              <w:jc w:val="center"/>
              <w:ind w:right="870"/>
              <w:spacing w:after="0"/>
              <w:rPr>
                <w:sz w:val="20"/>
                <w:szCs w:val="20"/>
                <w:color w:val="auto"/>
              </w:rPr>
            </w:pPr>
            <w:r>
              <w:rPr>
                <w:rFonts w:ascii="Arial" w:cs="Arial" w:eastAsia="Arial" w:hAnsi="Arial"/>
                <w:sz w:val="18"/>
                <w:szCs w:val="18"/>
                <w:color w:val="auto"/>
                <w:w w:val="93"/>
              </w:rPr>
              <w:t>10.8†</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1"/>
              </w:rPr>
              <w:t>Employment Agreement, dated February 13, 2013, by and between Vringo and Andrew D. Perlman (incorporated by reference from our</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Annual Report on Form 10-K for the period ended December 31, 2012 filed on March 21, 2013)</w:t>
            </w:r>
          </w:p>
        </w:tc>
      </w:tr>
      <w:tr>
        <w:trPr>
          <w:trHeight w:val="418"/>
        </w:trPr>
        <w:tc>
          <w:tcPr>
            <w:tcW w:w="1380" w:type="dxa"/>
            <w:vAlign w:val="bottom"/>
            <w:gridSpan w:val="2"/>
          </w:tcPr>
          <w:p>
            <w:pPr>
              <w:jc w:val="center"/>
              <w:ind w:right="870"/>
              <w:spacing w:after="0"/>
              <w:rPr>
                <w:sz w:val="20"/>
                <w:szCs w:val="20"/>
                <w:color w:val="auto"/>
              </w:rPr>
            </w:pPr>
            <w:r>
              <w:rPr>
                <w:rFonts w:ascii="Arial" w:cs="Arial" w:eastAsia="Arial" w:hAnsi="Arial"/>
                <w:sz w:val="18"/>
                <w:szCs w:val="18"/>
                <w:color w:val="auto"/>
                <w:w w:val="93"/>
              </w:rPr>
              <w:t>10.9†</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1"/>
              </w:rPr>
              <w:t>Employment Agreement, dated February 13, 2013, by and between Vringo and Alexander R. Berger (incorporated by reference from our</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Annual Report on Form 10-K for the period ended December 31, 2012 filed on March 21, 2013)</w:t>
            </w:r>
          </w:p>
        </w:tc>
      </w:tr>
      <w:tr>
        <w:trPr>
          <w:trHeight w:val="68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40" w:type="dxa"/>
            <w:vAlign w:val="bottom"/>
            <w:gridSpan w:val="2"/>
          </w:tcPr>
          <w:p>
            <w:pPr>
              <w:ind w:left="4260"/>
              <w:spacing w:after="0"/>
              <w:rPr>
                <w:sz w:val="20"/>
                <w:szCs w:val="20"/>
                <w:color w:val="auto"/>
              </w:rPr>
            </w:pPr>
            <w:r>
              <w:rPr>
                <w:rFonts w:ascii="Arial" w:cs="Arial" w:eastAsia="Arial" w:hAnsi="Arial"/>
                <w:sz w:val="18"/>
                <w:szCs w:val="18"/>
                <w:color w:val="auto"/>
              </w:rPr>
              <w:t>26</w:t>
            </w:r>
          </w:p>
        </w:tc>
      </w:tr>
      <w:tr>
        <w:trPr>
          <w:trHeight w:val="358"/>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10300" w:type="dxa"/>
            <w:vAlign w:val="bottom"/>
          </w:tcPr>
          <w:p>
            <w:pPr>
              <w:ind w:left="380"/>
              <w:spacing w:after="0"/>
              <w:rPr>
                <w:sz w:val="20"/>
                <w:szCs w:val="20"/>
                <w:color w:val="auto"/>
              </w:rPr>
            </w:pPr>
            <w:r>
              <w:rPr>
                <w:rFonts w:ascii="Arial" w:cs="Arial" w:eastAsia="Arial" w:hAnsi="Arial"/>
                <w:sz w:val="18"/>
                <w:szCs w:val="18"/>
                <w:color w:val="auto"/>
                <w:w w:val="95"/>
              </w:rPr>
              <w:t>Employment Agreement, dated June 22, 2011, by and between Innovate/Protect, Inc. and Andrew Kennedy Lang, as amended by</w:t>
            </w:r>
          </w:p>
        </w:tc>
      </w:tr>
      <w:tr>
        <w:trPr>
          <w:trHeight w:val="216"/>
        </w:trPr>
        <w:tc>
          <w:tcPr>
            <w:tcW w:w="1120" w:type="dxa"/>
            <w:vAlign w:val="bottom"/>
          </w:tcPr>
          <w:p>
            <w:pPr>
              <w:spacing w:after="0"/>
              <w:rPr>
                <w:sz w:val="18"/>
                <w:szCs w:val="18"/>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w w:val="94"/>
              </w:rPr>
              <w:t>Amendment No. 1 to Employment Agreement, dated November 14, 2011, and Amendment No. 2 to Employment Agreement, dated</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March 11, 2012 (incorporated by reference from our 8-K filed on July 20, 2012)</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10.11</w:t>
            </w:r>
          </w:p>
        </w:tc>
        <w:tc>
          <w:tcPr>
            <w:tcW w:w="10300" w:type="dxa"/>
            <w:vAlign w:val="bottom"/>
          </w:tcPr>
          <w:p>
            <w:pPr>
              <w:ind w:left="380"/>
              <w:spacing w:after="0"/>
              <w:rPr>
                <w:sz w:val="20"/>
                <w:szCs w:val="20"/>
                <w:color w:val="auto"/>
              </w:rPr>
            </w:pPr>
            <w:r>
              <w:rPr>
                <w:rFonts w:ascii="Arial" w:cs="Arial" w:eastAsia="Arial" w:hAnsi="Arial"/>
                <w:sz w:val="18"/>
                <w:szCs w:val="18"/>
                <w:color w:val="auto"/>
                <w:w w:val="90"/>
              </w:rPr>
              <w:t>Agreement on Cooperation, dated July 15, 2010, between Vringo and Retromedya (incorporated by reference from our Current Report on</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Form 8-K filed on July 19, 2010)</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10300" w:type="dxa"/>
            <w:vAlign w:val="bottom"/>
          </w:tcPr>
          <w:p>
            <w:pPr>
              <w:ind w:left="380"/>
              <w:spacing w:after="0"/>
              <w:rPr>
                <w:sz w:val="20"/>
                <w:szCs w:val="20"/>
                <w:color w:val="auto"/>
              </w:rPr>
            </w:pPr>
            <w:r>
              <w:rPr>
                <w:rFonts w:ascii="Arial" w:cs="Arial" w:eastAsia="Arial" w:hAnsi="Arial"/>
                <w:sz w:val="18"/>
                <w:szCs w:val="18"/>
                <w:color w:val="auto"/>
                <w:w w:val="91"/>
              </w:rPr>
              <w:t>Marketing Agreement, dated August 19, 2010, between Vringo and Everything Everywhere Limited. (incorporated by reference from our</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Form 10-Q filing on November 15, 2010)</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10.13</w:t>
            </w:r>
          </w:p>
        </w:tc>
        <w:tc>
          <w:tcPr>
            <w:tcW w:w="10300" w:type="dxa"/>
            <w:vAlign w:val="bottom"/>
          </w:tcPr>
          <w:p>
            <w:pPr>
              <w:ind w:left="380"/>
              <w:spacing w:after="0"/>
              <w:rPr>
                <w:sz w:val="20"/>
                <w:szCs w:val="20"/>
                <w:color w:val="auto"/>
              </w:rPr>
            </w:pPr>
            <w:r>
              <w:rPr>
                <w:rFonts w:ascii="Arial" w:cs="Arial" w:eastAsia="Arial" w:hAnsi="Arial"/>
                <w:sz w:val="18"/>
                <w:szCs w:val="18"/>
                <w:color w:val="auto"/>
                <w:w w:val="91"/>
              </w:rPr>
              <w:t>Collaboration Agreement, dated September 15, 2010, between Vringo and Starhub Mobile PTE Ltd. (incorporated by reference from our</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Form 10-Q filing on November 15, 2010)</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10.14†</w:t>
            </w:r>
          </w:p>
        </w:tc>
        <w:tc>
          <w:tcPr>
            <w:tcW w:w="10300" w:type="dxa"/>
            <w:vAlign w:val="bottom"/>
          </w:tcPr>
          <w:p>
            <w:pPr>
              <w:ind w:left="380"/>
              <w:spacing w:after="0"/>
              <w:rPr>
                <w:sz w:val="20"/>
                <w:szCs w:val="20"/>
                <w:color w:val="auto"/>
              </w:rPr>
            </w:pPr>
            <w:r>
              <w:rPr>
                <w:rFonts w:ascii="Arial" w:cs="Arial" w:eastAsia="Arial" w:hAnsi="Arial"/>
                <w:sz w:val="18"/>
                <w:szCs w:val="18"/>
                <w:color w:val="auto"/>
                <w:w w:val="91"/>
              </w:rPr>
              <w:t>Employment Agreement, dated December 15, 2010, by and between Vringo and Ellen Cohl (incorporated by reference from our Current</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Report on Form 8-K filed on December 20, 2010)</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10300" w:type="dxa"/>
            <w:vAlign w:val="bottom"/>
          </w:tcPr>
          <w:p>
            <w:pPr>
              <w:ind w:left="380"/>
              <w:spacing w:after="0"/>
              <w:rPr>
                <w:sz w:val="20"/>
                <w:szCs w:val="20"/>
                <w:color w:val="auto"/>
              </w:rPr>
            </w:pPr>
            <w:r>
              <w:rPr>
                <w:rFonts w:ascii="Arial" w:cs="Arial" w:eastAsia="Arial" w:hAnsi="Arial"/>
                <w:sz w:val="18"/>
                <w:szCs w:val="18"/>
                <w:color w:val="auto"/>
              </w:rPr>
              <w:t>Intercompany Cost Plus Agreement (incorporated by reference from our Form 10-K filing on March 31, 2011)</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10.16††</w:t>
            </w:r>
          </w:p>
        </w:tc>
        <w:tc>
          <w:tcPr>
            <w:tcW w:w="10300" w:type="dxa"/>
            <w:vAlign w:val="bottom"/>
          </w:tcPr>
          <w:p>
            <w:pPr>
              <w:ind w:left="380"/>
              <w:spacing w:after="0"/>
              <w:rPr>
                <w:sz w:val="20"/>
                <w:szCs w:val="20"/>
                <w:color w:val="auto"/>
              </w:rPr>
            </w:pPr>
            <w:r>
              <w:rPr>
                <w:rFonts w:ascii="Arial" w:cs="Arial" w:eastAsia="Arial" w:hAnsi="Arial"/>
                <w:sz w:val="18"/>
                <w:szCs w:val="18"/>
                <w:color w:val="auto"/>
                <w:w w:val="92"/>
              </w:rPr>
              <w:t>License agreement with ZTE Corporation, dated November 2, 2011 (incorporated by reference from our 10-K filed on March 30, 2012)</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10.17†</w:t>
            </w:r>
          </w:p>
        </w:tc>
        <w:tc>
          <w:tcPr>
            <w:tcW w:w="10300" w:type="dxa"/>
            <w:vAlign w:val="bottom"/>
          </w:tcPr>
          <w:p>
            <w:pPr>
              <w:ind w:left="380"/>
              <w:spacing w:after="0"/>
              <w:rPr>
                <w:sz w:val="20"/>
                <w:szCs w:val="20"/>
                <w:color w:val="auto"/>
              </w:rPr>
            </w:pPr>
            <w:r>
              <w:rPr>
                <w:rFonts w:ascii="Arial" w:cs="Arial" w:eastAsia="Arial" w:hAnsi="Arial"/>
                <w:sz w:val="18"/>
                <w:szCs w:val="18"/>
                <w:color w:val="auto"/>
                <w:w w:val="91"/>
              </w:rPr>
              <w:t>Employment Agreement, dated December 15, 2010, by and between Vringo and Ellen Cohl (incorporated by reference from our Current</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Report on Form 8-K filed on December 20, 2010)</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10.18†</w:t>
            </w:r>
          </w:p>
        </w:tc>
        <w:tc>
          <w:tcPr>
            <w:tcW w:w="10300" w:type="dxa"/>
            <w:vAlign w:val="bottom"/>
          </w:tcPr>
          <w:p>
            <w:pPr>
              <w:ind w:left="380"/>
              <w:spacing w:after="0"/>
              <w:rPr>
                <w:sz w:val="20"/>
                <w:szCs w:val="20"/>
                <w:color w:val="auto"/>
              </w:rPr>
            </w:pPr>
            <w:r>
              <w:rPr>
                <w:rFonts w:ascii="Arial" w:cs="Arial" w:eastAsia="Arial" w:hAnsi="Arial"/>
                <w:sz w:val="18"/>
                <w:szCs w:val="18"/>
                <w:color w:val="auto"/>
                <w:w w:val="96"/>
              </w:rPr>
              <w:t>Offer letter, dated April 24, 2013, by and between Vringo and Anastasia Nyrkovskaya (incorporated by reference from our Current</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Report on Form 8-K filed on April 25, 2013)</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10.19†*</w:t>
            </w:r>
          </w:p>
        </w:tc>
        <w:tc>
          <w:tcPr>
            <w:tcW w:w="10300" w:type="dxa"/>
            <w:vAlign w:val="bottom"/>
          </w:tcPr>
          <w:p>
            <w:pPr>
              <w:ind w:left="380"/>
              <w:spacing w:after="0"/>
              <w:rPr>
                <w:sz w:val="20"/>
                <w:szCs w:val="20"/>
                <w:color w:val="auto"/>
              </w:rPr>
            </w:pPr>
            <w:r>
              <w:rPr>
                <w:rFonts w:ascii="Arial" w:cs="Arial" w:eastAsia="Arial" w:hAnsi="Arial"/>
                <w:sz w:val="18"/>
                <w:szCs w:val="18"/>
                <w:color w:val="auto"/>
              </w:rPr>
              <w:t>Employment Agreement, dated May 7, 2013, by and between Vringo and David L. Cohen</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10.20</w:t>
            </w:r>
          </w:p>
        </w:tc>
        <w:tc>
          <w:tcPr>
            <w:tcW w:w="10300" w:type="dxa"/>
            <w:vAlign w:val="bottom"/>
          </w:tcPr>
          <w:p>
            <w:pPr>
              <w:ind w:left="380"/>
              <w:spacing w:after="0"/>
              <w:rPr>
                <w:sz w:val="20"/>
                <w:szCs w:val="20"/>
                <w:color w:val="auto"/>
              </w:rPr>
            </w:pPr>
            <w:r>
              <w:rPr>
                <w:rFonts w:ascii="Arial" w:cs="Arial" w:eastAsia="Arial" w:hAnsi="Arial"/>
                <w:sz w:val="18"/>
                <w:szCs w:val="18"/>
                <w:color w:val="auto"/>
                <w:w w:val="93"/>
              </w:rPr>
              <w:t>Agreement dated February 9, 2012, by and between the Company and Facebook, Inc. (incorporated by reference from our Quarterly</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Report on Form 10-Q for the period ended March 31, 2012 filed on May 15, 2012)</w:t>
            </w:r>
          </w:p>
        </w:tc>
      </w:tr>
      <w:tr>
        <w:trPr>
          <w:trHeight w:val="418"/>
        </w:trPr>
        <w:tc>
          <w:tcPr>
            <w:tcW w:w="1120" w:type="dxa"/>
            <w:vAlign w:val="bottom"/>
          </w:tcPr>
          <w:p>
            <w:pPr>
              <w:ind w:left="60"/>
              <w:spacing w:after="0"/>
              <w:rPr>
                <w:sz w:val="20"/>
                <w:szCs w:val="20"/>
                <w:color w:val="auto"/>
              </w:rPr>
            </w:pPr>
            <w:r>
              <w:rPr>
                <w:rFonts w:ascii="Arial" w:cs="Arial" w:eastAsia="Arial" w:hAnsi="Arial"/>
                <w:sz w:val="18"/>
                <w:szCs w:val="18"/>
                <w:color w:val="auto"/>
              </w:rPr>
              <w:t>10.21*</w:t>
            </w:r>
          </w:p>
        </w:tc>
        <w:tc>
          <w:tcPr>
            <w:tcW w:w="10300" w:type="dxa"/>
            <w:vAlign w:val="bottom"/>
          </w:tcPr>
          <w:p>
            <w:pPr>
              <w:ind w:left="380"/>
              <w:spacing w:after="0"/>
              <w:rPr>
                <w:sz w:val="20"/>
                <w:szCs w:val="20"/>
                <w:color w:val="auto"/>
              </w:rPr>
            </w:pPr>
            <w:r>
              <w:rPr>
                <w:rFonts w:ascii="Arial" w:cs="Arial" w:eastAsia="Arial" w:hAnsi="Arial"/>
                <w:sz w:val="18"/>
                <w:szCs w:val="18"/>
                <w:color w:val="auto"/>
                <w:w w:val="91"/>
              </w:rPr>
              <w:t>Lease, dated July 10, 2012, by and between Vringo, Inc. and Teachers Insurance and Annuity Association of America, for the benefit of</w:t>
            </w:r>
          </w:p>
        </w:tc>
      </w:tr>
      <w:tr>
        <w:trPr>
          <w:trHeight w:val="216"/>
        </w:trPr>
        <w:tc>
          <w:tcPr>
            <w:tcW w:w="1120" w:type="dxa"/>
            <w:vAlign w:val="bottom"/>
          </w:tcPr>
          <w:p>
            <w:pPr>
              <w:spacing w:after="0"/>
              <w:rPr>
                <w:sz w:val="18"/>
                <w:szCs w:val="18"/>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w w:val="94"/>
              </w:rPr>
              <w:t>its separate Real Estate Account Landlord (incorporated by reference from our Quarterly Report on Form 10-Q for the period ended</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September 30, 2012 filed on November 14, 2012), as amended on January 24, 2014</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10.22††</w:t>
            </w:r>
          </w:p>
        </w:tc>
        <w:tc>
          <w:tcPr>
            <w:tcW w:w="10300" w:type="dxa"/>
            <w:vAlign w:val="bottom"/>
          </w:tcPr>
          <w:p>
            <w:pPr>
              <w:ind w:left="380"/>
              <w:spacing w:after="0"/>
              <w:rPr>
                <w:sz w:val="20"/>
                <w:szCs w:val="20"/>
                <w:color w:val="auto"/>
              </w:rPr>
            </w:pPr>
            <w:r>
              <w:rPr>
                <w:rFonts w:ascii="Arial" w:cs="Arial" w:eastAsia="Arial" w:hAnsi="Arial"/>
                <w:sz w:val="18"/>
                <w:szCs w:val="18"/>
                <w:color w:val="auto"/>
                <w:w w:val="93"/>
              </w:rPr>
              <w:t>Confidential Patent Purchase Agreement, dated August 9, 2012, by and between Vringo, Inc. and Nokia Corporation (incorporated by</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reference from our Quarterly Report on Form 10-Q for the period ended September 30, 2012 filed on November 14, 2012)</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10.23</w:t>
            </w:r>
          </w:p>
        </w:tc>
        <w:tc>
          <w:tcPr>
            <w:tcW w:w="10300" w:type="dxa"/>
            <w:vAlign w:val="bottom"/>
          </w:tcPr>
          <w:p>
            <w:pPr>
              <w:ind w:left="380"/>
              <w:spacing w:after="0"/>
              <w:rPr>
                <w:sz w:val="20"/>
                <w:szCs w:val="20"/>
                <w:color w:val="auto"/>
              </w:rPr>
            </w:pPr>
            <w:r>
              <w:rPr>
                <w:rFonts w:ascii="Arial" w:cs="Arial" w:eastAsia="Arial" w:hAnsi="Arial"/>
                <w:sz w:val="18"/>
                <w:szCs w:val="18"/>
                <w:color w:val="auto"/>
                <w:w w:val="96"/>
              </w:rPr>
              <w:t>Form of Subscription Agreement, dated October 4, 2012, by and between Vringo, Inc. and each of the investors (incorporated by</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reference from our Current Report on Form 8-K filed on October 5, 2012)</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10.24</w:t>
            </w:r>
          </w:p>
        </w:tc>
        <w:tc>
          <w:tcPr>
            <w:tcW w:w="10300" w:type="dxa"/>
            <w:vAlign w:val="bottom"/>
          </w:tcPr>
          <w:p>
            <w:pPr>
              <w:ind w:left="380"/>
              <w:spacing w:after="0"/>
              <w:rPr>
                <w:sz w:val="20"/>
                <w:szCs w:val="20"/>
                <w:color w:val="auto"/>
              </w:rPr>
            </w:pPr>
            <w:r>
              <w:rPr>
                <w:rFonts w:ascii="Arial" w:cs="Arial" w:eastAsia="Arial" w:hAnsi="Arial"/>
                <w:sz w:val="18"/>
                <w:szCs w:val="18"/>
                <w:color w:val="auto"/>
                <w:w w:val="97"/>
              </w:rPr>
              <w:t>Form of Subscription Agreement, dated August 9, 2012, by and between Vringo, Inc. and each of the investors (incorporated by</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reference from our Current Report on Form 8-K filed on August 9, 2012)</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10.25†</w:t>
            </w:r>
          </w:p>
        </w:tc>
        <w:tc>
          <w:tcPr>
            <w:tcW w:w="10300" w:type="dxa"/>
            <w:vAlign w:val="bottom"/>
          </w:tcPr>
          <w:p>
            <w:pPr>
              <w:ind w:left="380"/>
              <w:spacing w:after="0"/>
              <w:rPr>
                <w:sz w:val="20"/>
                <w:szCs w:val="20"/>
                <w:color w:val="auto"/>
              </w:rPr>
            </w:pPr>
            <w:r>
              <w:rPr>
                <w:rFonts w:ascii="Arial" w:cs="Arial" w:eastAsia="Arial" w:hAnsi="Arial"/>
                <w:sz w:val="18"/>
                <w:szCs w:val="18"/>
                <w:color w:val="auto"/>
                <w:w w:val="96"/>
              </w:rPr>
              <w:t>Form of Indemnification Agreement, dated January 31, 2013, by and between Vringo, Inc. and each of its Directors and Executive</w:t>
            </w:r>
          </w:p>
        </w:tc>
      </w:tr>
      <w:tr>
        <w:trPr>
          <w:trHeight w:val="216"/>
        </w:trPr>
        <w:tc>
          <w:tcPr>
            <w:tcW w:w="1120" w:type="dxa"/>
            <w:vAlign w:val="bottom"/>
          </w:tcPr>
          <w:p>
            <w:pPr>
              <w:spacing w:after="0"/>
              <w:rPr>
                <w:sz w:val="18"/>
                <w:szCs w:val="18"/>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w w:val="93"/>
              </w:rPr>
              <w:t>Officer (incorporated by reference from our Annual Report on Form 10-K for the period ended December 31, 2012 filed on March 21,</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2013)</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21*</w:t>
            </w:r>
          </w:p>
        </w:tc>
        <w:tc>
          <w:tcPr>
            <w:tcW w:w="10300" w:type="dxa"/>
            <w:vAlign w:val="bottom"/>
          </w:tcPr>
          <w:p>
            <w:pPr>
              <w:ind w:left="380"/>
              <w:spacing w:after="0"/>
              <w:rPr>
                <w:sz w:val="20"/>
                <w:szCs w:val="20"/>
                <w:color w:val="auto"/>
              </w:rPr>
            </w:pPr>
            <w:r>
              <w:rPr>
                <w:rFonts w:ascii="Arial" w:cs="Arial" w:eastAsia="Arial" w:hAnsi="Arial"/>
                <w:sz w:val="18"/>
                <w:szCs w:val="18"/>
                <w:color w:val="auto"/>
              </w:rPr>
              <w:t>Subsidiaries of Vringo, Inc.</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10300" w:type="dxa"/>
            <w:vAlign w:val="bottom"/>
          </w:tcPr>
          <w:p>
            <w:pPr>
              <w:ind w:left="380"/>
              <w:spacing w:after="0"/>
              <w:rPr>
                <w:sz w:val="20"/>
                <w:szCs w:val="20"/>
                <w:color w:val="auto"/>
              </w:rPr>
            </w:pPr>
            <w:r>
              <w:rPr>
                <w:rFonts w:ascii="Arial" w:cs="Arial" w:eastAsia="Arial" w:hAnsi="Arial"/>
                <w:sz w:val="18"/>
                <w:szCs w:val="18"/>
                <w:color w:val="auto"/>
              </w:rPr>
              <w:t>Consent of Somekh Chaikin, a member firm of KPMG International, Independent Registered Public Accounting Firm</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10300" w:type="dxa"/>
            <w:vAlign w:val="bottom"/>
          </w:tcPr>
          <w:p>
            <w:pPr>
              <w:ind w:left="380"/>
              <w:spacing w:after="0"/>
              <w:rPr>
                <w:sz w:val="20"/>
                <w:szCs w:val="20"/>
                <w:color w:val="auto"/>
              </w:rPr>
            </w:pPr>
            <w:r>
              <w:rPr>
                <w:rFonts w:ascii="Arial" w:cs="Arial" w:eastAsia="Arial" w:hAnsi="Arial"/>
                <w:sz w:val="18"/>
                <w:szCs w:val="18"/>
                <w:color w:val="auto"/>
                <w:w w:val="91"/>
              </w:rPr>
              <w:t>Certification of Principal Executive pursuant to Exchange Act, Rules 13a – 14(a) and 15d – 14(a), as adopted pursuant to Section 302 of</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the Sarbanes-Oxley Act of 2002</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10300" w:type="dxa"/>
            <w:vAlign w:val="bottom"/>
          </w:tcPr>
          <w:p>
            <w:pPr>
              <w:ind w:left="380"/>
              <w:spacing w:after="0"/>
              <w:rPr>
                <w:sz w:val="20"/>
                <w:szCs w:val="20"/>
                <w:color w:val="auto"/>
              </w:rPr>
            </w:pPr>
            <w:r>
              <w:rPr>
                <w:rFonts w:ascii="Arial" w:cs="Arial" w:eastAsia="Arial" w:hAnsi="Arial"/>
                <w:sz w:val="18"/>
                <w:szCs w:val="18"/>
                <w:color w:val="auto"/>
                <w:w w:val="98"/>
              </w:rPr>
              <w:t>Certification of Principal Financial Officer pursuant to Exchange Act Rules 13a – 14(a) and 15d – 14(a), as adopted pursuant to</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10300" w:type="dxa"/>
            <w:vAlign w:val="bottom"/>
          </w:tcPr>
          <w:p>
            <w:pPr>
              <w:ind w:left="380"/>
              <w:spacing w:after="0"/>
              <w:rPr>
                <w:sz w:val="20"/>
                <w:szCs w:val="20"/>
                <w:color w:val="auto"/>
              </w:rPr>
            </w:pPr>
            <w:r>
              <w:rPr>
                <w:rFonts w:ascii="Arial" w:cs="Arial" w:eastAsia="Arial" w:hAnsi="Arial"/>
                <w:sz w:val="18"/>
                <w:szCs w:val="18"/>
                <w:color w:val="auto"/>
                <w:w w:val="92"/>
              </w:rPr>
              <w:t>Certifications of Principal Executive Officer and Principal Financial Officer Pursuant to 18 U.S.C. Section 1350, as adopted pursuant to</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Section 906 of the Sarbanes-Oxley Act of 2002</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99.1*</w:t>
            </w:r>
          </w:p>
        </w:tc>
        <w:tc>
          <w:tcPr>
            <w:tcW w:w="10300" w:type="dxa"/>
            <w:vAlign w:val="bottom"/>
          </w:tcPr>
          <w:p>
            <w:pPr>
              <w:ind w:left="380"/>
              <w:spacing w:after="0"/>
              <w:rPr>
                <w:sz w:val="20"/>
                <w:szCs w:val="20"/>
                <w:color w:val="auto"/>
              </w:rPr>
            </w:pPr>
            <w:r>
              <w:rPr>
                <w:rFonts w:ascii="Arial" w:cs="Arial" w:eastAsia="Arial" w:hAnsi="Arial"/>
                <w:sz w:val="18"/>
                <w:szCs w:val="18"/>
                <w:color w:val="auto"/>
              </w:rPr>
              <w:t>Vringo, Inc. Patent Portfolio</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300" w:type="dxa"/>
            <w:vAlign w:val="bottom"/>
          </w:tcPr>
          <w:p>
            <w:pPr>
              <w:ind w:left="380"/>
              <w:spacing w:after="0"/>
              <w:rPr>
                <w:sz w:val="20"/>
                <w:szCs w:val="20"/>
                <w:color w:val="auto"/>
              </w:rPr>
            </w:pPr>
            <w:r>
              <w:rPr>
                <w:rFonts w:ascii="Arial" w:cs="Arial" w:eastAsia="Arial" w:hAnsi="Arial"/>
                <w:sz w:val="18"/>
                <w:szCs w:val="18"/>
                <w:color w:val="auto"/>
              </w:rPr>
              <w:t>XBLR Instance Document</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300" w:type="dxa"/>
            <w:vAlign w:val="bottom"/>
          </w:tcPr>
          <w:p>
            <w:pPr>
              <w:ind w:left="380"/>
              <w:spacing w:after="0"/>
              <w:rPr>
                <w:sz w:val="20"/>
                <w:szCs w:val="20"/>
                <w:color w:val="auto"/>
              </w:rPr>
            </w:pPr>
            <w:r>
              <w:rPr>
                <w:rFonts w:ascii="Arial" w:cs="Arial" w:eastAsia="Arial" w:hAnsi="Arial"/>
                <w:sz w:val="18"/>
                <w:szCs w:val="18"/>
                <w:color w:val="auto"/>
              </w:rPr>
              <w:t>XBLR Taxonomy Extension Schema Document</w:t>
            </w:r>
          </w:p>
        </w:tc>
      </w:tr>
      <w:tr>
        <w:trPr>
          <w:trHeight w:val="689"/>
        </w:trPr>
        <w:tc>
          <w:tcPr>
            <w:tcW w:w="1120" w:type="dxa"/>
            <w:vAlign w:val="bottom"/>
          </w:tcPr>
          <w:p>
            <w:pPr>
              <w:spacing w:after="0"/>
              <w:rPr>
                <w:sz w:val="24"/>
                <w:szCs w:val="24"/>
                <w:color w:val="auto"/>
              </w:rPr>
            </w:pPr>
          </w:p>
        </w:tc>
        <w:tc>
          <w:tcPr>
            <w:tcW w:w="10300" w:type="dxa"/>
            <w:vAlign w:val="bottom"/>
          </w:tcPr>
          <w:p>
            <w:pPr>
              <w:ind w:left="4520"/>
              <w:spacing w:after="0"/>
              <w:rPr>
                <w:sz w:val="20"/>
                <w:szCs w:val="20"/>
                <w:color w:val="auto"/>
              </w:rPr>
            </w:pPr>
            <w:r>
              <w:rPr>
                <w:rFonts w:ascii="Arial" w:cs="Arial" w:eastAsia="Arial" w:hAnsi="Arial"/>
                <w:sz w:val="18"/>
                <w:szCs w:val="18"/>
                <w:color w:val="auto"/>
              </w:rPr>
              <w:t>27</w:t>
            </w:r>
          </w:p>
        </w:tc>
      </w:tr>
      <w:tr>
        <w:trPr>
          <w:trHeight w:val="358"/>
        </w:trPr>
        <w:tc>
          <w:tcPr>
            <w:tcW w:w="112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589" w:gutter="0" w:footer="0" w:header="0"/>
        </w:sectPr>
      </w:pPr>
    </w:p>
    <w:bookmarkStart w:id="63" w:name="page64"/>
    <w:bookmarkEnd w:id="63"/>
    <w:p>
      <w:pPr>
        <w:spacing w:after="0"/>
        <w:tabs>
          <w:tab w:leader="none" w:pos="148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6"/>
          <w:szCs w:val="16"/>
          <w:color w:val="auto"/>
        </w:rPr>
        <w:t>XBLR Taxonomy Extension Calculation Linkbase Document</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6"/>
          <w:szCs w:val="16"/>
          <w:color w:val="auto"/>
        </w:rPr>
        <w:t>XBLR Taxonomy Extension Definition Linkbase Document</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6"/>
          <w:szCs w:val="16"/>
          <w:color w:val="auto"/>
        </w:rPr>
        <w:t>XBLR Taxonomy Extension Label Linkbase Document</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XBLR Taxonomy Extension Presentation Linkbase Document</w:t>
      </w:r>
    </w:p>
    <w:p>
      <w:pPr>
        <w:spacing w:after="0" w:line="22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jc w:val="center"/>
        <w:ind w:left="5640" w:hanging="5632"/>
        <w:spacing w:after="0" w:line="825" w:lineRule="auto"/>
        <w:tabs>
          <w:tab w:leader="none" w:pos="4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240" w:top="341" w:right="105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Vringo, Inc. (the “Corporation”), a corporation organized and existing under and by virtue of the General Corporation Law of the State of Delaware (the “DGCL”), DOES HEREBY CERTIFY:</w:t>
      </w:r>
    </w:p>
    <w:p>
      <w:pPr>
        <w:spacing w:after="0" w:line="170" w:lineRule="exact"/>
        <w:rPr>
          <w:sz w:val="20"/>
          <w:szCs w:val="20"/>
          <w:color w:val="auto"/>
        </w:rPr>
      </w:pPr>
    </w:p>
    <w:p>
      <w:pPr>
        <w:ind w:right="20" w:firstLine="449"/>
        <w:spacing w:after="0" w:line="259" w:lineRule="auto"/>
        <w:tabs>
          <w:tab w:leader="none" w:pos="6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of the Corporation is Vringo, Inc. The Corporation’s original Certificate of Incorporation was filed with the Delaware Secretary of State on January 9, 2006. An Amended and Restated Certificate of Incorporation was filed with the Secretary of State of the State of Delaware on May 9, 2006, July 12, 2006, August 9, 2006 and July 30, 2007. An amendment to the Amended and Restated Certificate of Incorporation was filed with the Secretary of State of the State of Delaware on February 21, 2008 and December 29, 2009.</w:t>
      </w:r>
    </w:p>
    <w:p>
      <w:pPr>
        <w:spacing w:after="0" w:line="186" w:lineRule="exact"/>
        <w:rPr>
          <w:rFonts w:ascii="Arial" w:cs="Arial" w:eastAsia="Arial" w:hAnsi="Arial"/>
          <w:sz w:val="18"/>
          <w:szCs w:val="18"/>
          <w:color w:val="auto"/>
        </w:rPr>
      </w:pPr>
    </w:p>
    <w:p>
      <w:pPr>
        <w:ind w:right="200" w:firstLine="449"/>
        <w:spacing w:after="0" w:line="259" w:lineRule="auto"/>
        <w:tabs>
          <w:tab w:leader="none" w:pos="6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the Board of Directors duly adopted resolutions setting forth a proposed amendment and restatement of the Amended and Restated Certificate of Incorporation of the Corporation, declaring said amendment and restatement to be advisable and directing its officers to submit said amendment and restatement to the stockholders of the Corporation for consideration thereof. The resolution setting forth the proposed amendment and restatement is as follows:</w:t>
      </w:r>
    </w:p>
    <w:p>
      <w:pPr>
        <w:spacing w:after="0" w:line="187"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“THEREFORE, BE IT RESOLVED, that the Amended and Restated Certificate of Incorporation of the Corporation is hereby amended to read in its entirety as follows, subject to the required consent of the stockholders of the 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The name of the Corporation (hereinafter the “Corporation”) is Vringo, Inc.</w:t>
      </w:r>
    </w:p>
    <w:p>
      <w:pPr>
        <w:spacing w:after="0" w:line="225"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SECOND: The address, including street, number, city and county, of the registered office of the Corporation in the State of Delaware is 1209 Orange Street, Wilmington, County of New Castle, Delaware 19801; and the name of the Registered Agent of the Corporation at such address is The Corporation Trust Company.</w:t>
      </w:r>
    </w:p>
    <w:p>
      <w:pPr>
        <w:spacing w:after="0" w:line="18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THIRD: The nature of the business or purposes to be conducted or promoted is to engage in any lawful act or activity for which corporations may be organized under the General Corporation Law of the State of Delaware (the “DGCL”).</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FOURTH: The Corporation is authorized to issue two classes of stock to be designated, respectively, Common Stock, par value $0.01 per share (“Common Stock”) and Preferred Stock, par value $0.01 per share (“Preferred Stock”). The total number of shares the Corporation shall have the authority to issue is one hundred fifty-five million (155,000,000) shares, one hundred fifty million (150,000,000) shares of which shall be Common Stock and five million (5,000,000) shares of which shall be Preferred Stock.</w:t>
      </w:r>
    </w:p>
    <w:p>
      <w:pPr>
        <w:spacing w:after="0" w:line="187" w:lineRule="exact"/>
        <w:rPr>
          <w:sz w:val="20"/>
          <w:szCs w:val="20"/>
          <w:color w:val="auto"/>
        </w:rPr>
      </w:pPr>
    </w:p>
    <w:p>
      <w:pPr>
        <w:ind w:right="40" w:firstLine="889"/>
        <w:spacing w:after="0" w:line="255" w:lineRule="auto"/>
        <w:tabs>
          <w:tab w:leader="none" w:pos="11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Common Stock. The voting, dividend and liquidation rights of the holders of the Common Stock are subject to and qualified by the rights of the holders of the Preferred Stock of any series as may be designated by the Board of Directors upon any issuance of the Preferred Stock or any series. The holders of the Common Stock are entitled to one vote for each share held at all meetings of stockholders. There shall be no cumulative voting. Dividends may be declared and paid on the Common Stock from funds lawfully available therefor as and when determined by the Board of Directors and subject to any preferential dividend rights of any then outstanding Preferred Stock. Upon the dissolution or liquidation of the Corporation, whether voluntary or involuntary, holders of the Corporation will be entitled to receive ratably all assets of the Corporation available for distribution to stockholders, subject to any preferential rights of any then outstanding Preferred Stock.</w:t>
      </w:r>
    </w:p>
    <w:p>
      <w:pPr>
        <w:spacing w:after="0" w:line="189" w:lineRule="exact"/>
        <w:rPr>
          <w:rFonts w:ascii="Arial" w:cs="Arial" w:eastAsia="Arial" w:hAnsi="Arial"/>
          <w:sz w:val="18"/>
          <w:szCs w:val="18"/>
          <w:color w:val="auto"/>
        </w:rPr>
      </w:pPr>
    </w:p>
    <w:p>
      <w:pPr>
        <w:ind w:right="40" w:firstLine="889"/>
        <w:spacing w:after="0" w:line="286" w:lineRule="auto"/>
        <w:tabs>
          <w:tab w:leader="none" w:pos="11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Preferred Stock. Shares of Preferred Stock may be issued from time to time in one or more series, each of such series to have such terms as stated in the resolution or resolutions providing for the establishment of such series adopted by the Board of Directors of the Corporation as hereinafter provided. Authority is hereby expressly granted to the Board of Directors of the Corporation to issue, from time to time, shares of Preferred Stock in one or more series, and, in connection with the establishment of any such series by resolution or resolutions, to determine and fix such voting powers, full or limited, or no voting powers, and such other powers, designations, preferences and relative, participating, optional and other special rights, and the qualifications, limitations and restrictions thereof, if any, including, without limitation, dividend rights, conversion rights, redemption privileges and liquidation preferences, as shall be stated in such resolution or resolutions, all to the fullest extent permitted by the DGCL. Without limiting the generality of the foregoing, the resolution or resolutions providing for the establishment of any series of Preferred Stock may, to the extent permitted by law, provide that such series shall be superior to, rank equally with or be junior to the Preferred Stock of any other series. The powers, preferences and relative, participating, optional and other special rights of each series of Preferred Stock, and the qualifications, limitations or restrictions thereof, if any, may be different from those of any and all other series at any time outstanding. Except as otherwise expressly provided in the resolution or resolutions providing for the establishment of any series of Preferred Stock, no vote of the holders of shares of Preferred Stock or Common Stock shall be a prerequisite to the issuance of any shares of any series of the Preferred Stock authorized by and complying with the conditions of this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ind w:right="60" w:firstLine="441"/>
        <w:spacing w:after="0" w:line="264" w:lineRule="auto"/>
        <w:rPr>
          <w:sz w:val="20"/>
          <w:szCs w:val="20"/>
          <w:color w:val="auto"/>
        </w:rPr>
      </w:pPr>
      <w:r>
        <w:rPr>
          <w:rFonts w:ascii="Arial" w:cs="Arial" w:eastAsia="Arial" w:hAnsi="Arial"/>
          <w:sz w:val="18"/>
          <w:szCs w:val="18"/>
          <w:color w:val="auto"/>
        </w:rPr>
        <w:t>FIFTH: (1) The business and affairs of the Corporation shall be managed by or under the direction of a Board of Directors having that number of directors set out in the Bylaws of the Corporation as adopted or as set forth from time to time by a duly adopted amendment thereto by the Board of Directors or stockholders of the Corporation.</w:t>
      </w:r>
    </w:p>
    <w:p>
      <w:pPr>
        <w:spacing w:after="0" w:line="181" w:lineRule="exact"/>
        <w:rPr>
          <w:sz w:val="20"/>
          <w:szCs w:val="20"/>
          <w:color w:val="auto"/>
        </w:rPr>
      </w:pPr>
    </w:p>
    <w:p>
      <w:pPr>
        <w:ind w:right="60" w:firstLine="889"/>
        <w:spacing w:after="0" w:line="242" w:lineRule="auto"/>
        <w:tabs>
          <w:tab w:leader="none" w:pos="11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No director (other than directors elected by one or more series of Preferred Stock) may be removed from office by the stockholders except for cause and, in addition to any other vote required by law, upon the affirmative vote of not less than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total voting power of all outstanding securities of the Corporation then entitled to vote generally in the election of directors, voting together as a single class.</w:t>
      </w:r>
    </w:p>
    <w:p>
      <w:pPr>
        <w:spacing w:after="0" w:line="199" w:lineRule="exact"/>
        <w:rPr>
          <w:rFonts w:ascii="Arial" w:cs="Arial" w:eastAsia="Arial" w:hAnsi="Arial"/>
          <w:sz w:val="17"/>
          <w:szCs w:val="17"/>
          <w:color w:val="auto"/>
        </w:rPr>
      </w:pPr>
    </w:p>
    <w:p>
      <w:pPr>
        <w:ind w:right="20" w:firstLine="889"/>
        <w:spacing w:after="0" w:line="271" w:lineRule="auto"/>
        <w:tabs>
          <w:tab w:leader="none" w:pos="11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Each director shall hold office until such director’s successor shall have been duly elected and qualified or until such director’s earlier death, resignation or removal. Vacancies on the Board of Directors resulting from death, resignation, removal or otherwise and newly created directorships resulting from any increase in the number of directors (other than directors elected by one or more series of Preferred Stock) may be filled solely by a vote of a majority of the directors then in office (although less than a quorum) or by a sole remaining director, and each director so elected shall serve for the remainder of the full term of the director whose death, resignation or removal shall have created such vacancy and until his or her successor shall have been elected and qualified. Whenever the holders of one or more classes or series of Preferred Stock shall have the right, voting separately as a class or series, to elect directors, the nomination, election, term of office, filling of vacancies, removal and other features of such directorships shall not be governed by this Article FIFTH unless otherwise provided for in the certificate of designation for such classes or series.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SIXTH: The Corporation is to have perpetual existence.</w:t>
      </w:r>
    </w:p>
    <w:p>
      <w:pPr>
        <w:spacing w:after="0" w:line="22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SEVENTH: The following provisions are inserted for the management of the business and the conduct of the affairs of the Corporation and for the further definition of the powers of the Corporation and its directors and stockholders:</w:t>
      </w:r>
    </w:p>
    <w:p>
      <w:pPr>
        <w:spacing w:after="0" w:line="170" w:lineRule="exact"/>
        <w:rPr>
          <w:sz w:val="20"/>
          <w:szCs w:val="20"/>
          <w:color w:val="auto"/>
        </w:rPr>
      </w:pPr>
    </w:p>
    <w:p>
      <w:pPr>
        <w:ind w:right="20" w:firstLine="889"/>
        <w:spacing w:after="0" w:line="231" w:lineRule="auto"/>
        <w:tabs>
          <w:tab w:leader="none" w:pos="11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Board of Directors is expressly authorized to make, adopt, amend, alter, rescind or repeal the Bylaws of the Corporation. Notwithstanding the foregoing, the stockholders may adopt, amend, alter, rescind or repeal the Bylaws with, in addition to any other vote required by law, the affirmative vote of the holders of not less than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total voting power of all outstanding securities of the Corporation then entitled to vote generally in the election of directors, voting together as a single class.</w:t>
      </w:r>
    </w:p>
    <w:p>
      <w:pPr>
        <w:spacing w:after="0" w:line="204" w:lineRule="exact"/>
        <w:rPr>
          <w:rFonts w:ascii="Arial" w:cs="Arial" w:eastAsia="Arial" w:hAnsi="Arial"/>
          <w:sz w:val="18"/>
          <w:szCs w:val="18"/>
          <w:color w:val="auto"/>
        </w:rPr>
      </w:pPr>
    </w:p>
    <w:p>
      <w:pPr>
        <w:ind w:left="1140" w:hanging="251"/>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of the Corporation so provide.</w:t>
      </w:r>
    </w:p>
    <w:p>
      <w:pPr>
        <w:spacing w:after="0" w:line="225" w:lineRule="exact"/>
        <w:rPr>
          <w:rFonts w:ascii="Arial" w:cs="Arial" w:eastAsia="Arial" w:hAnsi="Arial"/>
          <w:sz w:val="18"/>
          <w:szCs w:val="18"/>
          <w:color w:val="auto"/>
        </w:rPr>
      </w:pPr>
    </w:p>
    <w:p>
      <w:pPr>
        <w:ind w:right="120" w:firstLine="889"/>
        <w:spacing w:after="0" w:line="276" w:lineRule="auto"/>
        <w:tabs>
          <w:tab w:leader="none" w:pos="11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Special meetings of the stockholders of the Corporation for any purpose or purposes may be called at any time by the Chairman of the Board of Directors or the Chief Executive Officer or at the written request of a majority of the members of the Board of Directors and may not be called by any 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and to the extent that any special meeting of stockholders may be called by any other person or persons specified in any provisions of the Certificate of Incorporation or any amendment thereto or any certificate filed under Section 151(g) of the DGCL, then such special meeting may also be called by the person or persons, in the manner, at the times and for the purposes so specified.</w:t>
      </w:r>
    </w:p>
    <w:p>
      <w:pPr>
        <w:spacing w:after="0" w:line="17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EIGHTH: 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NINTH: A director of the Corporation shall not be personally liable to the Corporation or its stockholders for monetary damages for breach of fiduciary duty as a director, provided that this Article shall not eliminate or limit the liability of a director (i) for any breach of his or her duty of loyalty to the Corporation or its stockholders, (ii) for acts or omissions not in good faith or which involve intentional misconduct or a knowing violation of the law, (iii) under Section 174 of the DGCL or (iv) for any transaction from which the director derives an improper personal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right="40" w:firstLine="881"/>
        <w:spacing w:after="0" w:line="279" w:lineRule="auto"/>
        <w:rPr>
          <w:sz w:val="20"/>
          <w:szCs w:val="20"/>
          <w:color w:val="auto"/>
        </w:rPr>
      </w:pPr>
      <w:r>
        <w:rPr>
          <w:rFonts w:ascii="Arial" w:cs="Arial" w:eastAsia="Arial" w:hAnsi="Arial"/>
          <w:sz w:val="17"/>
          <w:szCs w:val="17"/>
          <w:color w:val="auto"/>
        </w:rPr>
        <w:t>If the DGCL is hereafter amended to authorize corporate action further limiting or eliminating the personal liability of directors, then the liability of the director to the Corporation shall be limited or eliminated to the fullest extent permitted by the DGCL, as so amended from time to time. Any amendment, repeal or modification of this Article shall be prospective only, and shall not adversely affect any right or protection of a director of the Corporation under this Article NINTH in respect of any act or omission occurring prior to the time of such amendment, repeal or modification.</w:t>
      </w:r>
    </w:p>
    <w:p>
      <w:pPr>
        <w:spacing w:after="0" w:line="17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TENTH: Each reference in this Amended and Restated Certificate of Incorporation to any provision of the DGCL refers to the specified provision of the DGCL, as the same now exists or as it may hereafter be amended or superseded.</w:t>
      </w:r>
    </w:p>
    <w:p>
      <w:pPr>
        <w:spacing w:after="0" w:line="170"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ELEVENTH: The Corporation reserves the right at any time and from time to time to amend, alter, change or repeal any provision contained in this Certificate of Incorporation, in the manner now or hereafter prescribed by the laws of the State of Delaware; and all rights conferred on stockholders, directors or any other persons herein are granted subject to this reservation.</w:t>
      </w:r>
    </w:p>
    <w:p>
      <w:pPr>
        <w:spacing w:after="0" w:line="181" w:lineRule="exact"/>
        <w:rPr>
          <w:sz w:val="20"/>
          <w:szCs w:val="20"/>
          <w:color w:val="auto"/>
        </w:rPr>
      </w:pPr>
    </w:p>
    <w:p>
      <w:pPr>
        <w:ind w:right="320" w:firstLine="449"/>
        <w:spacing w:after="0" w:line="277" w:lineRule="auto"/>
        <w:tabs>
          <w:tab w:leader="none" w:pos="6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said Amended and Restated Certificate of Incorporation has been consented to and authorized by the holders of a majority of the issued and outstanding stock entitled to vote in accordance with the provisions of Section 228 of the DGCL.</w:t>
      </w:r>
    </w:p>
    <w:p>
      <w:pPr>
        <w:spacing w:after="0" w:line="170" w:lineRule="exact"/>
        <w:rPr>
          <w:rFonts w:ascii="Arial" w:cs="Arial" w:eastAsia="Arial" w:hAnsi="Arial"/>
          <w:sz w:val="18"/>
          <w:szCs w:val="18"/>
          <w:color w:val="auto"/>
        </w:rPr>
      </w:pPr>
    </w:p>
    <w:p>
      <w:pPr>
        <w:ind w:firstLine="449"/>
        <w:spacing w:after="0" w:line="277" w:lineRule="auto"/>
        <w:tabs>
          <w:tab w:leader="none" w:pos="6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said Amended and Restated Certificate of Incorporation was duly adopted in accordance with the applicable provisions of Sections 242 and 245 of the DGCL.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67" w:name="page68"/>
    <w:bookmarkEnd w:id="67"/>
    <w:p>
      <w:pPr>
        <w:ind w:firstLine="441"/>
        <w:spacing w:after="0" w:line="280" w:lineRule="auto"/>
        <w:rPr>
          <w:sz w:val="20"/>
          <w:szCs w:val="20"/>
          <w:color w:val="auto"/>
        </w:rPr>
      </w:pPr>
      <w:r>
        <w:rPr>
          <w:rFonts w:ascii="Arial" w:cs="Arial" w:eastAsia="Arial" w:hAnsi="Arial"/>
          <w:sz w:val="18"/>
          <w:szCs w:val="18"/>
          <w:color w:val="auto"/>
        </w:rPr>
        <w:t>IN WITNESS WHEREOF, Vringo, Inc. has caused this Amended and Restated Certificate of Incorporation to be signed by its Chief Executive Officer, on this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June, 2010.</w:t>
      </w:r>
    </w:p>
    <w:p>
      <w:pPr>
        <w:spacing w:after="0" w:line="26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Jonathan Medved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Originally adopted: June 22, 2010</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Amended: July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the 7th day of May, 2013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and is by and between David L. Cohen, an individual residing at the address listed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Employee</w:t>
      </w:r>
      <w:r>
        <w:rPr>
          <w:rFonts w:ascii="Arial" w:cs="Arial" w:eastAsia="Arial" w:hAnsi="Arial"/>
          <w:sz w:val="18"/>
          <w:szCs w:val="18"/>
          <w:color w:val="auto"/>
        </w:rPr>
        <w:t>"), and Vringo, Inc., a Delaware corporation with principal offices located at 780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 15th Floor, New York, NY 10017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50" w:lineRule="exact"/>
        <w:rPr>
          <w:sz w:val="20"/>
          <w:szCs w:val="20"/>
          <w:color w:val="auto"/>
        </w:rPr>
      </w:pPr>
    </w:p>
    <w:p>
      <w:pPr>
        <w:ind w:right="580" w:firstLine="63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Employee desires to continue to be employed by the Company as its Chief Legal and Intellectual Property Officer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set forth herein and the Company wishes to continue to employ Employee in such capacity;</w:t>
      </w:r>
    </w:p>
    <w:p>
      <w:pPr>
        <w:spacing w:after="0" w:line="162" w:lineRule="exact"/>
        <w:rPr>
          <w:sz w:val="20"/>
          <w:szCs w:val="20"/>
          <w:color w:val="auto"/>
        </w:rPr>
      </w:pPr>
    </w:p>
    <w:p>
      <w:pPr>
        <w:ind w:left="20" w:firstLine="622"/>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and the respective covenants and agreements of the parties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the Company and Employee hereby agree as follows:</w:t>
      </w:r>
    </w:p>
    <w:p>
      <w:pPr>
        <w:spacing w:after="0" w:line="166" w:lineRule="exact"/>
        <w:rPr>
          <w:sz w:val="20"/>
          <w:szCs w:val="20"/>
          <w:color w:val="auto"/>
        </w:rPr>
      </w:pPr>
    </w:p>
    <w:p>
      <w:pPr>
        <w:ind w:left="1600" w:hanging="944"/>
        <w:spacing w:after="0"/>
        <w:tabs>
          <w:tab w:leader="none" w:pos="16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02" w:lineRule="auto"/>
        <w:tabs>
          <w:tab w:leader="none" w:pos="2297" w:val="left"/>
        </w:tabs>
        <w:numPr>
          <w:ilvl w:val="1"/>
          <w:numId w:val="27"/>
        </w:numPr>
        <w:rPr>
          <w:rFonts w:ascii="Arial" w:cs="Arial" w:eastAsia="Arial" w:hAnsi="Arial"/>
          <w:sz w:val="16"/>
          <w:szCs w:val="16"/>
          <w:color w:val="auto"/>
        </w:rPr>
      </w:pPr>
      <w:r>
        <w:rPr>
          <w:rFonts w:ascii="Arial" w:cs="Arial" w:eastAsia="Arial" w:hAnsi="Arial"/>
          <w:sz w:val="16"/>
          <w:szCs w:val="16"/>
          <w:color w:val="auto"/>
        </w:rPr>
        <w:t>Subject to the terms of this Agreement, the Company agrees to employ, and Employee agrees to serve, as its Chief Legal and Intellectual Property Officer. The duties and responsibilities of Employee shall include the duties and responsibilities normally associated with such positions and such other duties and responsibilities consistent with such positions as the Company's Chief Executive Officer may from time to time reasonably assign in good faith to Employee. At all times during the term of this Agreement, the Employee shall report directly to the Chief Executive Officer ("</w:t>
      </w:r>
      <w:r>
        <w:rPr>
          <w:rFonts w:ascii="Arial" w:cs="Arial" w:eastAsia="Arial" w:hAnsi="Arial"/>
          <w:sz w:val="16"/>
          <w:szCs w:val="16"/>
          <w:u w:val="single" w:color="auto"/>
          <w:color w:val="auto"/>
        </w:rPr>
        <w:t>CEO</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firstLine="1305"/>
        <w:spacing w:after="0" w:line="271" w:lineRule="auto"/>
        <w:tabs>
          <w:tab w:leader="none" w:pos="2357" w:val="left"/>
        </w:tabs>
        <w:numPr>
          <w:ilvl w:val="1"/>
          <w:numId w:val="27"/>
        </w:numPr>
        <w:rPr>
          <w:rFonts w:ascii="Arial" w:cs="Arial" w:eastAsia="Arial" w:hAnsi="Arial"/>
          <w:sz w:val="17"/>
          <w:szCs w:val="17"/>
          <w:color w:val="auto"/>
        </w:rPr>
      </w:pPr>
      <w:r>
        <w:rPr>
          <w:rFonts w:ascii="Arial" w:cs="Arial" w:eastAsia="Arial" w:hAnsi="Arial"/>
          <w:sz w:val="17"/>
          <w:szCs w:val="17"/>
          <w:color w:val="auto"/>
        </w:rPr>
        <w:t>Employee shall devote substantially all of his working time and efforts during the Company's normal business hours to the business and affairs of the Company and its subsidiaries and to the diligent and faithful performance of the duties and responsibilities duly assigned to him pursuant to this Agreement. Notwithstanding the foregoing, nothing herein shall preclude Employee from (i) performing services for such other companies as the Company may designate or permit, (ii) serving, with the prior written consent of the CEO, which consent shall not be unreasonably withheld, as an officer or member of the boards of directors or advisory boards (or their equivalents in the case of a non-corporate entity) of non-competing businesses or charitable, educational or civic organizations, (iii) engaging in charitable activities and community affairs, and (iv) managing Employee's personal investments and affairs; provided, however, that the activities set out in clauses (i), (ii), (iii) and (iv) shall be limited by Employee so as not to materially interfere, individually or in the aggregate, with the performance of Employee's duties and responsibilities hereunder.</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23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hereby agrees to employ Employee and Employee hereby accepts employment with the Company, upon the terms set forth in this Agreement, for the period commencing on the Effective Date and ending on the three year anniversary of the Effective Date, unless sooner terminated in accordance with the provisions of Section 7 below (the “Employment Term”). At the end of the Employment Term this Agreement shall terminate except as otherwise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both"/>
        <w:ind w:firstLine="656"/>
        <w:spacing w:after="0" w:line="231" w:lineRule="auto"/>
        <w:tabs>
          <w:tab w:leader="none" w:pos="175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Place of Employment</w:t>
      </w:r>
      <w:r>
        <w:rPr>
          <w:rFonts w:ascii="Arial" w:cs="Arial" w:eastAsia="Arial" w:hAnsi="Arial"/>
          <w:sz w:val="18"/>
          <w:szCs w:val="18"/>
          <w:color w:val="auto"/>
        </w:rPr>
        <w:t>. Employee's services shall be performed at the Company's offices located at 780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 15th Floor, New York 10017 and any other locus where the Company and Employee mutually agree is an acceptable location from which Employee's services may be performed. The parties acknowledge that any location in the Borough of Manhattan, City of New York, is an acceptable location. The parties further acknowledge, however, that Employee may be required to travel extensively in connection with the performance of his duties hereunder which travel may be for extended periods of time.</w:t>
      </w:r>
    </w:p>
    <w:p>
      <w:pPr>
        <w:spacing w:after="0" w:line="204" w:lineRule="exact"/>
        <w:rPr>
          <w:rFonts w:ascii="Arial" w:cs="Arial" w:eastAsia="Arial" w:hAnsi="Arial"/>
          <w:sz w:val="18"/>
          <w:szCs w:val="18"/>
          <w:color w:val="auto"/>
        </w:rPr>
      </w:pPr>
    </w:p>
    <w:p>
      <w:pPr>
        <w:jc w:val="both"/>
        <w:ind w:firstLine="656"/>
        <w:spacing w:after="0" w:line="257" w:lineRule="auto"/>
        <w:tabs>
          <w:tab w:leader="none" w:pos="163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For all services to be rendered by Employee pursuant to this Agreement, the Company agrees to pay Employee during the term of this Agreement an annual base salary, less applicable taxes, including income tax, FICA and FUTA, and other appropriate deductions (the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Salary</w:t>
      </w:r>
      <w:r>
        <w:rPr>
          <w:rFonts w:ascii="Arial" w:cs="Arial" w:eastAsia="Arial" w:hAnsi="Arial"/>
          <w:sz w:val="18"/>
          <w:szCs w:val="18"/>
          <w:color w:val="auto"/>
        </w:rPr>
        <w:t>") at an annual rate of three hundred thousand dollars ($300,000). The Compensation Committee shall review the Base Salary on an annual basis and may increase the Base Salary in its sole discretion. The Base Salary shall be paid in periodic installments in accordance with the Company's regular payroll practices.</w:t>
      </w:r>
    </w:p>
    <w:p>
      <w:pPr>
        <w:spacing w:after="0" w:line="188" w:lineRule="exact"/>
        <w:rPr>
          <w:rFonts w:ascii="Arial" w:cs="Arial" w:eastAsia="Arial" w:hAnsi="Arial"/>
          <w:sz w:val="18"/>
          <w:szCs w:val="18"/>
          <w:color w:val="auto"/>
        </w:rPr>
      </w:pPr>
    </w:p>
    <w:p>
      <w:pPr>
        <w:jc w:val="both"/>
        <w:ind w:firstLine="656"/>
        <w:spacing w:after="0" w:line="254" w:lineRule="auto"/>
        <w:tabs>
          <w:tab w:leader="none" w:pos="178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Bonuses and Incentive Compensation</w:t>
      </w:r>
      <w:r>
        <w:rPr>
          <w:rFonts w:ascii="Arial" w:cs="Arial" w:eastAsia="Arial" w:hAnsi="Arial"/>
          <w:sz w:val="18"/>
          <w:szCs w:val="18"/>
          <w:color w:val="auto"/>
        </w:rPr>
        <w:t>. On an annual basis, or such other period to be determined by the Compensation Committee, Employee shall be entitled to be considered for a bonus. The size of such periodic bonus and the criterion for receipt of such periodic bonus shall be determined by the Compensation Committee. To the extent that the Company is required pursuant to Section 954 of the Dodd-Frank Wall Street Reform and Consumer Protection Act to develop and implement a policy (the "</w:t>
      </w:r>
      <w:r>
        <w:rPr>
          <w:rFonts w:ascii="Arial" w:cs="Arial" w:eastAsia="Arial" w:hAnsi="Arial"/>
          <w:sz w:val="18"/>
          <w:szCs w:val="18"/>
          <w:u w:val="single" w:color="auto"/>
          <w:color w:val="auto"/>
        </w:rPr>
        <w:t>Policy</w:t>
      </w:r>
      <w:r>
        <w:rPr>
          <w:rFonts w:ascii="Arial" w:cs="Arial" w:eastAsia="Arial" w:hAnsi="Arial"/>
          <w:sz w:val="18"/>
          <w:szCs w:val="18"/>
          <w:color w:val="auto"/>
        </w:rPr>
        <w:t>") providing for the recovery from the Employee of any payment of incentive-based compensation paid to the Employee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the Employee; provided, that, any such Policy shall only be binding on the Employee if the same Policy applies to any other Company employees.</w:t>
      </w:r>
    </w:p>
    <w:p>
      <w:pPr>
        <w:spacing w:after="0" w:line="192" w:lineRule="exact"/>
        <w:rPr>
          <w:rFonts w:ascii="Arial" w:cs="Arial" w:eastAsia="Arial" w:hAnsi="Arial"/>
          <w:sz w:val="18"/>
          <w:szCs w:val="18"/>
          <w:color w:val="auto"/>
        </w:rPr>
      </w:pPr>
    </w:p>
    <w:p>
      <w:pPr>
        <w:jc w:val="both"/>
        <w:ind w:firstLine="656"/>
        <w:spacing w:after="0" w:line="302" w:lineRule="auto"/>
        <w:tabs>
          <w:tab w:leader="none" w:pos="178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Employee shall be entitled to reimbursement for all reasonable and appropriate travel, entertainment, and other expenses incurred by Employee while employed (in accordance with the policies and procedures established by the Company for its employees) in the performance of his duties and responsibilities under this Agreement; provided, that, Employee properly accounts for such expenses in accordance with Company policies and procedures. The Employee shall be responsible for any unreasonable or inappropriate expenses incurred in violation of Company policies and procedures.</w:t>
      </w:r>
    </w:p>
    <w:p>
      <w:pPr>
        <w:spacing w:after="0" w:line="154" w:lineRule="exact"/>
        <w:rPr>
          <w:rFonts w:ascii="Arial" w:cs="Arial" w:eastAsia="Arial" w:hAnsi="Arial"/>
          <w:sz w:val="16"/>
          <w:szCs w:val="16"/>
          <w:color w:val="auto"/>
        </w:rPr>
      </w:pPr>
    </w:p>
    <w:p>
      <w:pPr>
        <w:jc w:val="both"/>
        <w:ind w:firstLine="656"/>
        <w:spacing w:after="0" w:line="264" w:lineRule="auto"/>
        <w:tabs>
          <w:tab w:leader="none" w:pos="198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Employee shall be eligible to participate in all benefit programs that are generally available to the Company's employees, including vacation, Company-subsidized medical, dental, and vision insurance coverage and, at your election, life insurance and/or long-term disability coverage which current benefits are described more fully in the Ambrose Orientation Guide.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70" w:name="page71"/>
    <w:bookmarkEnd w:id="70"/>
    <w:p>
      <w:pPr>
        <w:ind w:left="1600" w:hanging="944"/>
        <w:spacing w:after="0"/>
        <w:tabs>
          <w:tab w:leader="none" w:pos="16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1" w:lineRule="auto"/>
        <w:tabs>
          <w:tab w:leader="none" w:pos="2446"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Employee's employment hereunder shall terminate upon the earliest to occur of: (i) Employee's death, (ii) a termination by reason of Employee's Disability, (iii) a termination by the Company with or without Cause, or (iv) a termination by Employee with or without Good Reason. Notwithstanding anything herein to the contrary, the payment (or commencement of a series of payments) hereunder of any nonqualified deferred compensation (within the meaning of Section 409A of the Internal Revenue Code, (the "</w:t>
      </w:r>
      <w:r>
        <w:rPr>
          <w:rFonts w:ascii="Arial" w:cs="Arial" w:eastAsia="Arial" w:hAnsi="Arial"/>
          <w:sz w:val="17"/>
          <w:szCs w:val="17"/>
          <w:u w:val="single" w:color="auto"/>
          <w:color w:val="auto"/>
        </w:rPr>
        <w:t>Code</w:t>
      </w:r>
      <w:r>
        <w:rPr>
          <w:rFonts w:ascii="Arial" w:cs="Arial" w:eastAsia="Arial" w:hAnsi="Arial"/>
          <w:sz w:val="17"/>
          <w:szCs w:val="17"/>
          <w:color w:val="auto"/>
        </w:rPr>
        <w:t>")) upon a termination of employment shall be delayed until such time as Employee has also undergone a "separation from service" as defined in Treas. Reg. 1.409A-1(h), at which time such nonqualified deferred compensation (calculated as of the date of Employee's termination of employment hereunder) shall be paid (or commence to be paid) to Employee on the schedule set forth in this Section 7 as if Employee had undergone such termination of employment (under the same circumstances) on the date of Employee's ultimate "separation from service."</w:t>
      </w:r>
    </w:p>
    <w:p>
      <w:pPr>
        <w:spacing w:after="0" w:line="178" w:lineRule="exact"/>
        <w:rPr>
          <w:rFonts w:ascii="Arial" w:cs="Arial" w:eastAsia="Arial" w:hAnsi="Arial"/>
          <w:sz w:val="17"/>
          <w:szCs w:val="17"/>
          <w:color w:val="auto"/>
        </w:rPr>
      </w:pPr>
    </w:p>
    <w:p>
      <w:pPr>
        <w:jc w:val="both"/>
        <w:ind w:firstLine="1305"/>
        <w:spacing w:after="0" w:line="254" w:lineRule="auto"/>
        <w:tabs>
          <w:tab w:leader="none" w:pos="2235"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Employee dies while this Agreement is in effect, this Agreement and the Employee's employment with the Company shall automatically terminate and the Company shall have no further obligations to the Employee or his heirs, administrators or executors with respect to compensation and benefits accruing thereafter, except for the obligation to pay to the Employee's heirs, administrators or executors (i) any earned but unpaid Base Salary up to and through the date of termination, (ii) any and all reasonable expenses paid or incurred by the Employee in connection with and related to the performance of his duties and responsibilities for the Company up to and through the date of termination, and (iii) any benefits provided under the Company's employee benefit plans pursuant to, and in accordance with, the terms of such plans through the date of termination (collectively, the "</w:t>
      </w:r>
      <w:r>
        <w:rPr>
          <w:rFonts w:ascii="Arial" w:cs="Arial" w:eastAsia="Arial" w:hAnsi="Arial"/>
          <w:sz w:val="18"/>
          <w:szCs w:val="18"/>
          <w:u w:val="single" w:color="auto"/>
          <w:color w:val="auto"/>
        </w:rPr>
        <w:t>Accrued</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Obligations</w:t>
      </w:r>
      <w:r>
        <w:rPr>
          <w:rFonts w:ascii="Arial" w:cs="Arial" w:eastAsia="Arial" w:hAnsi="Arial"/>
          <w:sz w:val="18"/>
          <w:szCs w:val="18"/>
          <w:color w:val="auto"/>
        </w:rPr>
        <w:t>"). The Company shall deduct, from all payments made hereunder, all applicable taxes, including income tax, FICA and FUTA, and other appropriate deductions.</w:t>
      </w:r>
    </w:p>
    <w:p>
      <w:pPr>
        <w:spacing w:after="0" w:line="192" w:lineRule="exact"/>
        <w:rPr>
          <w:rFonts w:ascii="Arial" w:cs="Arial" w:eastAsia="Arial" w:hAnsi="Arial"/>
          <w:sz w:val="18"/>
          <w:szCs w:val="18"/>
          <w:color w:val="auto"/>
        </w:rPr>
      </w:pPr>
    </w:p>
    <w:p>
      <w:pPr>
        <w:jc w:val="both"/>
        <w:ind w:firstLine="1305"/>
        <w:spacing w:after="0" w:line="289" w:lineRule="auto"/>
        <w:tabs>
          <w:tab w:leader="none" w:pos="2270"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In the event that while this Agreement is in effect the Company determines that the Employee is unable to perform his essential duties and responsibilities hereunder to the full extent required by the Company by reason of a Disability (as defined below), this Agreement and the Employee's employment with the Company shall terminate immediately upon notice to the Employee, and the Company shall have no further obligations or liability to the Employee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w:t>
      </w:r>
      <w:r>
        <w:rPr>
          <w:rFonts w:ascii="Arial" w:cs="Arial" w:eastAsia="Arial" w:hAnsi="Arial"/>
          <w:sz w:val="16"/>
          <w:szCs w:val="16"/>
          <w:u w:val="single" w:color="auto"/>
          <w:color w:val="auto"/>
        </w:rPr>
        <w:t>Disability</w:t>
      </w:r>
      <w:r>
        <w:rPr>
          <w:rFonts w:ascii="Arial" w:cs="Arial" w:eastAsia="Arial" w:hAnsi="Arial"/>
          <w:sz w:val="16"/>
          <w:szCs w:val="16"/>
          <w:color w:val="auto"/>
        </w:rPr>
        <w:t>" shall mean a physical or mental disability that prevents the performance by the Employee, with or without reasonable accommodation, of his essential duties and responsibilities hereunder for ninety (90) consecutive days, or an aggregate of one-hundred and eighty (180) days during any twelve consecutive months, as determined consistent with applicable law. It is expressly acknowledged and agreed that the decision as to whether and as of what date Employee has a Disability shall be determined by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1" w:name="page72"/>
    <w:bookmarkEnd w:id="71"/>
    <w:p>
      <w:pPr>
        <w:ind w:left="980" w:hanging="875"/>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By the Company for Cause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 w:firstLine="653"/>
        <w:spacing w:after="0" w:line="277" w:lineRule="auto"/>
        <w:tabs>
          <w:tab w:leader="none" w:pos="16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may at any time terminate this Agreement and the Employee's employment hereunder for Cause. Such termination shall be effective immediately upon notice to the Employee.</w:t>
      </w:r>
    </w:p>
    <w:p>
      <w:pPr>
        <w:spacing w:after="0" w:line="170" w:lineRule="exact"/>
        <w:rPr>
          <w:sz w:val="20"/>
          <w:szCs w:val="20"/>
          <w:color w:val="auto"/>
        </w:rPr>
      </w:pPr>
    </w:p>
    <w:p>
      <w:pPr>
        <w:jc w:val="both"/>
        <w:ind w:left="10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as used in this Agreement shall mean: (a) the willful and continued failure of the Employee to perform substantially his duties and responsibilities for the Company (other than any such failure resulting from Employee's death or Disability) after a written demand by the CEO for substantial performance is delivered to the Employee by the Company, which specifically identifies the manner in which the CEO believes that the Employee has not substantially performed his duties and responsibilities and explicitly states that termination for “Cause” under Section 7(d) of this Agreement, which willful and continued failure is not cured by the Employee within thirty (30) days of his receipt of such written demand; (b) the conviction of, or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(c) a breach of Section 8 of this Agreement, (d) a breach of the Non-Disclosure and Non-Solicitation Agreement of even date herewith; or (e) a good faith finding by the CEO that Employee has engaged in fraud, intentional dishonesty, or gross negligence.</w:t>
      </w:r>
    </w:p>
    <w:p>
      <w:pPr>
        <w:spacing w:after="0" w:line="179" w:lineRule="exact"/>
        <w:rPr>
          <w:sz w:val="20"/>
          <w:szCs w:val="20"/>
          <w:color w:val="auto"/>
        </w:rPr>
      </w:pPr>
    </w:p>
    <w:p>
      <w:pPr>
        <w:jc w:val="both"/>
        <w:ind w:left="100" w:firstLine="653"/>
        <w:spacing w:after="0" w:line="259" w:lineRule="auto"/>
        <w:tabs>
          <w:tab w:leader="none" w:pos="1876" w:val="left"/>
        </w:tabs>
        <w:numPr>
          <w:ilvl w:val="1"/>
          <w:numId w:val="31"/>
        </w:numPr>
        <w:rPr>
          <w:rFonts w:ascii="Arial" w:cs="Arial" w:eastAsia="Arial" w:hAnsi="Arial"/>
          <w:sz w:val="18"/>
          <w:szCs w:val="18"/>
          <w:color w:val="auto"/>
        </w:rPr>
      </w:pPr>
      <w:r>
        <w:rPr>
          <w:rFonts w:ascii="Arial" w:cs="Arial" w:eastAsia="Arial" w:hAnsi="Arial"/>
          <w:sz w:val="18"/>
          <w:szCs w:val="18"/>
          <w:color w:val="auto"/>
        </w:rPr>
        <w:t>Upon termination of this Agreement for Cause, the Company shall have no further obligations or liability to the Employee or his heirs, administrators or executors with respect to compensation and benefits thereafter, except for the obligation to pay the Employee the Accrued Obligations. The Company shall deduct, from all payments made hereunder, all applicable taxes, including income tax, FICA and FUTA, and other appropriate deductions.</w:t>
      </w:r>
    </w:p>
    <w:p>
      <w:pPr>
        <w:spacing w:after="0" w:line="186" w:lineRule="exact"/>
        <w:rPr>
          <w:rFonts w:ascii="Arial" w:cs="Arial" w:eastAsia="Arial" w:hAnsi="Arial"/>
          <w:sz w:val="18"/>
          <w:szCs w:val="18"/>
          <w:color w:val="auto"/>
        </w:rPr>
      </w:pPr>
    </w:p>
    <w:p>
      <w:pPr>
        <w:ind w:left="100" w:right="20" w:firstLine="653"/>
        <w:spacing w:after="0" w:line="277" w:lineRule="auto"/>
        <w:tabs>
          <w:tab w:leader="none" w:pos="2019" w:val="left"/>
        </w:tabs>
        <w:numPr>
          <w:ilvl w:val="1"/>
          <w:numId w:val="31"/>
        </w:numPr>
        <w:rPr>
          <w:rFonts w:ascii="Arial" w:cs="Arial" w:eastAsia="Arial" w:hAnsi="Arial"/>
          <w:sz w:val="18"/>
          <w:szCs w:val="18"/>
          <w:color w:val="auto"/>
        </w:rPr>
      </w:pPr>
      <w:r>
        <w:rPr>
          <w:rFonts w:ascii="Arial" w:cs="Arial" w:eastAsia="Arial" w:hAnsi="Arial"/>
          <w:sz w:val="18"/>
          <w:szCs w:val="18"/>
          <w:color w:val="auto"/>
        </w:rPr>
        <w:t>It is expressly acknowledged and agreed that the decision as to whether Cause" exists for termination of the employment relationship by the Company is delegated to the CEO for determination.</w:t>
      </w:r>
    </w:p>
    <w:p>
      <w:pPr>
        <w:spacing w:after="0" w:line="170" w:lineRule="exact"/>
        <w:rPr>
          <w:rFonts w:ascii="Arial" w:cs="Arial" w:eastAsia="Arial" w:hAnsi="Arial"/>
          <w:sz w:val="18"/>
          <w:szCs w:val="18"/>
          <w:color w:val="auto"/>
        </w:rPr>
      </w:pPr>
    </w:p>
    <w:p>
      <w:pPr>
        <w:ind w:left="1020" w:hanging="91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By the Employee for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 w:firstLine="653"/>
        <w:spacing w:after="0" w:line="290" w:lineRule="auto"/>
        <w:tabs>
          <w:tab w:leader="none" w:pos="1849" w:val="left"/>
        </w:tabs>
        <w:numPr>
          <w:ilvl w:val="1"/>
          <w:numId w:val="32"/>
        </w:numPr>
        <w:rPr>
          <w:rFonts w:ascii="Arial" w:cs="Arial" w:eastAsia="Arial" w:hAnsi="Arial"/>
          <w:sz w:val="16"/>
          <w:szCs w:val="16"/>
          <w:color w:val="auto"/>
        </w:rPr>
      </w:pPr>
      <w:r>
        <w:rPr>
          <w:rFonts w:ascii="Arial" w:cs="Arial" w:eastAsia="Arial" w:hAnsi="Arial"/>
          <w:sz w:val="16"/>
          <w:szCs w:val="16"/>
          <w:color w:val="auto"/>
        </w:rPr>
        <w:t>Subject to the conditions set forth in Section 7(e)(2) below, the Employee may terminate this Agreement and the Employee's employment with the Company for Good Reason. "</w:t>
      </w:r>
      <w:r>
        <w:rPr>
          <w:rFonts w:ascii="Arial" w:cs="Arial" w:eastAsia="Arial" w:hAnsi="Arial"/>
          <w:sz w:val="16"/>
          <w:szCs w:val="16"/>
          <w:u w:val="single" w:color="auto"/>
          <w:color w:val="auto"/>
        </w:rPr>
        <w:t>Good Reason</w:t>
      </w:r>
      <w:r>
        <w:rPr>
          <w:rFonts w:ascii="Arial" w:cs="Arial" w:eastAsia="Arial" w:hAnsi="Arial"/>
          <w:sz w:val="16"/>
          <w:szCs w:val="16"/>
          <w:color w:val="auto"/>
        </w:rPr>
        <w:t>" as used in this Agreement shall mean the occurrence of any of the following events: (a) the assignment, without the Employee's consent, to the Employee of duties that result in a substantial diminution of the duties that he assumed on the Effective Date; (b) the assignment, without the Employee's consent, to the Employee of a title that is subordinate to the title set forth in Section 1 above; (c) a material reduction in Employee's Base Salary; (d) the Company's requirement that Employee regularly report to work in a location that is more than fifty miles from the Company's then office in the Borough of Manhattan, City of New York without the Employee's consent, provided that travel even if for extended period of time shall not constitute Good Reason; or (e) a material breach by the Company of this Agreement during the Employment Term.</w:t>
      </w:r>
    </w:p>
    <w:p>
      <w:pPr>
        <w:spacing w:after="0" w:line="38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72" w:name="page73"/>
    <w:bookmarkEnd w:id="72"/>
    <w:p>
      <w:pPr>
        <w:jc w:val="both"/>
        <w:ind w:left="100" w:firstLine="653"/>
        <w:spacing w:after="0" w:line="272" w:lineRule="auto"/>
        <w:tabs>
          <w:tab w:leader="none" w:pos="188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Employee shall not be entitled to terminate this Agreement for Good Reason unless and until he shall have delivered written notice to the Company of his intention to terminate this Agreement and his employment with the Company for Good Reason within thirty (30) days of the initial occurrence of the condition(s) constituting Good Reason, which notice specifies in reasonable detail the circumstances claimed to provide the basis for such termination for Good Reason, and the Company shall not have eliminated the circumstances constituting Good Reason within thirty (30) days of its receipt from the Employee of such written notice. The Company shall retain the discretion to terminate the Employee at any time without Cause (or for Cause if in accordance with Section 7(d)) during the Good Reason notice period provided for in this Section 7(e)(2).</w:t>
      </w:r>
    </w:p>
    <w:p>
      <w:pPr>
        <w:spacing w:after="0" w:line="177" w:lineRule="exact"/>
        <w:rPr>
          <w:rFonts w:ascii="Arial" w:cs="Arial" w:eastAsia="Arial" w:hAnsi="Arial"/>
          <w:sz w:val="17"/>
          <w:szCs w:val="17"/>
          <w:color w:val="auto"/>
        </w:rPr>
      </w:pPr>
    </w:p>
    <w:p>
      <w:pPr>
        <w:ind w:left="100" w:firstLine="653"/>
        <w:spacing w:after="0" w:line="342" w:lineRule="auto"/>
        <w:tabs>
          <w:tab w:leader="none" w:pos="1741"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event that the Employee terminates this Agreement and his employment with the Company for Good Reason, the Company shall pay or provide to the Employee (or, following his death, to the Employee's heirs, administrators or executors):</w:t>
      </w:r>
    </w:p>
    <w:p>
      <w:pPr>
        <w:spacing w:after="0" w:line="123" w:lineRule="exact"/>
        <w:rPr>
          <w:rFonts w:ascii="Arial" w:cs="Arial" w:eastAsia="Arial" w:hAnsi="Arial"/>
          <w:sz w:val="16"/>
          <w:szCs w:val="16"/>
          <w:color w:val="auto"/>
        </w:rPr>
      </w:pPr>
    </w:p>
    <w:p>
      <w:pPr>
        <w:ind w:left="2240" w:hanging="839"/>
        <w:spacing w:after="0"/>
        <w:tabs>
          <w:tab w:leader="none" w:pos="22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Accrued Obligations through the date of termination of employment.</w:t>
      </w:r>
    </w:p>
    <w:p>
      <w:pPr>
        <w:spacing w:after="0" w:line="225" w:lineRule="exact"/>
        <w:rPr>
          <w:rFonts w:ascii="Arial" w:cs="Arial" w:eastAsia="Arial" w:hAnsi="Arial"/>
          <w:sz w:val="18"/>
          <w:szCs w:val="18"/>
          <w:color w:val="auto"/>
        </w:rPr>
      </w:pPr>
    </w:p>
    <w:p>
      <w:pPr>
        <w:jc w:val="both"/>
        <w:ind w:left="420" w:firstLine="981"/>
        <w:spacing w:after="0" w:line="253" w:lineRule="auto"/>
        <w:tabs>
          <w:tab w:leader="none" w:pos="26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 amount of Base Salary (at the rate of Base Salary in effect immediately prior to the Employee's termination hereunder) equal to twelve (12) months of Base Salary. Except as otherwise provided in this Agreement, the Company shall pay to Employee the amounts provided in this Section 7(e)(3)(B) in substantially equal installments commencing on the Company's next regular payroll date following the date the Release (referenced in Section 7(i) below) becomes irrevocable and enforceable; provided, however, that if the ninety (90) day period referenced in Section 7(i) below begins in one calendar year and ends in the following calendar year, the Company shall pay to Employee the amounts provided in this Section 7(e)(3)(B) in substantially equal installments commencing on the Company's first eligible regular payroll date occurring in the following calendar year. The Company shall deduct, from all payments made hereunder, all applicable taxes, including income tax, FICA and FUTA, and other appropriate deductions.</w:t>
      </w:r>
    </w:p>
    <w:p>
      <w:pPr>
        <w:spacing w:after="0" w:line="200" w:lineRule="exact"/>
        <w:rPr>
          <w:sz w:val="20"/>
          <w:szCs w:val="20"/>
          <w:color w:val="auto"/>
        </w:rPr>
      </w:pPr>
    </w:p>
    <w:p>
      <w:pPr>
        <w:spacing w:after="0" w:line="21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73" w:name="page74"/>
    <w:bookmarkEnd w:id="73"/>
    <w:p>
      <w:pPr>
        <w:jc w:val="both"/>
        <w:ind w:left="1600" w:firstLine="981"/>
        <w:spacing w:after="0" w:line="289" w:lineRule="auto"/>
        <w:tabs>
          <w:tab w:leader="none" w:pos="3739" w:val="left"/>
        </w:tabs>
        <w:numPr>
          <w:ilvl w:val="1"/>
          <w:numId w:val="34"/>
        </w:numPr>
        <w:rPr>
          <w:rFonts w:ascii="Arial" w:cs="Arial" w:eastAsia="Arial" w:hAnsi="Arial"/>
          <w:sz w:val="16"/>
          <w:szCs w:val="16"/>
          <w:color w:val="auto"/>
        </w:rPr>
      </w:pPr>
      <w:r>
        <w:rPr>
          <w:rFonts w:ascii="Arial" w:cs="Arial" w:eastAsia="Arial" w:hAnsi="Arial"/>
          <w:sz w:val="16"/>
          <w:szCs w:val="16"/>
          <w:color w:val="auto"/>
        </w:rPr>
        <w:t>Subject to Section 7(i) below, COBRA continuation coverage paid in full by the Company, so long as Employee has not become actually covered by the medical plan of a subsequent employer during any such month and is otherwise entitled to COBRA continuation coverage, with such payments for up to a maximum of twelve (12) months following the date of termination. After such period, Employee is responsible for paying the full cost for any additional COBRA continuation coverage to which Employee is then entitled. If the Company's payment of the COBRA premiums on the Employee's behalf would violate the nondiscrimination rules or cause the reimbursement of claims to be taxable under the Patient Protection and Affordable Care Act of 2010, together with the Health Care and Education Reconciliation Act of 2010 (collectively, the "</w:t>
      </w:r>
      <w:r>
        <w:rPr>
          <w:rFonts w:ascii="Arial" w:cs="Arial" w:eastAsia="Arial" w:hAnsi="Arial"/>
          <w:sz w:val="16"/>
          <w:szCs w:val="16"/>
          <w:u w:val="single" w:color="auto"/>
          <w:color w:val="auto"/>
        </w:rPr>
        <w:t>Act</w:t>
      </w:r>
      <w:r>
        <w:rPr>
          <w:rFonts w:ascii="Arial" w:cs="Arial" w:eastAsia="Arial" w:hAnsi="Arial"/>
          <w:sz w:val="16"/>
          <w:szCs w:val="16"/>
          <w:color w:val="auto"/>
        </w:rPr>
        <w:t>") or Section 105(h) of the Code, the Company paid premiums shall be treated as taxable payments and be subject to imputed income tax treatment to the extent necessary to eliminate any discriminatory treatment or taxation under the Act or Section 105(h) of the Code.</w:t>
      </w:r>
    </w:p>
    <w:p>
      <w:pPr>
        <w:spacing w:after="0" w:line="166" w:lineRule="exact"/>
        <w:rPr>
          <w:rFonts w:ascii="Arial" w:cs="Arial" w:eastAsia="Arial" w:hAnsi="Arial"/>
          <w:sz w:val="16"/>
          <w:szCs w:val="16"/>
          <w:color w:val="auto"/>
        </w:rPr>
      </w:pPr>
    </w:p>
    <w:p>
      <w:pPr>
        <w:jc w:val="both"/>
        <w:ind w:left="-20" w:firstLine="1305"/>
        <w:spacing w:after="0" w:line="272" w:lineRule="auto"/>
        <w:tabs>
          <w:tab w:leader="none" w:pos="2554"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By Employee without Good Reason</w:t>
      </w:r>
      <w:r>
        <w:rPr>
          <w:rFonts w:ascii="Arial" w:cs="Arial" w:eastAsia="Arial" w:hAnsi="Arial"/>
          <w:sz w:val="17"/>
          <w:szCs w:val="17"/>
          <w:color w:val="auto"/>
        </w:rPr>
        <w:t>. The Employee shall be entitled to terminate this Agreement and the Employee's employment with the Company without Good Reason at any time by providing prior written notice to the Company of at least ninety (90) calendar days; provided, however, that the Company shall maintain the discretion to terminate the Employee at any time during the notice period set forth in this Section 7(f). Upon termination by the Employee of this Agreement and the Employee's employment with the Company without Good Reason, the Company shall have no further obligations or liability to the Employee or his heirs, administrators or executors with respect to compensation and benefits thereafter, except for the obligation to pay the Employee the Accrued Obligations through the date the Employee is terminated. The Company shall deduct, from all payments made hereunder, all applicable taxes, including income tax, FICA and FUTA, and other appropriate deductions.</w:t>
      </w:r>
    </w:p>
    <w:p>
      <w:pPr>
        <w:spacing w:after="0" w:line="177" w:lineRule="exact"/>
        <w:rPr>
          <w:rFonts w:ascii="Arial" w:cs="Arial" w:eastAsia="Arial" w:hAnsi="Arial"/>
          <w:sz w:val="17"/>
          <w:szCs w:val="17"/>
          <w:color w:val="auto"/>
        </w:rPr>
      </w:pPr>
    </w:p>
    <w:p>
      <w:pPr>
        <w:jc w:val="both"/>
        <w:ind w:left="-20" w:firstLine="1305"/>
        <w:spacing w:after="0" w:line="271" w:lineRule="auto"/>
        <w:tabs>
          <w:tab w:leader="none" w:pos="2242"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By the Company without Cause</w:t>
      </w:r>
      <w:r>
        <w:rPr>
          <w:rFonts w:ascii="Arial" w:cs="Arial" w:eastAsia="Arial" w:hAnsi="Arial"/>
          <w:sz w:val="17"/>
          <w:szCs w:val="17"/>
          <w:color w:val="auto"/>
        </w:rPr>
        <w:t>. The Company shall be entitled to terminate this Agreement and the Employee's employment with the Company at any time without Cause upon written notice to the Employee. Upon termination by the Company of this Agreement and the Employee's employment with the Company without Cause in accordance with the Company’s notice of termination, the Company shall pay or provide to the Employee at the time the Company has in fact terminated the Employee (or, following his death, to the Employee's heirs, administrators or executors) the amounts and benefits due upon a resignation for Good Reason, as further described in Section 7(e)(3). The Company shall deduct, from all payments made hereunder, all applicable taxes, including income tax, FICA and FUTA, and other appropriate deductions. If the Employee leaves prior to the date of termination set forth in the notice the Company shall have no obligation to pay the Employee any amounts or benefits as set forth in this Section 7(g) and such termination shall be treated as a termination by Employee without Good Reason pursuant to Section 7(f).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74" w:name="page75"/>
    <w:bookmarkEnd w:id="74"/>
    <w:p>
      <w:pPr>
        <w:jc w:val="both"/>
        <w:ind w:firstLine="1305"/>
        <w:spacing w:after="0" w:line="288" w:lineRule="auto"/>
        <w:tabs>
          <w:tab w:leader="none" w:pos="220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It is agreed that an express condition of the payment or provision by the Company of any severance amount or post-termination benefit called for under Section 7(e)(3) and Section 7(g) of this Agreement (other than the payment of any Accrued Obligations) shall be subject to the Company's concurrent receipt of a general release of all claims against the Company and its affiliates by Employee in the form reasonably</w:t>
      </w:r>
    </w:p>
    <w:p>
      <w:pPr>
        <w:ind w:right="20"/>
        <w:spacing w:after="0" w:line="205" w:lineRule="auto"/>
        <w:rPr>
          <w:sz w:val="20"/>
          <w:szCs w:val="20"/>
          <w:color w:val="auto"/>
        </w:rPr>
      </w:pPr>
      <w:r>
        <w:rPr>
          <w:rFonts w:ascii="Arial" w:cs="Arial" w:eastAsia="Arial" w:hAnsi="Arial"/>
          <w:sz w:val="18"/>
          <w:szCs w:val="18"/>
          <w:color w:val="auto"/>
        </w:rPr>
        <w:t>acceptable to the Company and Employee, and such release must be effective and irrevocable prior to the ninetieth (90</w:t>
      </w:r>
      <w:r>
        <w:rPr>
          <w:rFonts w:ascii="Arial" w:cs="Arial" w:eastAsia="Arial" w:hAnsi="Arial"/>
          <w:sz w:val="30"/>
          <w:szCs w:val="30"/>
          <w:color w:val="auto"/>
          <w:vertAlign w:val="superscript"/>
        </w:rPr>
        <w:t>th</w:t>
      </w:r>
      <w:r>
        <w:rPr>
          <w:rFonts w:ascii="Arial" w:cs="Arial" w:eastAsia="Arial" w:hAnsi="Arial"/>
          <w:sz w:val="18"/>
          <w:szCs w:val="18"/>
          <w:color w:val="auto"/>
        </w:rPr>
        <w:t>) day following the termination of the Employee's employment (the "</w:t>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03" w:lineRule="exact"/>
        <w:rPr>
          <w:sz w:val="20"/>
          <w:szCs w:val="20"/>
          <w:color w:val="auto"/>
        </w:rPr>
      </w:pPr>
    </w:p>
    <w:p>
      <w:pPr>
        <w:ind w:left="2240" w:hanging="935"/>
        <w:spacing w:after="0"/>
        <w:tabs>
          <w:tab w:leader="none" w:pos="224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Additional Section 409A Provisions</w:t>
      </w:r>
      <w:r>
        <w:rPr>
          <w:rFonts w:ascii="Arial" w:cs="Arial" w:eastAsia="Arial" w:hAnsi="Arial"/>
          <w:sz w:val="18"/>
          <w:szCs w:val="18"/>
          <w:color w:val="auto"/>
        </w:rPr>
        <w:t>. Notwithstanding any provision in this Agreement to the contrary:</w:t>
      </w:r>
    </w:p>
    <w:p>
      <w:pPr>
        <w:spacing w:after="0" w:line="225" w:lineRule="exact"/>
        <w:rPr>
          <w:rFonts w:ascii="Arial" w:cs="Arial" w:eastAsia="Arial" w:hAnsi="Arial"/>
          <w:sz w:val="18"/>
          <w:szCs w:val="18"/>
          <w:color w:val="auto"/>
        </w:rPr>
      </w:pPr>
    </w:p>
    <w:p>
      <w:pPr>
        <w:jc w:val="both"/>
        <w:ind w:left="1300" w:firstLine="653"/>
        <w:spacing w:after="0" w:line="255" w:lineRule="auto"/>
        <w:tabs>
          <w:tab w:leader="none" w:pos="3062" w:val="left"/>
        </w:tabs>
        <w:numPr>
          <w:ilvl w:val="2"/>
          <w:numId w:val="37"/>
        </w:numPr>
        <w:rPr>
          <w:rFonts w:ascii="Arial" w:cs="Arial" w:eastAsia="Arial" w:hAnsi="Arial"/>
          <w:sz w:val="18"/>
          <w:szCs w:val="18"/>
          <w:color w:val="auto"/>
        </w:rPr>
      </w:pPr>
      <w:r>
        <w:rPr>
          <w:rFonts w:ascii="Arial" w:cs="Arial" w:eastAsia="Arial" w:hAnsi="Arial"/>
          <w:sz w:val="18"/>
          <w:szCs w:val="18"/>
          <w:color w:val="auto"/>
        </w:rPr>
        <w:t>Any payment otherwise required to be made hereunder to Employee at any date as a result of the termination of Employee's employment that constitutes non-qualified deferred compensation subject to Section 409A of the Code shall be delayed for such period of time as may be necessary to meet the requirements of Section 409A(a)(2)(B)(i) of the Code (the "</w:t>
      </w:r>
      <w:r>
        <w:rPr>
          <w:rFonts w:ascii="Arial" w:cs="Arial" w:eastAsia="Arial" w:hAnsi="Arial"/>
          <w:sz w:val="18"/>
          <w:szCs w:val="18"/>
          <w:u w:val="single" w:color="auto"/>
          <w:color w:val="auto"/>
        </w:rPr>
        <w:t>Delay Period</w:t>
      </w:r>
      <w:r>
        <w:rPr>
          <w:rFonts w:ascii="Arial" w:cs="Arial" w:eastAsia="Arial" w:hAnsi="Arial"/>
          <w:sz w:val="18"/>
          <w:szCs w:val="18"/>
          <w:color w:val="auto"/>
        </w:rPr>
        <w:t>"). On the first business day following the expiration of the Delay Period, Employee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93" w:lineRule="exact"/>
        <w:rPr>
          <w:rFonts w:ascii="Arial" w:cs="Arial" w:eastAsia="Arial" w:hAnsi="Arial"/>
          <w:sz w:val="18"/>
          <w:szCs w:val="18"/>
          <w:color w:val="auto"/>
        </w:rPr>
      </w:pPr>
    </w:p>
    <w:p>
      <w:pPr>
        <w:ind w:left="2980" w:hanging="1027"/>
        <w:spacing w:after="0"/>
        <w:tabs>
          <w:tab w:leader="none" w:pos="2980" w:val="left"/>
        </w:tabs>
        <w:numPr>
          <w:ilvl w:val="2"/>
          <w:numId w:val="37"/>
        </w:numPr>
        <w:rPr>
          <w:rFonts w:ascii="Arial" w:cs="Arial" w:eastAsia="Arial" w:hAnsi="Arial"/>
          <w:sz w:val="16"/>
          <w:szCs w:val="16"/>
          <w:color w:val="auto"/>
        </w:rPr>
      </w:pPr>
      <w:r>
        <w:rPr>
          <w:rFonts w:ascii="Arial" w:cs="Arial" w:eastAsia="Arial" w:hAnsi="Arial"/>
          <w:sz w:val="16"/>
          <w:szCs w:val="16"/>
          <w:color w:val="auto"/>
        </w:rPr>
        <w:t>Each payment in a series of payments hereunder shall be deemed to be a separate payment for purposes of Section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409A of the Code.</w:t>
      </w:r>
    </w:p>
    <w:p>
      <w:pPr>
        <w:spacing w:after="0" w:line="210" w:lineRule="exact"/>
        <w:rPr>
          <w:rFonts w:ascii="Arial" w:cs="Arial" w:eastAsia="Arial" w:hAnsi="Arial"/>
          <w:sz w:val="16"/>
          <w:szCs w:val="16"/>
          <w:color w:val="auto"/>
        </w:rPr>
      </w:pPr>
    </w:p>
    <w:p>
      <w:pPr>
        <w:jc w:val="both"/>
        <w:ind w:left="1300" w:firstLine="653"/>
        <w:spacing w:after="0" w:line="271" w:lineRule="auto"/>
        <w:tabs>
          <w:tab w:leader="none" w:pos="2995" w:val="left"/>
        </w:tabs>
        <w:numPr>
          <w:ilvl w:val="2"/>
          <w:numId w:val="37"/>
        </w:numPr>
        <w:rPr>
          <w:rFonts w:ascii="Arial" w:cs="Arial" w:eastAsia="Arial" w:hAnsi="Arial"/>
          <w:sz w:val="17"/>
          <w:szCs w:val="17"/>
          <w:color w:val="auto"/>
        </w:rPr>
      </w:pPr>
      <w:r>
        <w:rPr>
          <w:rFonts w:ascii="Arial" w:cs="Arial" w:eastAsia="Arial" w:hAnsi="Arial"/>
          <w:sz w:val="17"/>
          <w:szCs w:val="17"/>
          <w:color w:val="auto"/>
        </w:rPr>
        <w:t>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provided,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178" w:lineRule="exact"/>
        <w:rPr>
          <w:rFonts w:ascii="Arial" w:cs="Arial" w:eastAsia="Arial" w:hAnsi="Arial"/>
          <w:sz w:val="17"/>
          <w:szCs w:val="17"/>
          <w:color w:val="auto"/>
        </w:rPr>
      </w:pPr>
    </w:p>
    <w:p>
      <w:pPr>
        <w:ind w:left="1600" w:hanging="944"/>
        <w:spacing w:after="0"/>
        <w:tabs>
          <w:tab w:leader="none" w:pos="16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5" w:name="page76"/>
    <w:bookmarkEnd w:id="75"/>
    <w:p>
      <w:pPr>
        <w:jc w:val="both"/>
        <w:ind w:right="20" w:firstLine="1305"/>
        <w:spacing w:after="0" w:line="259" w:lineRule="auto"/>
        <w:tabs>
          <w:tab w:leader="none" w:pos="22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Employee recognizes that the services to be performed by him hereunder are special, unique and extraordinary. The parties confirm that it is reasonably necessary for the protection of the Company that the Employee agree, and accordingly, the Employee does hereby agree, that, he shall not, directly or indirectly, at any time during the "Restricted Period" within the "Restricted Area" engage in any "Restricted Business Activity" (as those terms are defined in Sections 8(b), (c) and (d) below).</w:t>
      </w:r>
    </w:p>
    <w:p>
      <w:pPr>
        <w:spacing w:after="0" w:line="186" w:lineRule="exact"/>
        <w:rPr>
          <w:rFonts w:ascii="Arial" w:cs="Arial" w:eastAsia="Arial" w:hAnsi="Arial"/>
          <w:sz w:val="18"/>
          <w:szCs w:val="18"/>
          <w:color w:val="auto"/>
        </w:rPr>
      </w:pPr>
    </w:p>
    <w:p>
      <w:pPr>
        <w:ind w:left="2180" w:hanging="875"/>
        <w:spacing w:after="0"/>
        <w:tabs>
          <w:tab w:leader="none" w:pos="2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Restricted Business Activity</w:t>
      </w:r>
      <w:r>
        <w:rPr>
          <w:rFonts w:ascii="Arial" w:cs="Arial" w:eastAsia="Arial" w:hAnsi="Arial"/>
          <w:sz w:val="17"/>
          <w:szCs w:val="17"/>
          <w:color w:val="auto"/>
        </w:rPr>
        <w:t>" as used in this Section 8, means that the Employee shall not, directly or indirectly:</w:t>
      </w:r>
    </w:p>
    <w:p>
      <w:pPr>
        <w:spacing w:after="0" w:line="236" w:lineRule="exact"/>
        <w:rPr>
          <w:rFonts w:ascii="Arial" w:cs="Arial" w:eastAsia="Arial" w:hAnsi="Arial"/>
          <w:sz w:val="17"/>
          <w:szCs w:val="17"/>
          <w:color w:val="auto"/>
        </w:rPr>
      </w:pPr>
    </w:p>
    <w:p>
      <w:pPr>
        <w:jc w:val="both"/>
        <w:ind w:left="1300" w:firstLine="653"/>
        <w:spacing w:after="0" w:line="257" w:lineRule="auto"/>
        <w:tabs>
          <w:tab w:leader="none" w:pos="29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provide services, either on his own behalf or as an officer, director, partner, consultant, associate, employee, owner, agent, independent contractor, or co-venturer of any third party, (i) the primary value of which is monetizing patent portfolios or (ii) to any company primarily engaged in the business of monetizing patent portfolios. For the avoidance of doubt, engaging in the licensing of patents to or from third parties for the purpose of development and sale of products and services incorporating such patents by the licensee is not a competing activity; or</w:t>
      </w:r>
    </w:p>
    <w:p>
      <w:pPr>
        <w:spacing w:after="0" w:line="188" w:lineRule="exact"/>
        <w:rPr>
          <w:rFonts w:ascii="Arial" w:cs="Arial" w:eastAsia="Arial" w:hAnsi="Arial"/>
          <w:sz w:val="18"/>
          <w:szCs w:val="18"/>
          <w:color w:val="auto"/>
        </w:rPr>
      </w:pPr>
    </w:p>
    <w:p>
      <w:pPr>
        <w:ind w:left="1300" w:firstLine="653"/>
        <w:spacing w:after="0" w:line="277" w:lineRule="auto"/>
        <w:tabs>
          <w:tab w:leader="none" w:pos="3035" w:val="left"/>
        </w:tabs>
        <w:numPr>
          <w:ilvl w:val="1"/>
          <w:numId w:val="39"/>
        </w:numPr>
        <w:rPr>
          <w:rFonts w:ascii="Arial" w:cs="Arial" w:eastAsia="Arial" w:hAnsi="Arial"/>
          <w:sz w:val="18"/>
          <w:szCs w:val="18"/>
          <w:color w:val="auto"/>
        </w:rPr>
      </w:pPr>
      <w:r>
        <w:rPr>
          <w:rFonts w:ascii="Arial" w:cs="Arial" w:eastAsia="Arial" w:hAnsi="Arial"/>
          <w:sz w:val="18"/>
          <w:szCs w:val="18"/>
          <w:color w:val="auto"/>
        </w:rPr>
        <w:t>solicit any material commercial relationships of the Company, other than in the furtherance of the business of the Company during the Employee’s employment with the Company;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provided, however, that Restricted Business Activity shall not be construed to prevent the Employee from (i) owning, directly or indirectly, in the aggregate, an amount not exceeding two percent (2%) of the issued and outstanding voting securities of any class of any company whose voting capital stock is traded or listed on a national securities exchange or in the over-the-counter market; (ii) providing services to any division, department or branch of another company that does not itself engage in whole or in part in the business of innovation, development and monetization of mobile technologies and intellectual property; or (iii) soliciting any material commercial relationships of the Company for the purpose of selling products or providing services that are not the same or substantially similar to the products or services sold by the Company during the Employee’s employment with the Company.</w:t>
      </w:r>
    </w:p>
    <w:p>
      <w:pPr>
        <w:spacing w:after="0" w:line="178" w:lineRule="exact"/>
        <w:rPr>
          <w:sz w:val="20"/>
          <w:szCs w:val="20"/>
          <w:color w:val="auto"/>
        </w:rPr>
      </w:pPr>
    </w:p>
    <w:p>
      <w:pPr>
        <w:ind w:firstLine="1305"/>
        <w:spacing w:after="0" w:line="277" w:lineRule="auto"/>
        <w:tabs>
          <w:tab w:leader="none" w:pos="23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Period</w:t>
      </w:r>
      <w:r>
        <w:rPr>
          <w:rFonts w:ascii="Arial" w:cs="Arial" w:eastAsia="Arial" w:hAnsi="Arial"/>
          <w:sz w:val="18"/>
          <w:szCs w:val="18"/>
          <w:color w:val="auto"/>
        </w:rPr>
        <w:t>," as used in this Section 8, shall mean during the period of time the Employee is employed with the Company plus one (1) year after the date the Employee is actually no longer employed by the Company.</w:t>
      </w:r>
    </w:p>
    <w:p>
      <w:pPr>
        <w:spacing w:after="0" w:line="170" w:lineRule="exact"/>
        <w:rPr>
          <w:rFonts w:ascii="Arial" w:cs="Arial" w:eastAsia="Arial" w:hAnsi="Arial"/>
          <w:sz w:val="18"/>
          <w:szCs w:val="18"/>
          <w:color w:val="auto"/>
        </w:rPr>
      </w:pPr>
    </w:p>
    <w:p>
      <w:pPr>
        <w:ind w:left="2180" w:hanging="875"/>
        <w:spacing w:after="0"/>
        <w:tabs>
          <w:tab w:leader="none" w:pos="2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Area</w:t>
      </w:r>
      <w:r>
        <w:rPr>
          <w:rFonts w:ascii="Arial" w:cs="Arial" w:eastAsia="Arial" w:hAnsi="Arial"/>
          <w:sz w:val="18"/>
          <w:szCs w:val="18"/>
          <w:color w:val="auto"/>
        </w:rPr>
        <w:t>" as used in this Section 8 shall mean worldwide.</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2324"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any of the restrictions contained in this Section 8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6" w:name="page77"/>
    <w:bookmarkEnd w:id="76"/>
    <w:p>
      <w:pPr>
        <w:ind w:left="2240" w:hanging="935"/>
        <w:spacing w:after="0"/>
        <w:tabs>
          <w:tab w:leader="none" w:pos="2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provisions of this Section 8 shall survive the termination of the Employee's employment hereunder and until the end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Period.</w:t>
      </w:r>
    </w:p>
    <w:p>
      <w:pPr>
        <w:spacing w:after="0" w:line="211" w:lineRule="exact"/>
        <w:rPr>
          <w:sz w:val="20"/>
          <w:szCs w:val="20"/>
          <w:color w:val="auto"/>
        </w:rPr>
      </w:pPr>
    </w:p>
    <w:p>
      <w:pPr>
        <w:ind w:left="1600" w:hanging="944"/>
        <w:spacing w:after="0"/>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70" w:lineRule="auto"/>
        <w:tabs>
          <w:tab w:leader="none" w:pos="2311"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Employee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the Employee of this Agreement. Accordingly, the Employee agrees that any breach or threatened breach by him of this Agreement shall entitle the Company, in addition to all other legal remedies available to it, to apply to any court of competent jurisdiction to seek to enjoin such breach or threatened breach. The parties understand and intend that each restriction agreed to by the Employee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177" w:lineRule="exact"/>
        <w:rPr>
          <w:rFonts w:ascii="Arial" w:cs="Arial" w:eastAsia="Arial" w:hAnsi="Arial"/>
          <w:sz w:val="17"/>
          <w:szCs w:val="17"/>
          <w:color w:val="auto"/>
        </w:rPr>
      </w:pPr>
    </w:p>
    <w:p>
      <w:pPr>
        <w:jc w:val="both"/>
        <w:ind w:firstLine="1305"/>
        <w:spacing w:after="0" w:line="293" w:lineRule="auto"/>
        <w:tabs>
          <w:tab w:leader="none" w:pos="2235"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Employee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 (b) or which otherwise becomes bound by all of the terms and provisions of this Agreement by operation of law.</w:t>
      </w:r>
    </w:p>
    <w:p>
      <w:pPr>
        <w:spacing w:after="0" w:line="164" w:lineRule="exact"/>
        <w:rPr>
          <w:rFonts w:ascii="Arial" w:cs="Arial" w:eastAsia="Arial" w:hAnsi="Arial"/>
          <w:sz w:val="16"/>
          <w:szCs w:val="16"/>
          <w:color w:val="auto"/>
        </w:rPr>
      </w:pPr>
    </w:p>
    <w:p>
      <w:pPr>
        <w:jc w:val="both"/>
        <w:ind w:firstLine="1305"/>
        <w:spacing w:after="0" w:line="255" w:lineRule="auto"/>
        <w:tabs>
          <w:tab w:leader="none" w:pos="2243"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This Agreement and any other agreement referenced herein, constitutes and embodies the full and complete understanding and agreement of the parties with respect to the Employee's employment by the Company, and supersedes all prior understandings and agreements, whether oral or written, between the Employee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7" w:name="page78"/>
    <w:bookmarkEnd w:id="77"/>
    <w:p>
      <w:pPr>
        <w:jc w:val="both"/>
        <w:ind w:firstLine="1305"/>
        <w:spacing w:after="0" w:line="257" w:lineRule="auto"/>
        <w:tabs>
          <w:tab w:leader="none" w:pos="218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Employee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Employee warrants and represents that he has had sufficient time to consider whether to enter into this Agreement and that he is relying solely on his own judgment and the advice of his own counsel, if any, in deciding to execute this Agreement.</w:t>
      </w:r>
    </w:p>
    <w:p>
      <w:pPr>
        <w:spacing w:after="0" w:line="188" w:lineRule="exact"/>
        <w:rPr>
          <w:rFonts w:ascii="Arial" w:cs="Arial" w:eastAsia="Arial" w:hAnsi="Arial"/>
          <w:sz w:val="18"/>
          <w:szCs w:val="18"/>
          <w:color w:val="auto"/>
        </w:rPr>
      </w:pPr>
    </w:p>
    <w:p>
      <w:pPr>
        <w:ind w:right="20" w:firstLine="1305"/>
        <w:spacing w:after="0" w:line="277" w:lineRule="auto"/>
        <w:tabs>
          <w:tab w:leader="none" w:pos="23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Agreement shall inure to the benefit of, be binding upon and enforceable against, the parties hereto and their respective successors, heirs, beneficiaries and permitted assigns.</w:t>
      </w:r>
    </w:p>
    <w:p>
      <w:pPr>
        <w:spacing w:after="0" w:line="170" w:lineRule="exact"/>
        <w:rPr>
          <w:rFonts w:ascii="Arial" w:cs="Arial" w:eastAsia="Arial" w:hAnsi="Arial"/>
          <w:sz w:val="18"/>
          <w:szCs w:val="18"/>
          <w:color w:val="auto"/>
        </w:rPr>
      </w:pPr>
    </w:p>
    <w:p>
      <w:pPr>
        <w:ind w:left="2200" w:hanging="895"/>
        <w:spacing w:after="0"/>
        <w:tabs>
          <w:tab w:leader="none" w:pos="2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this Agreement is terminated for any reason, Section 8 shall survive termination of this Agreement.</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[Intentionally Blank]</w:t>
      </w:r>
    </w:p>
    <w:p>
      <w:pPr>
        <w:spacing w:after="0" w:line="225" w:lineRule="exact"/>
        <w:rPr>
          <w:rFonts w:ascii="Arial" w:cs="Arial" w:eastAsia="Arial" w:hAnsi="Arial"/>
          <w:sz w:val="18"/>
          <w:szCs w:val="18"/>
          <w:color w:val="auto"/>
        </w:rPr>
      </w:pPr>
    </w:p>
    <w:p>
      <w:pPr>
        <w:ind w:firstLine="1305"/>
        <w:spacing w:after="0" w:line="277" w:lineRule="auto"/>
        <w:tabs>
          <w:tab w:leader="none" w:pos="22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headings contained in this Agreement are for convenience of reference only and shall not affect in any way the meaning or interpretation of this Agreement.</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23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2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internal laws of the State of New York without reference to principles of conflicts of laws and each of the parties hereto irrevocably consents to the exclusive jurisdiction and venue of the federal and state courts located in the County and State of New York.</w:t>
      </w:r>
    </w:p>
    <w:p>
      <w:pPr>
        <w:spacing w:after="0" w:line="181" w:lineRule="exact"/>
        <w:rPr>
          <w:rFonts w:ascii="Arial" w:cs="Arial" w:eastAsia="Arial" w:hAnsi="Arial"/>
          <w:sz w:val="18"/>
          <w:szCs w:val="18"/>
          <w:color w:val="auto"/>
        </w:rPr>
      </w:pPr>
    </w:p>
    <w:p>
      <w:pPr>
        <w:ind w:right="20" w:firstLine="1305"/>
        <w:spacing w:after="0" w:line="308" w:lineRule="auto"/>
        <w:tabs>
          <w:tab w:leader="none" w:pos="2262"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23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Employee represents and warrants to the Company, that he has the full power and authority to enter into this Agreement and to perform his obligations hereunder and that the execution and delivery of this Agreement and the performance of his obligations hereunder will not conflict with any agreement to which Employee is a party.</w:t>
      </w:r>
    </w:p>
    <w:p>
      <w:pPr>
        <w:spacing w:after="0" w:line="181" w:lineRule="exact"/>
        <w:rPr>
          <w:rFonts w:ascii="Arial" w:cs="Arial" w:eastAsia="Arial" w:hAnsi="Arial"/>
          <w:sz w:val="18"/>
          <w:szCs w:val="18"/>
          <w:color w:val="auto"/>
        </w:rPr>
      </w:pPr>
    </w:p>
    <w:p>
      <w:pPr>
        <w:ind w:left="2140" w:hanging="835"/>
        <w:spacing w:after="0"/>
        <w:tabs>
          <w:tab w:leader="none" w:pos="2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Party will pay its own costs and expenses related to the transactions contemplated by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Employment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Employee and the Company have caused this Employment Agreement to be executed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2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David L. Cohen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VRINGO, INC.</w:t>
      </w:r>
    </w:p>
    <w:p>
      <w:pPr>
        <w:spacing w:after="0" w:line="200" w:lineRule="exact"/>
        <w:rPr>
          <w:sz w:val="20"/>
          <w:szCs w:val="20"/>
          <w:color w:val="auto"/>
        </w:rPr>
      </w:pPr>
    </w:p>
    <w:p>
      <w:pPr>
        <w:spacing w:after="0" w:line="24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Andrew D. Perlman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30359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LEASE</w:t>
      </w:r>
    </w:p>
    <w:p>
      <w:pPr>
        <w:spacing w:after="0" w:line="22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This FIRST AMENDMENT TO LEASE dated as of January 24, 2014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T-C 780 THIRD AVENUE OWNER</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 (</w:t>
      </w:r>
      <w:r>
        <w:rPr>
          <w:rFonts w:ascii="Arial" w:cs="Arial" w:eastAsia="Arial" w:hAnsi="Arial"/>
          <w:sz w:val="18"/>
          <w:szCs w:val="18"/>
          <w:i w:val="1"/>
          <w:iCs w:val="1"/>
          <w:color w:val="auto"/>
        </w:rPr>
        <w:t>successor-in-interest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to TEACHERS INSURANCE AND ANNUITY ASSOCIATION OF AMERICA,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its separate Real Estate Account) having an office at 730 Third Avenue, New York, New York 10017 (“</w:t>
      </w:r>
      <w:r>
        <w:rPr>
          <w:rFonts w:ascii="Arial" w:cs="Arial" w:eastAsia="Arial" w:hAnsi="Arial"/>
          <w:sz w:val="18"/>
          <w:szCs w:val="18"/>
          <w:u w:val="single" w:color="auto"/>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having an office at 780 Third Avenue, New York, New York 10017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229" w:lineRule="exact"/>
        <w:rPr>
          <w:sz w:val="20"/>
          <w:szCs w:val="20"/>
          <w:color w:val="auto"/>
        </w:rPr>
      </w:pPr>
    </w:p>
    <w:p>
      <w:pPr>
        <w:jc w:val="both"/>
        <w:ind w:firstLine="1297"/>
        <w:spacing w:after="0" w:line="222" w:lineRule="auto"/>
        <w:rPr>
          <w:sz w:val="20"/>
          <w:szCs w:val="20"/>
          <w:color w:val="auto"/>
        </w:rPr>
      </w:pPr>
      <w:r>
        <w:rPr>
          <w:rFonts w:ascii="Arial" w:cs="Arial" w:eastAsia="Arial" w:hAnsi="Arial"/>
          <w:sz w:val="18"/>
          <w:szCs w:val="18"/>
          <w:color w:val="auto"/>
        </w:rPr>
        <w:t>WHEREAS, Landlord and Tenant entered into that certain Lease dated as of July 26, 2012 (the “</w:t>
      </w:r>
      <w:r>
        <w:rPr>
          <w:rFonts w:ascii="Arial" w:cs="Arial" w:eastAsia="Arial" w:hAnsi="Arial"/>
          <w:sz w:val="18"/>
          <w:szCs w:val="18"/>
          <w:u w:val="single" w:color="auto"/>
          <w:color w:val="auto"/>
        </w:rPr>
        <w:t>Lease</w:t>
      </w:r>
      <w:r>
        <w:rPr>
          <w:rFonts w:ascii="Arial" w:cs="Arial" w:eastAsia="Arial" w:hAnsi="Arial"/>
          <w:sz w:val="18"/>
          <w:szCs w:val="18"/>
          <w:color w:val="auto"/>
        </w:rPr>
        <w:t>”), covering a portion of the fifteenth (15</w:t>
      </w:r>
      <w:r>
        <w:rPr>
          <w:rFonts w:ascii="Arial" w:cs="Arial" w:eastAsia="Arial" w:hAnsi="Arial"/>
          <w:sz w:val="30"/>
          <w:szCs w:val="30"/>
          <w:color w:val="auto"/>
          <w:vertAlign w:val="superscript"/>
        </w:rPr>
        <w:t>th</w:t>
      </w:r>
      <w:r>
        <w:rPr>
          <w:rFonts w:ascii="Arial" w:cs="Arial" w:eastAsia="Arial" w:hAnsi="Arial"/>
          <w:sz w:val="18"/>
          <w:szCs w:val="18"/>
          <w:color w:val="auto"/>
        </w:rPr>
        <w:t>) floor (the “</w:t>
      </w:r>
      <w:r>
        <w:rPr>
          <w:rFonts w:ascii="Arial" w:cs="Arial" w:eastAsia="Arial" w:hAnsi="Arial"/>
          <w:sz w:val="18"/>
          <w:szCs w:val="18"/>
          <w:u w:val="single" w:color="auto"/>
          <w:color w:val="auto"/>
        </w:rPr>
        <w:t>Existing Premises</w:t>
      </w:r>
      <w:r>
        <w:rPr>
          <w:rFonts w:ascii="Arial" w:cs="Arial" w:eastAsia="Arial" w:hAnsi="Arial"/>
          <w:sz w:val="18"/>
          <w:szCs w:val="18"/>
          <w:color w:val="auto"/>
        </w:rPr>
        <w:t>”) of the building known as 780 Third Avenue, New York, New York (the “</w:t>
      </w:r>
      <w:r>
        <w:rPr>
          <w:rFonts w:ascii="Arial" w:cs="Arial" w:eastAsia="Arial" w:hAnsi="Arial"/>
          <w:sz w:val="18"/>
          <w:szCs w:val="18"/>
          <w:u w:val="single" w:color="auto"/>
          <w:color w:val="auto"/>
        </w:rPr>
        <w:t>Building</w:t>
      </w:r>
      <w:r>
        <w:rPr>
          <w:rFonts w:ascii="Arial" w:cs="Arial" w:eastAsia="Arial" w:hAnsi="Arial"/>
          <w:sz w:val="18"/>
          <w:szCs w:val="18"/>
          <w:color w:val="auto"/>
        </w:rPr>
        <w:t>”), all as more particularly described in the Lease; and</w:t>
      </w:r>
    </w:p>
    <w:p>
      <w:pPr>
        <w:spacing w:after="0" w:line="207" w:lineRule="exact"/>
        <w:rPr>
          <w:sz w:val="20"/>
          <w:szCs w:val="20"/>
          <w:color w:val="auto"/>
        </w:rPr>
      </w:pPr>
    </w:p>
    <w:p>
      <w:pPr>
        <w:jc w:val="both"/>
        <w:ind w:firstLine="1297"/>
        <w:spacing w:after="0" w:line="221" w:lineRule="auto"/>
        <w:rPr>
          <w:sz w:val="20"/>
          <w:szCs w:val="20"/>
          <w:color w:val="auto"/>
        </w:rPr>
      </w:pPr>
      <w:r>
        <w:rPr>
          <w:rFonts w:ascii="Arial" w:cs="Arial" w:eastAsia="Arial" w:hAnsi="Arial"/>
          <w:sz w:val="18"/>
          <w:szCs w:val="18"/>
          <w:color w:val="auto"/>
        </w:rPr>
        <w:t>WHEREAS, Landlord and Tenant desire to modify the Lease to (i) provide for the substitution of a portion of the twelfth (12</w:t>
      </w:r>
      <w:r>
        <w:rPr>
          <w:rFonts w:ascii="Arial" w:cs="Arial" w:eastAsia="Arial" w:hAnsi="Arial"/>
          <w:sz w:val="30"/>
          <w:szCs w:val="30"/>
          <w:color w:val="auto"/>
          <w:vertAlign w:val="superscript"/>
        </w:rPr>
        <w:t>th</w:t>
      </w:r>
      <w:r>
        <w:rPr>
          <w:rFonts w:ascii="Arial" w:cs="Arial" w:eastAsia="Arial" w:hAnsi="Arial"/>
          <w:sz w:val="18"/>
          <w:szCs w:val="18"/>
          <w:color w:val="auto"/>
        </w:rPr>
        <w:t>) floor of the Building (the “</w:t>
      </w:r>
      <w:r>
        <w:rPr>
          <w:rFonts w:ascii="Arial" w:cs="Arial" w:eastAsia="Arial" w:hAnsi="Arial"/>
          <w:sz w:val="18"/>
          <w:szCs w:val="18"/>
          <w:u w:val="single" w:color="auto"/>
          <w:color w:val="auto"/>
        </w:rPr>
        <w:t>New Premises</w:t>
      </w:r>
      <w:r>
        <w:rPr>
          <w:rFonts w:ascii="Arial" w:cs="Arial" w:eastAsia="Arial" w:hAnsi="Arial"/>
          <w:sz w:val="18"/>
          <w:szCs w:val="18"/>
          <w:color w:val="auto"/>
        </w:rPr>
        <w:t xml:space="preserve">”) (being more particularly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for the Existing Premises, and (ii) otherwise modify the terms and conditions of the Lease, all as hereinafter set forth.</w:t>
      </w:r>
    </w:p>
    <w:p>
      <w:pPr>
        <w:spacing w:after="0" w:line="202"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NOW, THEREFORE, in consideration of the mutual covenants herein contained, and other good and valuable consideration, the receipt and sufficiency of which are hereby acknowledged, Landlord and Tenant agree as follows:</w:t>
      </w:r>
    </w:p>
    <w:p>
      <w:pPr>
        <w:spacing w:after="0" w:line="170" w:lineRule="exact"/>
        <w:rPr>
          <w:sz w:val="20"/>
          <w:szCs w:val="20"/>
          <w:color w:val="auto"/>
        </w:rPr>
      </w:pPr>
    </w:p>
    <w:p>
      <w:pPr>
        <w:ind w:left="840" w:hanging="184"/>
        <w:spacing w:after="0"/>
        <w:tabs>
          <w:tab w:leader="none" w:pos="84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xml:space="preserve">. </w:t>
      </w:r>
      <w:r>
        <w:rPr>
          <w:rFonts w:ascii="Arial" w:cs="Arial" w:eastAsia="Arial" w:hAnsi="Arial"/>
          <w:sz w:val="16"/>
          <w:szCs w:val="16"/>
          <w:i w:val="1"/>
          <w:iCs w:val="1"/>
          <w:color w:val="auto"/>
        </w:rPr>
        <w:t>All capitalized terms used and not otherwise defined in this Amendment shall have the respective meanings ascribed to them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the Lease.</w:t>
      </w:r>
    </w:p>
    <w:p>
      <w:pPr>
        <w:spacing w:after="0" w:line="210" w:lineRule="exact"/>
        <w:rPr>
          <w:rFonts w:ascii="Arial" w:cs="Arial" w:eastAsia="Arial" w:hAnsi="Arial"/>
          <w:sz w:val="16"/>
          <w:szCs w:val="16"/>
          <w:color w:val="auto"/>
        </w:rPr>
      </w:pPr>
    </w:p>
    <w:p>
      <w:pPr>
        <w:ind w:left="840" w:hanging="184"/>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Existing Premises.</w:t>
      </w:r>
    </w:p>
    <w:p>
      <w:pPr>
        <w:spacing w:after="0" w:line="225" w:lineRule="exact"/>
        <w:rPr>
          <w:sz w:val="20"/>
          <w:szCs w:val="20"/>
          <w:color w:val="auto"/>
        </w:rPr>
      </w:pPr>
    </w:p>
    <w:p>
      <w:pPr>
        <w:jc w:val="both"/>
        <w:ind w:firstLine="656"/>
        <w:spacing w:after="0" w:line="259" w:lineRule="auto"/>
        <w:tabs>
          <w:tab w:leader="none" w:pos="909" w:val="left"/>
        </w:tabs>
        <w:numPr>
          <w:ilvl w:val="0"/>
          <w:numId w:val="45"/>
        </w:numPr>
        <w:rPr>
          <w:rFonts w:ascii="Arial" w:cs="Arial" w:eastAsia="Arial" w:hAnsi="Arial"/>
          <w:sz w:val="18"/>
          <w:szCs w:val="18"/>
          <w:color w:val="auto"/>
        </w:rPr>
      </w:pPr>
      <w:r>
        <w:rPr>
          <w:rFonts w:ascii="Arial" w:cs="Arial" w:eastAsia="Arial" w:hAnsi="Arial"/>
          <w:sz w:val="18"/>
          <w:szCs w:val="18"/>
          <w:color w:val="auto"/>
        </w:rPr>
        <w:t>Landlord and Tenant hereby agree that the term of the Lease with respect to the Existing Premises will expire on the date that the Landlord’s Work (as hereinafter defined) with respect to the New Premises is Substantially Completed (as hereinafter defined) (the “</w:t>
      </w:r>
      <w:r>
        <w:rPr>
          <w:rFonts w:ascii="Arial" w:cs="Arial" w:eastAsia="Arial" w:hAnsi="Arial"/>
          <w:sz w:val="18"/>
          <w:szCs w:val="18"/>
          <w:u w:val="single" w:color="auto"/>
          <w:color w:val="auto"/>
        </w:rPr>
        <w:t>Existing Premises New Expiration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or such earlier date upon which the term of the Lease may expire or be terminated pursuant to any of the conditions of limitation or other provisions of the Lease or pursuant to law.</w:t>
      </w:r>
    </w:p>
    <w:p>
      <w:pPr>
        <w:spacing w:after="0" w:line="186" w:lineRule="exact"/>
        <w:rPr>
          <w:rFonts w:ascii="Arial" w:cs="Arial" w:eastAsia="Arial" w:hAnsi="Arial"/>
          <w:sz w:val="18"/>
          <w:szCs w:val="18"/>
          <w:color w:val="auto"/>
        </w:rPr>
      </w:pPr>
    </w:p>
    <w:p>
      <w:pPr>
        <w:jc w:val="both"/>
        <w:ind w:firstLine="656"/>
        <w:spacing w:after="0" w:line="279" w:lineRule="auto"/>
        <w:tabs>
          <w:tab w:leader="none" w:pos="917"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On the Existing Premises New Expiration Date, Tenant shall deliver to Landlord possession of the Existing Premises vacant and broom clean, free of all occupancies and encumbrances and otherwise in accordance with the terms, covenants and conditions of the Lease. In the event Tenant fails to vacate and surrender possession of the Existing Premises in accordance with the terms of the Lease, Landlord will have the right to exercise all of its rights and remedies provided at law, in equity and/or in the Lease, including, without limitation, </w:t>
      </w:r>
      <w:r>
        <w:rPr>
          <w:rFonts w:ascii="Arial" w:cs="Arial" w:eastAsia="Arial" w:hAnsi="Arial"/>
          <w:sz w:val="17"/>
          <w:szCs w:val="17"/>
          <w:u w:val="single" w:color="auto"/>
          <w:color w:val="auto"/>
        </w:rPr>
        <w:t>Article 21</w:t>
      </w:r>
      <w:r>
        <w:rPr>
          <w:rFonts w:ascii="Arial" w:cs="Arial" w:eastAsia="Arial" w:hAnsi="Arial"/>
          <w:sz w:val="17"/>
          <w:szCs w:val="17"/>
          <w:color w:val="auto"/>
        </w:rPr>
        <w:t xml:space="preserve">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jc w:val="both"/>
        <w:ind w:firstLine="656"/>
        <w:spacing w:after="0" w:line="287" w:lineRule="auto"/>
        <w:tabs>
          <w:tab w:leader="none" w:pos="90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Tenant hereby represents and warrants that: (i) except for Tenant, the Existing Premises is presently free of all occupancies, (ii) Tenant has not created or suffered any rights in any other party, as tenant, subtenant or occupant, in and/or to the Existing Premises through and including the date of this Amendment and (iii) no materials, personalty, furnishings, personal property, fixtures, trade fixtures and equipment (“</w:t>
      </w:r>
      <w:r>
        <w:rPr>
          <w:rFonts w:ascii="Arial" w:cs="Arial" w:eastAsia="Arial" w:hAnsi="Arial"/>
          <w:sz w:val="16"/>
          <w:szCs w:val="16"/>
          <w:u w:val="single" w:color="auto"/>
          <w:color w:val="auto"/>
        </w:rPr>
        <w:t>Property</w:t>
      </w:r>
      <w:r>
        <w:rPr>
          <w:rFonts w:ascii="Arial" w:cs="Arial" w:eastAsia="Arial" w:hAnsi="Arial"/>
          <w:sz w:val="16"/>
          <w:szCs w:val="16"/>
          <w:color w:val="auto"/>
        </w:rPr>
        <w:t>”) presently in the Existing Premises are subject to any lien, encumbrance, chattel mortgage, title retention or security agreement, other than Tenant’s lease of its photocopy machine(s). Tenant covenants and agrees that it shall not at any time hereafter create, suffer or permit the creation of any such rights or encumbrances in or to the Existing Premises or the Property contained therein. Tenant will remove its Property (and repair any damage caused by such removal) from the Existing Premises on or before the Existing Premises New Expiration Date. Any Property left in the Existing Premises by Tenant after the Existing Premises New Expiration Date shall be deemed to have been abandoned by Tenant, and Landlord shall have the right to retain or dispose of such Property in any manner without any obligation to account to Tenant therefor, and Tenant will reimburse Landlord for Landlord’s actual out-of-pocket costs for any such retention or disposal of such Property upon demand. Following the vacation and surrender by Tenant to Landlord of the Existing Premises in accordance with the terms of the Lease, neither party shall have any obligation to the other party with respect to the Existing Premises, except with respect to those obligations which are intended to survive the expiration or earlier termination of the Lease with respect to the Existing Premises.</w:t>
      </w:r>
    </w:p>
    <w:p>
      <w:pPr>
        <w:spacing w:after="0" w:line="169" w:lineRule="exact"/>
        <w:rPr>
          <w:sz w:val="20"/>
          <w:szCs w:val="20"/>
          <w:color w:val="auto"/>
        </w:rPr>
      </w:pPr>
    </w:p>
    <w:p>
      <w:pPr>
        <w:ind w:left="840" w:hanging="184"/>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Lease of the New Premises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4" w:lineRule="auto"/>
        <w:tabs>
          <w:tab w:leader="none" w:pos="91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Landlord hereby leases to Tenant, and Tenant hereby leases from Landlord, the New Premises for a term commencing on the date (the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Premises Commencement Date</w:t>
      </w:r>
      <w:r>
        <w:rPr>
          <w:rFonts w:ascii="Arial" w:cs="Arial" w:eastAsia="Arial" w:hAnsi="Arial"/>
          <w:sz w:val="18"/>
          <w:szCs w:val="18"/>
          <w:color w:val="auto"/>
        </w:rPr>
        <w:t>”) that the Landlord’s Work has been Substantially Completed (or would have been Substantially Completed but for a Tenant Delay), and ending on the date preceding the five (5) year and three (3) month anniversary of the New Premises Commencement Date (provided, however, if the New Premises Commencement Date is not the first date of a calendar month, then ending on the last day of the month in which occurs the five (5) year and three (3) month anniversary of the New Premises Commencement Date) (the applicable date, the “</w:t>
      </w:r>
      <w:r>
        <w:rPr>
          <w:rFonts w:ascii="Arial" w:cs="Arial" w:eastAsia="Arial" w:hAnsi="Arial"/>
          <w:sz w:val="18"/>
          <w:szCs w:val="18"/>
          <w:u w:val="single" w:color="auto"/>
          <w:color w:val="auto"/>
        </w:rPr>
        <w:t>New Premises Expiration Date</w:t>
      </w:r>
      <w:r>
        <w:rPr>
          <w:rFonts w:ascii="Arial" w:cs="Arial" w:eastAsia="Arial" w:hAnsi="Arial"/>
          <w:sz w:val="18"/>
          <w:szCs w:val="18"/>
          <w:color w:val="auto"/>
        </w:rPr>
        <w:t>”), or such earlier date upon which the term of the Lease may expire or be terminated pursuant to any of the conditions of limitation or other provisions of the Lease or pursuant to law, upon all of the terms and conditions of the Lease and this Amendment. Upon the date hereof, the terms and provisions hereof shall be fully binding on Landlord and Tenant.</w:t>
      </w:r>
    </w:p>
    <w:p>
      <w:pPr>
        <w:spacing w:after="0" w:line="192" w:lineRule="exact"/>
        <w:rPr>
          <w:rFonts w:ascii="Arial" w:cs="Arial" w:eastAsia="Arial" w:hAnsi="Arial"/>
          <w:sz w:val="18"/>
          <w:szCs w:val="18"/>
          <w:color w:val="auto"/>
        </w:rPr>
      </w:pPr>
    </w:p>
    <w:p>
      <w:pPr>
        <w:jc w:val="both"/>
        <w:ind w:firstLine="656"/>
        <w:spacing w:after="0" w:line="287" w:lineRule="auto"/>
        <w:tabs>
          <w:tab w:leader="none" w:pos="917"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New Premises Commencement Date has not occurred on or before any specified date, for any reason whatsoever, Landlord shall not be liable to Tenant for any damage thereby, this Amendment shall not be void or voidable thereby, and the term of the New Premises shall not commence until Landlord tenders possession of the New Premises to Tenant in the condition required under this Amendment. Once the New Premises Commencement Date, is determined, Landlord and Tenant shall execute an agreement stating the New Premises Commencement Date, the New Premises Rent Commencement Date and the New Premises Expiration Date, but the failure to do so will not affect the determination of such dates. Tenant expressly waives any right to rescind the Lease and/or this Amendment under Section 223-a of the New York Real Property Law or under any present or future statute of similar import then in force and further expressly waives the right to recover any damages from Landlord, direct or indirect, which may result from the failure of the New Premises Commencement Date to occur on a particular date. Notwithstanding the foregoing, in the event the New Premises Commencement Date has not occurred on or prior to the date that is six (6) months following the date hereof (the “</w:t>
      </w:r>
      <w:r>
        <w:rPr>
          <w:rFonts w:ascii="Arial" w:cs="Arial" w:eastAsia="Arial" w:hAnsi="Arial"/>
          <w:sz w:val="16"/>
          <w:szCs w:val="16"/>
          <w:u w:val="single" w:color="auto"/>
          <w:color w:val="auto"/>
        </w:rPr>
        <w:t>Outside Date</w:t>
      </w:r>
      <w:r>
        <w:rPr>
          <w:rFonts w:ascii="Arial" w:cs="Arial" w:eastAsia="Arial" w:hAnsi="Arial"/>
          <w:sz w:val="16"/>
          <w:szCs w:val="16"/>
          <w:color w:val="auto"/>
        </w:rPr>
        <w:t>”) (which Outside Date will be subject to extension for Tenant Delay and/or Force Majeure), then, as Tenant’s sole and exclusive remedy with respect thereto, the New Premises Rent Commencement Date (as hereinafter defined) shall be extended by one (1) day for each day after the Outside Date that the New Premises Commencement Date has not occurred.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ind w:firstLine="656"/>
        <w:spacing w:after="0" w:line="277" w:lineRule="auto"/>
        <w:tabs>
          <w:tab w:leader="none" w:pos="9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 as of the New Premises Commencement Date, Tenant shall lease the New Premises upon all of the terms and conditions of the Lease, except as follows:</w:t>
      </w:r>
    </w:p>
    <w:p>
      <w:pPr>
        <w:spacing w:after="0" w:line="170" w:lineRule="exact"/>
        <w:rPr>
          <w:sz w:val="20"/>
          <w:szCs w:val="20"/>
          <w:color w:val="auto"/>
        </w:rPr>
      </w:pPr>
    </w:p>
    <w:p>
      <w:pPr>
        <w:jc w:val="both"/>
        <w:ind w:left="660" w:firstLine="648"/>
        <w:spacing w:after="0" w:line="251" w:lineRule="auto"/>
        <w:rPr>
          <w:sz w:val="20"/>
          <w:szCs w:val="20"/>
          <w:color w:val="auto"/>
        </w:rPr>
      </w:pPr>
      <w:r>
        <w:rPr>
          <w:rFonts w:ascii="Arial" w:cs="Arial" w:eastAsia="Arial" w:hAnsi="Arial"/>
          <w:sz w:val="17"/>
          <w:szCs w:val="17"/>
          <w:color w:val="auto"/>
        </w:rPr>
        <w:t>(i) The Fixed Rent payable under the Lease with respect to the New Premises shall be an amount equal to (A) $403,125 per annum ($33,593.75 per month) for the period commencing on the New Premises Commencement Date and ending on the date preceding the third (3</w:t>
      </w:r>
      <w:r>
        <w:rPr>
          <w:rFonts w:ascii="Arial" w:cs="Arial" w:eastAsia="Arial" w:hAnsi="Arial"/>
          <w:sz w:val="28"/>
          <w:szCs w:val="28"/>
          <w:color w:val="auto"/>
          <w:vertAlign w:val="superscript"/>
        </w:rPr>
        <w:t>rd</w:t>
      </w:r>
      <w:r>
        <w:rPr>
          <w:rFonts w:ascii="Arial" w:cs="Arial" w:eastAsia="Arial" w:hAnsi="Arial"/>
          <w:sz w:val="17"/>
          <w:szCs w:val="17"/>
          <w:color w:val="auto"/>
        </w:rPr>
        <w:t>) anniversary of the New Premises Commencement Date (as hereinafter defined) (such period, the “</w:t>
      </w:r>
      <w:r>
        <w:rPr>
          <w:rFonts w:ascii="Arial" w:cs="Arial" w:eastAsia="Arial" w:hAnsi="Arial"/>
          <w:sz w:val="17"/>
          <w:szCs w:val="17"/>
          <w:u w:val="single" w:color="auto"/>
          <w:color w:val="auto"/>
        </w:rPr>
        <w:t>First Period</w:t>
      </w:r>
      <w:r>
        <w:rPr>
          <w:rFonts w:ascii="Arial" w:cs="Arial" w:eastAsia="Arial" w:hAnsi="Arial"/>
          <w:sz w:val="17"/>
          <w:szCs w:val="17"/>
          <w:color w:val="auto"/>
        </w:rPr>
        <w:t>”; the date the First Period expires being referred to herein as the “</w:t>
      </w:r>
      <w:r>
        <w:rPr>
          <w:rFonts w:ascii="Arial" w:cs="Arial" w:eastAsia="Arial" w:hAnsi="Arial"/>
          <w:sz w:val="17"/>
          <w:szCs w:val="17"/>
          <w:u w:val="single" w:color="auto"/>
          <w:color w:val="auto"/>
        </w:rPr>
        <w:t>First Period Expiration Date</w:t>
      </w:r>
      <w:r>
        <w:rPr>
          <w:rFonts w:ascii="Arial" w:cs="Arial" w:eastAsia="Arial" w:hAnsi="Arial"/>
          <w:sz w:val="17"/>
          <w:szCs w:val="17"/>
          <w:color w:val="auto"/>
        </w:rPr>
        <w:t>”), both dates inclusive, (B) $416,025 per annum ($34,668.75 per month) for the period commencing on the date following the First Period Expiration Date and ending on the New Premises Expiration Date, both dates inclusive, payable at the times and in the manner specified in the Lease for the payment of Fixed Rent.</w:t>
      </w:r>
    </w:p>
    <w:p>
      <w:pPr>
        <w:spacing w:after="0" w:line="194" w:lineRule="exact"/>
        <w:rPr>
          <w:sz w:val="20"/>
          <w:szCs w:val="20"/>
          <w:color w:val="auto"/>
        </w:rPr>
      </w:pPr>
    </w:p>
    <w:p>
      <w:pPr>
        <w:jc w:val="both"/>
        <w:ind w:left="660" w:firstLine="645"/>
        <w:spacing w:after="0" w:line="269" w:lineRule="auto"/>
        <w:tabs>
          <w:tab w:leader="none" w:pos="1574"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Notwithstanding anything to the contrary hereinabove, during any portion of the Abatement Period (as hereinafter defined) when Tenant is not in default under the Lease beyond the expiration of the applicable notice and cure period, Tenant will be entitled to an abatement (the “</w:t>
      </w:r>
      <w:r>
        <w:rPr>
          <w:rFonts w:ascii="Arial" w:cs="Arial" w:eastAsia="Arial" w:hAnsi="Arial"/>
          <w:sz w:val="17"/>
          <w:szCs w:val="17"/>
          <w:u w:val="single" w:color="auto"/>
          <w:color w:val="auto"/>
        </w:rPr>
        <w:t>Abatement</w:t>
      </w:r>
      <w:r>
        <w:rPr>
          <w:rFonts w:ascii="Arial" w:cs="Arial" w:eastAsia="Arial" w:hAnsi="Arial"/>
          <w:sz w:val="17"/>
          <w:szCs w:val="17"/>
          <w:color w:val="auto"/>
        </w:rPr>
        <w:t>”) of Fixed Rent for the period from the New Premises Commencement Date to the date preceding the three (3) month anniversary of the New Premises Commencement Date (as the same may be reduced as provided herein) (the “</w:t>
      </w:r>
      <w:r>
        <w:rPr>
          <w:rFonts w:ascii="Arial" w:cs="Arial" w:eastAsia="Arial" w:hAnsi="Arial"/>
          <w:sz w:val="17"/>
          <w:szCs w:val="17"/>
          <w:u w:val="single" w:color="auto"/>
          <w:color w:val="auto"/>
        </w:rPr>
        <w:t>Abatement Period</w:t>
      </w:r>
      <w:r>
        <w:rPr>
          <w:rFonts w:ascii="Arial" w:cs="Arial" w:eastAsia="Arial" w:hAnsi="Arial"/>
          <w:sz w:val="17"/>
          <w:szCs w:val="17"/>
          <w:color w:val="auto"/>
        </w:rPr>
        <w:t>”); provided, however, that during the period in which the Abatement is effective, Tenant shall not be relieved of its obligation to pay any other component of Additional Rent or Rent during such Abatement Period or its obligation to pay charges for utilities for which Tenant is separately metered. Tenant acknowledges that the consideration for the Abatement is Tenant’s agreement to perform all of the other terms, covenants and conditions of the Lease on its part to be performed. Therefore, if the Lease shall be terminated on or before the New Premises Expiration Date by reason of Tenant’s default thereunder, the entire amount of the Fixed Rent that was abated shall immediately thereafter become due and payable by Tenant to Landlord. In the event of Tenant’s failure to pay such aggregate amount to Landlord under such circumstances, Landlord shall be entitled to the same rights and remedies as in the event of Tenant’s default in the payment of Fixed Rent. The date immediately following the expiration of the Abatement Period is the New Premises Rent Commencement Date.</w:t>
      </w:r>
    </w:p>
    <w:p>
      <w:pPr>
        <w:spacing w:after="0" w:line="179" w:lineRule="exact"/>
        <w:rPr>
          <w:rFonts w:ascii="Arial" w:cs="Arial" w:eastAsia="Arial" w:hAnsi="Arial"/>
          <w:sz w:val="17"/>
          <w:szCs w:val="17"/>
          <w:color w:val="auto"/>
        </w:rPr>
      </w:pPr>
    </w:p>
    <w:p>
      <w:pPr>
        <w:jc w:val="both"/>
        <w:ind w:left="660" w:firstLine="645"/>
        <w:spacing w:after="0" w:line="302" w:lineRule="auto"/>
        <w:tabs>
          <w:tab w:leader="none" w:pos="1648"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Tenant shall pay, in the aggregate with respect to the New Premises, all Additional Rent payable pursuant to the Lease, including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of the Lease, except that (A) the “</w:t>
      </w:r>
      <w:r>
        <w:rPr>
          <w:rFonts w:ascii="Arial" w:cs="Arial" w:eastAsia="Arial" w:hAnsi="Arial"/>
          <w:sz w:val="16"/>
          <w:szCs w:val="16"/>
          <w:u w:val="single" w:color="auto"/>
          <w:color w:val="auto"/>
        </w:rPr>
        <w:t>Premises Area</w:t>
      </w:r>
      <w:r>
        <w:rPr>
          <w:rFonts w:ascii="Arial" w:cs="Arial" w:eastAsia="Arial" w:hAnsi="Arial"/>
          <w:sz w:val="16"/>
          <w:szCs w:val="16"/>
          <w:color w:val="auto"/>
        </w:rPr>
        <w:t>” shall be deemed to mean 6,450 square feet; (B) the “</w:t>
      </w:r>
      <w:r>
        <w:rPr>
          <w:rFonts w:ascii="Arial" w:cs="Arial" w:eastAsia="Arial" w:hAnsi="Arial"/>
          <w:sz w:val="16"/>
          <w:szCs w:val="16"/>
          <w:u w:val="single" w:color="auto"/>
          <w:color w:val="auto"/>
        </w:rPr>
        <w:t>Tenant’s Proportionate Share</w:t>
      </w:r>
      <w:r>
        <w:rPr>
          <w:rFonts w:ascii="Arial" w:cs="Arial" w:eastAsia="Arial" w:hAnsi="Arial"/>
          <w:sz w:val="16"/>
          <w:szCs w:val="16"/>
          <w:color w:val="auto"/>
        </w:rPr>
        <w:t>” shall be deemed to mean 1.37%; (C) the term “</w:t>
      </w:r>
      <w:r>
        <w:rPr>
          <w:rFonts w:ascii="Arial" w:cs="Arial" w:eastAsia="Arial" w:hAnsi="Arial"/>
          <w:sz w:val="16"/>
          <w:szCs w:val="16"/>
          <w:u w:val="single" w:color="auto"/>
          <w:color w:val="auto"/>
        </w:rPr>
        <w:t>Base Tax Factor</w:t>
      </w:r>
      <w:r>
        <w:rPr>
          <w:rFonts w:ascii="Arial" w:cs="Arial" w:eastAsia="Arial" w:hAnsi="Arial"/>
          <w:sz w:val="16"/>
          <w:szCs w:val="16"/>
          <w:color w:val="auto"/>
        </w:rPr>
        <w:t>” shall mean the average of the Taxes for the 2013/2014 Tax Year and the 2014/2015 Tax Year; and (D) the term “</w:t>
      </w:r>
      <w:r>
        <w:rPr>
          <w:rFonts w:ascii="Arial" w:cs="Arial" w:eastAsia="Arial" w:hAnsi="Arial"/>
          <w:sz w:val="16"/>
          <w:szCs w:val="16"/>
          <w:u w:val="single" w:color="auto"/>
          <w:color w:val="auto"/>
        </w:rPr>
        <w:t>Base Operating Factor</w:t>
      </w:r>
      <w:r>
        <w:rPr>
          <w:rFonts w:ascii="Arial" w:cs="Arial" w:eastAsia="Arial" w:hAnsi="Arial"/>
          <w:sz w:val="16"/>
          <w:szCs w:val="16"/>
          <w:color w:val="auto"/>
        </w:rPr>
        <w:t>” shall mean the Landlord’s actual Operating Expenses for the 2014 calendar year.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both"/>
        <w:ind w:firstLine="656"/>
        <w:spacing w:after="0" w:line="257" w:lineRule="auto"/>
        <w:tabs>
          <w:tab w:leader="none" w:pos="909"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as provided in this Amendment, from and after the New Premises Commencement Date, (i) all references in the Lease to the “Premises” shall be deemed to mean the New Premises, (ii) all references in the Lease to “Term” or “term of this Lease” or words of similar import shall be deemed to refer to the term of the leasing of the New Premises, (ii) each reference in the Lease to “this Lease”, “herein”, “hereunder” or words of similar import shall be deemed to refer to the Lease and amended by this Amendment, and (iv) each reference in the Lease to the “Expiration Date” shall be deemed to refer to the New Premises Expiration Date.</w:t>
      </w:r>
    </w:p>
    <w:p>
      <w:pPr>
        <w:spacing w:after="0" w:line="188" w:lineRule="exact"/>
        <w:rPr>
          <w:sz w:val="20"/>
          <w:szCs w:val="20"/>
          <w:color w:val="auto"/>
        </w:rPr>
      </w:pPr>
    </w:p>
    <w:p>
      <w:pPr>
        <w:ind w:left="840" w:hanging="184"/>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Condition of the New Premises.</w:t>
      </w:r>
    </w:p>
    <w:p>
      <w:pPr>
        <w:spacing w:after="0" w:line="225" w:lineRule="exact"/>
        <w:rPr>
          <w:sz w:val="20"/>
          <w:szCs w:val="20"/>
          <w:color w:val="auto"/>
        </w:rPr>
      </w:pPr>
    </w:p>
    <w:p>
      <w:pPr>
        <w:jc w:val="both"/>
        <w:ind w:firstLine="65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anything in the Lease or this Amendment to the contrary, Tenant agrees to accept the New Premises in its “AS-IS”, “WHERE-IS” and “WITH ALL FAULTS” condition as of the date hereof, and Landlord has no obligation to perform any work, supply any materials, incur any expense or make any alterations or improvements to prepare the New Premises for Tenant’s occupancy other than Landlord’s obligation to perform the Landlord’s Work.</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14"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Landlord will perform the initial work with respect to the New Premises (the “</w:t>
      </w:r>
      <w:r>
        <w:rPr>
          <w:rFonts w:ascii="Arial" w:cs="Arial" w:eastAsia="Arial" w:hAnsi="Arial"/>
          <w:sz w:val="18"/>
          <w:szCs w:val="18"/>
          <w:u w:val="single" w:color="auto"/>
          <w:color w:val="auto"/>
        </w:rPr>
        <w:t>Landlord’s Work</w:t>
      </w:r>
      <w:r>
        <w:rPr>
          <w:rFonts w:ascii="Arial" w:cs="Arial" w:eastAsia="Arial" w:hAnsi="Arial"/>
          <w:sz w:val="18"/>
          <w:szCs w:val="18"/>
          <w:color w:val="auto"/>
        </w:rPr>
        <w:t>”) pursuant to the workletter (the “</w:t>
      </w:r>
      <w:r>
        <w:rPr>
          <w:rFonts w:ascii="Arial" w:cs="Arial" w:eastAsia="Arial" w:hAnsi="Arial"/>
          <w:sz w:val="18"/>
          <w:szCs w:val="18"/>
          <w:u w:val="single" w:color="auto"/>
          <w:color w:val="auto"/>
        </w:rPr>
        <w:t>Workletter</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the final space plans (the “</w:t>
      </w:r>
      <w:r>
        <w:rPr>
          <w:rFonts w:ascii="Arial" w:cs="Arial" w:eastAsia="Arial" w:hAnsi="Arial"/>
          <w:sz w:val="18"/>
          <w:szCs w:val="18"/>
          <w:u w:val="single" w:color="auto"/>
          <w:color w:val="auto"/>
        </w:rPr>
        <w:t>Final Space Plans</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Landlord will have the right to make changes in the Landlord’s Work required by any governmental department or bureau having jurisdiction over the Building. Landlord will perform the Landlord’s Work using brand new finishes that are substantially similar to the finishes in the Existing Premises.</w:t>
      </w:r>
    </w:p>
    <w:p>
      <w:pPr>
        <w:spacing w:after="0" w:line="186" w:lineRule="exact"/>
        <w:rPr>
          <w:rFonts w:ascii="Arial" w:cs="Arial" w:eastAsia="Arial" w:hAnsi="Arial"/>
          <w:sz w:val="18"/>
          <w:szCs w:val="18"/>
          <w:color w:val="auto"/>
        </w:rPr>
      </w:pPr>
    </w:p>
    <w:p>
      <w:pPr>
        <w:jc w:val="both"/>
        <w:ind w:firstLine="656"/>
        <w:spacing w:after="0" w:line="269" w:lineRule="auto"/>
        <w:tabs>
          <w:tab w:leader="none" w:pos="912"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Promptly following the date hereof, based on the Workletter and the Final Space Plans, Landlord will prepare a complete set of construction drawings for the New Premises (the “</w:t>
      </w:r>
      <w:r>
        <w:rPr>
          <w:rFonts w:ascii="Arial" w:cs="Arial" w:eastAsia="Arial" w:hAnsi="Arial"/>
          <w:sz w:val="17"/>
          <w:szCs w:val="17"/>
          <w:u w:val="single" w:color="auto"/>
          <w:color w:val="auto"/>
        </w:rPr>
        <w:t>Proposed Construction Drawings</w:t>
      </w:r>
      <w:r>
        <w:rPr>
          <w:rFonts w:ascii="Arial" w:cs="Arial" w:eastAsia="Arial" w:hAnsi="Arial"/>
          <w:sz w:val="17"/>
          <w:szCs w:val="17"/>
          <w:color w:val="auto"/>
        </w:rPr>
        <w:t>”). After delivery of the Proposed Construction Drawings, Tenant shall have three (3) Business Days to approve the Proposed Construction Drawings, which approval shall not be unreasonably withheld, conditioned or delayed. If Tenant disapproves of all or a portion of the Proposed Construction Drawings, Tenant will notify Landlord within such three (3) Business Day period, in which event Landlord shall revise the Proposed Construction Drawings and resubmit them to Tenant within five (5) Business Days after Landlord’s receipt of written notice from Tenant. Tenant’s failure to respond to Landlord shall be deemed to be Tenant’s approval of the Proposed Construction Drawings. Tenant shall respond to Landlord’s request for approval of the revised Proposed Construction Drawings within three (3) Business Days of resubmission. If Tenant disapproves of all or a portion of the revised Proposed Construction Drawings, Tenant will notify Landlord within such three (3) Business Day period, in which event Landlord shall further revise the Proposed Construction Drawings and resubmit them to Tenant within five (5) Business Days after Landlord’s receipt of written notice from Tenant. This procedure shall continue until Tenant finally approves the Proposed Construction Drawings (such approved Proposed Construction Drawings, the “</w:t>
      </w:r>
      <w:r>
        <w:rPr>
          <w:rFonts w:ascii="Arial" w:cs="Arial" w:eastAsia="Arial" w:hAnsi="Arial"/>
          <w:sz w:val="17"/>
          <w:szCs w:val="17"/>
          <w:u w:val="single" w:color="auto"/>
          <w:color w:val="auto"/>
        </w:rPr>
        <w:t>Final Plans</w:t>
      </w:r>
      <w:r>
        <w:rPr>
          <w:rFonts w:ascii="Arial" w:cs="Arial" w:eastAsia="Arial" w:hAnsi="Arial"/>
          <w:sz w:val="17"/>
          <w:szCs w:val="17"/>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jc w:val="both"/>
        <w:ind w:firstLine="656"/>
        <w:spacing w:after="0" w:line="286" w:lineRule="auto"/>
        <w:tabs>
          <w:tab w:leader="none" w:pos="922" w:val="left"/>
        </w:tabs>
        <w:numPr>
          <w:ilvl w:val="1"/>
          <w:numId w:val="54"/>
        </w:numPr>
        <w:rPr>
          <w:rFonts w:ascii="Arial" w:cs="Arial" w:eastAsia="Arial" w:hAnsi="Arial"/>
          <w:sz w:val="16"/>
          <w:szCs w:val="16"/>
          <w:color w:val="auto"/>
        </w:rPr>
      </w:pPr>
      <w:r>
        <w:rPr>
          <w:rFonts w:ascii="Arial" w:cs="Arial" w:eastAsia="Arial" w:hAnsi="Arial"/>
          <w:sz w:val="16"/>
          <w:szCs w:val="16"/>
          <w:color w:val="auto"/>
        </w:rPr>
        <w:t>Landlord and Tenant agree that if Tenant requests any change, addition or upgrade to the Final Plans (individually and collectively, “</w:t>
      </w:r>
      <w:r>
        <w:rPr>
          <w:rFonts w:ascii="Arial" w:cs="Arial" w:eastAsia="Arial" w:hAnsi="Arial"/>
          <w:sz w:val="16"/>
          <w:szCs w:val="16"/>
          <w:u w:val="single" w:color="auto"/>
          <w:color w:val="auto"/>
        </w:rPr>
        <w:t>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Orders</w:t>
      </w:r>
      <w:r>
        <w:rPr>
          <w:rFonts w:ascii="Arial" w:cs="Arial" w:eastAsia="Arial" w:hAnsi="Arial"/>
          <w:sz w:val="16"/>
          <w:szCs w:val="16"/>
          <w:color w:val="auto"/>
        </w:rPr>
        <w:t>”) prepared by Landlord, such Change Orders must be approved by Landlord and, to the extent they increase the costs of Landlord’s Work, will be paid for solely by Tenant. If Landlord approves a Change Order, Landlord will promptly notify Tenant of such approval and any additional cost and/or delay associated with the performance of any such Change Order. Thereafter, Landlord will only proceed with any such Change Order after it receives, within three</w:t>
      </w:r>
    </w:p>
    <w:p>
      <w:pPr>
        <w:spacing w:after="0" w:line="1" w:lineRule="exact"/>
        <w:rPr>
          <w:rFonts w:ascii="Arial" w:cs="Arial" w:eastAsia="Arial" w:hAnsi="Arial"/>
          <w:sz w:val="16"/>
          <w:szCs w:val="16"/>
          <w:color w:val="auto"/>
        </w:rPr>
      </w:pPr>
    </w:p>
    <w:p>
      <w:pPr>
        <w:jc w:val="both"/>
        <w:ind w:firstLine="8"/>
        <w:spacing w:after="0" w:line="277" w:lineRule="auto"/>
        <w:tabs>
          <w:tab w:leader="none" w:pos="278" w:val="left"/>
        </w:tabs>
        <w:numPr>
          <w:ilvl w:val="0"/>
          <w:numId w:val="55"/>
        </w:numPr>
        <w:rPr>
          <w:rFonts w:ascii="Arial" w:cs="Arial" w:eastAsia="Arial" w:hAnsi="Arial"/>
          <w:sz w:val="17"/>
          <w:szCs w:val="17"/>
          <w:color w:val="auto"/>
        </w:rPr>
      </w:pPr>
      <w:r>
        <w:rPr>
          <w:rFonts w:ascii="Arial" w:cs="Arial" w:eastAsia="Arial" w:hAnsi="Arial"/>
          <w:sz w:val="17"/>
          <w:szCs w:val="17"/>
          <w:color w:val="auto"/>
        </w:rPr>
        <w:t>Business Days of such notice of any increased costs and/or delay in Substantial Completion of Landlord’s Work as a result thereof, authorization to proceed from Tenant. In the absence of such written authorization within said three (3) Business Day period, Landlord shall not be obligated to proceed with such Change Order and shall be deemed to have been authorized by Tenant to proceed without performing such Charge Order.</w:t>
      </w:r>
    </w:p>
    <w:p>
      <w:pPr>
        <w:spacing w:after="0" w:line="173" w:lineRule="exact"/>
        <w:rPr>
          <w:rFonts w:ascii="Arial" w:cs="Arial" w:eastAsia="Arial" w:hAnsi="Arial"/>
          <w:sz w:val="17"/>
          <w:szCs w:val="17"/>
          <w:color w:val="auto"/>
        </w:rPr>
      </w:pPr>
    </w:p>
    <w:p>
      <w:pPr>
        <w:jc w:val="both"/>
        <w:ind w:firstLine="656"/>
        <w:spacing w:after="0" w:line="264" w:lineRule="auto"/>
        <w:tabs>
          <w:tab w:leader="none" w:pos="89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Landlord’s Work shall be performed by Landlord only once, it being understood that Landlord’s obligation to perform the Landlord’s Work is a single, non-recurring obligation. All alterations and improvement made by Landlord on behalf of Tenant as part of the Landlord’s Work constitute “Improvements,” as such term is defined in the Lease.</w:t>
      </w:r>
    </w:p>
    <w:p>
      <w:pPr>
        <w:spacing w:after="0" w:line="181" w:lineRule="exact"/>
        <w:rPr>
          <w:rFonts w:ascii="Arial" w:cs="Arial" w:eastAsia="Arial" w:hAnsi="Arial"/>
          <w:sz w:val="18"/>
          <w:szCs w:val="18"/>
          <w:color w:val="auto"/>
        </w:rPr>
      </w:pPr>
    </w:p>
    <w:p>
      <w:pPr>
        <w:jc w:val="both"/>
        <w:ind w:firstLine="656"/>
        <w:spacing w:after="0" w:line="286" w:lineRule="auto"/>
        <w:tabs>
          <w:tab w:leader="none" w:pos="881" w:val="left"/>
        </w:tabs>
        <w:numPr>
          <w:ilvl w:val="1"/>
          <w:numId w:val="55"/>
        </w:numPr>
        <w:rPr>
          <w:rFonts w:ascii="Arial" w:cs="Arial" w:eastAsia="Arial" w:hAnsi="Arial"/>
          <w:sz w:val="16"/>
          <w:szCs w:val="16"/>
          <w:color w:val="auto"/>
        </w:rPr>
      </w:pPr>
      <w:r>
        <w:rPr>
          <w:rFonts w:ascii="Arial" w:cs="Arial" w:eastAsia="Arial" w:hAnsi="Arial"/>
          <w:sz w:val="16"/>
          <w:szCs w:val="16"/>
          <w:color w:val="auto"/>
        </w:rPr>
        <w:t>In the event Landlord is delayed in Substantially Completing the Landlord’s Work as the result of Tenant Delay, then the Abatement Period will be reduced by one (1) day for each day of delay attributable to such a Tenant Delay. Notwithstanding anything to the contrary contained herein, if Substantial Completion of the Landlord’s Work is delayed on account of (i) the failure to have approved Final Plans on or prior to the date which is ten (10) Business Days after the date that Landlord delivers the Proposed Construction Drawings to Tenant, (ii) any Change Orders requested by Tenant, (iii) the failure by Tenant to respond within the time period as hereinabove provided when a response by Tenant is requested by Landlord in connection with the performance of the Landlord’s Work (provided, however, if no specific time period is mentioned, the requisite time period for Tenant to respond is two (2) Business Days after written notice from Landlord), (iv) any Long Lead Items(s) (as hereinafter defined) requested by Tenant where Landlord notifies Tenant in writing at the time of such request that the underlying item(s) in such a Long Lead Item, or (v) any interference (other than to a de minimis extent) with construction of the Landlord’s Work due to Tenant’s entry into the New Premises prior to the Substantial Completion of the Landlord’s Work, then any such delay shall constitute a “</w:t>
      </w:r>
      <w:r>
        <w:rPr>
          <w:rFonts w:ascii="Arial" w:cs="Arial" w:eastAsia="Arial" w:hAnsi="Arial"/>
          <w:sz w:val="16"/>
          <w:szCs w:val="16"/>
          <w:u w:val="single" w:color="auto"/>
          <w:color w:val="auto"/>
        </w:rPr>
        <w:t>Tenant Delay</w:t>
      </w:r>
      <w:r>
        <w:rPr>
          <w:rFonts w:ascii="Arial" w:cs="Arial" w:eastAsia="Arial" w:hAnsi="Arial"/>
          <w:sz w:val="16"/>
          <w:szCs w:val="16"/>
          <w:color w:val="auto"/>
        </w:rPr>
        <w:t>”. The term “</w:t>
      </w:r>
      <w:r>
        <w:rPr>
          <w:rFonts w:ascii="Arial" w:cs="Arial" w:eastAsia="Arial" w:hAnsi="Arial"/>
          <w:sz w:val="16"/>
          <w:szCs w:val="16"/>
          <w:u w:val="single" w:color="auto"/>
          <w:color w:val="auto"/>
        </w:rPr>
        <w:t>Substantial Completion,</w:t>
      </w:r>
      <w:r>
        <w:rPr>
          <w:rFonts w:ascii="Arial" w:cs="Arial" w:eastAsia="Arial" w:hAnsi="Arial"/>
          <w:sz w:val="16"/>
          <w:szCs w:val="16"/>
          <w:color w:val="auto"/>
        </w:rPr>
        <w:t>” “</w:t>
      </w:r>
      <w:r>
        <w:rPr>
          <w:rFonts w:ascii="Arial" w:cs="Arial" w:eastAsia="Arial" w:hAnsi="Arial"/>
          <w:sz w:val="16"/>
          <w:szCs w:val="16"/>
          <w:u w:val="single" w:color="auto"/>
          <w:color w:val="auto"/>
        </w:rPr>
        <w:t>Substantially Complete</w:t>
      </w:r>
      <w:r>
        <w:rPr>
          <w:rFonts w:ascii="Arial" w:cs="Arial" w:eastAsia="Arial" w:hAnsi="Arial"/>
          <w:sz w:val="16"/>
          <w:szCs w:val="16"/>
          <w:color w:val="auto"/>
        </w:rPr>
        <w:t>,” or any derivation thereof, means that such work has been completed, as reasonably determined by Landlord’s architect, except for minor details of construction, decoration and mechanical adjustments, if any, the non-completion of which does not materially interfere with Tenant’s use of the New Premises for the conduct of its business. The term “</w:t>
      </w:r>
      <w:r>
        <w:rPr>
          <w:rFonts w:ascii="Arial" w:cs="Arial" w:eastAsia="Arial" w:hAnsi="Arial"/>
          <w:sz w:val="16"/>
          <w:szCs w:val="16"/>
          <w:u w:val="single" w:color="auto"/>
          <w:color w:val="auto"/>
        </w:rPr>
        <w:t>Long-Lead Item(s)</w:t>
      </w:r>
      <w:r>
        <w:rPr>
          <w:rFonts w:ascii="Arial" w:cs="Arial" w:eastAsia="Arial" w:hAnsi="Arial"/>
          <w:sz w:val="16"/>
          <w:szCs w:val="16"/>
          <w:color w:val="auto"/>
        </w:rPr>
        <w:t>” means any item which is not a stock item and must be specially manufactured, fabricated or installed or of such unusual, delicate or fragile nature that is a risk that (aa) there will be a delay in its manufacture, fabrication, delivery or installation or (bb) after delivery, such items will need to be reshipped, redelivered or repaired.</w:t>
      </w:r>
    </w:p>
    <w:p>
      <w:pPr>
        <w:spacing w:after="0" w:line="172" w:lineRule="exact"/>
        <w:rPr>
          <w:sz w:val="20"/>
          <w:szCs w:val="20"/>
          <w:color w:val="auto"/>
        </w:rPr>
      </w:pPr>
    </w:p>
    <w:p>
      <w:pPr>
        <w:ind w:left="840" w:hanging="184"/>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ind w:firstLine="656"/>
        <w:spacing w:after="0" w:line="277" w:lineRule="auto"/>
        <w:tabs>
          <w:tab w:leader="none" w:pos="842"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Landlord’s Base Building Work.</w:t>
      </w:r>
      <w:r>
        <w:rPr>
          <w:rFonts w:ascii="Arial" w:cs="Arial" w:eastAsia="Arial" w:hAnsi="Arial"/>
          <w:sz w:val="18"/>
          <w:szCs w:val="18"/>
          <w:color w:val="auto"/>
        </w:rPr>
        <w:t xml:space="preserve"> At its sole cost and expense, Landlord will perform the base building work described in </w:t>
      </w:r>
      <w:r>
        <w:rPr>
          <w:rFonts w:ascii="Arial" w:cs="Arial" w:eastAsia="Arial" w:hAnsi="Arial"/>
          <w:sz w:val="18"/>
          <w:szCs w:val="18"/>
          <w:u w:val="single" w:color="auto"/>
          <w:color w:val="auto"/>
        </w:rPr>
        <w:t>Exhibit D</w:t>
      </w:r>
      <w:r>
        <w:rPr>
          <w:rFonts w:ascii="Arial" w:cs="Arial" w:eastAsia="Arial" w:hAnsi="Arial"/>
          <w:sz w:val="18"/>
          <w:szCs w:val="18"/>
          <w:color w:val="auto"/>
        </w:rPr>
        <w:t>, attached hereto and made a part hereof.</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Insurance. Section 8.01 A.</w:t>
      </w:r>
      <w:r>
        <w:rPr>
          <w:rFonts w:ascii="Arial" w:cs="Arial" w:eastAsia="Arial" w:hAnsi="Arial"/>
          <w:sz w:val="16"/>
          <w:szCs w:val="16"/>
          <w:color w:val="auto"/>
        </w:rPr>
        <w:t xml:space="preserve"> of the Lease is hereby amended by deleting the second and third sentences therein and inserting the following in lieu</w:t>
      </w:r>
    </w:p>
    <w:p>
      <w:pPr>
        <w:spacing w:after="0" w:line="46"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thereof: “Landlord, its designated property management firm, its subsidiaries and Teachers Insurance and Annuity Association of America (“TIAA”) shall be named as additional insureds on the said policies described in clause (A) above (excluding the worker’s compensation policy) and shall be named as loss payee as to the policies described in clause (C) above and each of the policies provided above in clauses (A) through (C) shall be issued by an insurance company or companies authorized to do business in New York and which have policyholder ratings not lower than “A-“ and financial ratings not lower than “VII” in Best’s Insurance Guide (latest edition in effect as of the date hereof and subsequently in effect as of the date of renewal of the required policies).</w:t>
      </w:r>
    </w:p>
    <w:p>
      <w:pPr>
        <w:spacing w:after="0" w:line="3"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EACH OF SAID POLICIES SHALL ALSO INCLUDE A WAIVER OF SUBROGATION PROVISION OR ENDORSEMENT IN FAVOR OF LANDLORD, ITS DESIGNATED PROPERTY INSURANCE MANAGEMENT FIRM, ITS SUBSIDIARIES AND TIAA, AND AN ENDORSEMENT PROVIDING THAT LANDLORD SHALL RECEIVE THIRTY (30) DAYS PRIOR WRITTEN NOTICE OF ANY CANCELLATION OF, NONRENEWAL OF, REDUCTION OF COVERAGE OR MATERIAL CHANGE IN COVERAGE ON SAID POLICIES.”</w:t>
      </w:r>
    </w:p>
    <w:p>
      <w:pPr>
        <w:spacing w:after="0" w:line="189" w:lineRule="exact"/>
        <w:rPr>
          <w:rFonts w:ascii="Arial" w:cs="Arial" w:eastAsia="Arial" w:hAnsi="Arial"/>
          <w:sz w:val="16"/>
          <w:szCs w:val="16"/>
          <w:color w:val="auto"/>
        </w:rPr>
      </w:pPr>
    </w:p>
    <w:p>
      <w:pPr>
        <w:ind w:left="840" w:hanging="184"/>
        <w:spacing w:after="0"/>
        <w:tabs>
          <w:tab w:leader="none" w:pos="84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Electricity. Article 13</w:t>
      </w:r>
      <w:r>
        <w:rPr>
          <w:rFonts w:ascii="Arial" w:cs="Arial" w:eastAsia="Arial" w:hAnsi="Arial"/>
          <w:sz w:val="18"/>
          <w:szCs w:val="18"/>
          <w:color w:val="auto"/>
        </w:rPr>
        <w:t xml:space="preserve"> of the Lease is amended by deleting “25.92%” wherever it appears and inserting in lieu thereof “68.44%”.</w:t>
      </w:r>
    </w:p>
    <w:p>
      <w:pPr>
        <w:spacing w:after="0" w:line="225" w:lineRule="exact"/>
        <w:rPr>
          <w:rFonts w:ascii="Arial" w:cs="Arial" w:eastAsia="Arial" w:hAnsi="Arial"/>
          <w:sz w:val="18"/>
          <w:szCs w:val="18"/>
          <w:color w:val="auto"/>
        </w:rPr>
      </w:pPr>
    </w:p>
    <w:p>
      <w:pPr>
        <w:jc w:val="both"/>
        <w:ind w:firstLine="656"/>
        <w:spacing w:after="0" w:line="264" w:lineRule="auto"/>
        <w:tabs>
          <w:tab w:leader="none" w:pos="918"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Free Use of Freight Elevator.</w:t>
      </w:r>
      <w:r>
        <w:rPr>
          <w:rFonts w:ascii="Arial" w:cs="Arial" w:eastAsia="Arial" w:hAnsi="Arial"/>
          <w:sz w:val="18"/>
          <w:szCs w:val="18"/>
          <w:color w:val="auto"/>
        </w:rPr>
        <w:t xml:space="preserve"> During Tenant’s initial move into the New Premises, Landlord shall, at no cost to Tenant, provide Tenant with up to twelve (12) hours, in the aggregate, of non-exclusive use of the freight elevator outside of business hours (as such term is defined in </w:t>
      </w:r>
      <w:r>
        <w:rPr>
          <w:rFonts w:ascii="Arial" w:cs="Arial" w:eastAsia="Arial" w:hAnsi="Arial"/>
          <w:sz w:val="18"/>
          <w:szCs w:val="18"/>
          <w:u w:val="single" w:color="auto"/>
          <w:color w:val="auto"/>
        </w:rPr>
        <w:t>Section 12.01</w:t>
      </w:r>
      <w:r>
        <w:rPr>
          <w:rFonts w:ascii="Arial" w:cs="Arial" w:eastAsia="Arial" w:hAnsi="Arial"/>
          <w:sz w:val="18"/>
          <w:szCs w:val="18"/>
          <w:color w:val="auto"/>
        </w:rPr>
        <w:t xml:space="preserve"> of the Lease).</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Sublease. Section 22.02</w:t>
      </w:r>
      <w:r>
        <w:rPr>
          <w:rFonts w:ascii="Arial" w:cs="Arial" w:eastAsia="Arial" w:hAnsi="Arial"/>
          <w:sz w:val="16"/>
          <w:szCs w:val="16"/>
          <w:color w:val="auto"/>
        </w:rPr>
        <w:t xml:space="preserve"> of the Lease is amended as follows by deleting “sixty (60) days” wherever it appears and inserting in lieu thereof “thirty</w:t>
      </w:r>
    </w:p>
    <w:p>
      <w:pPr>
        <w:spacing w:after="0" w:line="46" w:lineRule="exact"/>
        <w:rPr>
          <w:rFonts w:ascii="Arial" w:cs="Arial" w:eastAsia="Arial" w:hAnsi="Arial"/>
          <w:sz w:val="16"/>
          <w:szCs w:val="16"/>
          <w:color w:val="auto"/>
        </w:rPr>
      </w:pPr>
    </w:p>
    <w:p>
      <w:pPr>
        <w:ind w:left="360" w:hanging="35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days”.</w:t>
      </w:r>
    </w:p>
    <w:p>
      <w:pPr>
        <w:spacing w:after="0" w:line="210" w:lineRule="exact"/>
        <w:rPr>
          <w:rFonts w:ascii="Arial" w:cs="Arial" w:eastAsia="Arial" w:hAnsi="Arial"/>
          <w:sz w:val="18"/>
          <w:szCs w:val="18"/>
          <w:color w:val="auto"/>
        </w:rPr>
      </w:pPr>
    </w:p>
    <w:p>
      <w:pPr>
        <w:jc w:val="both"/>
        <w:ind w:firstLine="656"/>
        <w:spacing w:after="0" w:line="253" w:lineRule="auto"/>
        <w:tabs>
          <w:tab w:leader="none" w:pos="918"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 xml:space="preserve"> (a) If at any time following the New Premises Commencement Date any Offer Space shall become Available (as such term is hereinafter defined), then provided that as of the date of Tenant’s Acceptance Notice and the Offer Space Delivery Date (as hereinafter defined), (x) Tenant is not then in default under theLease beyond applicable notice and cure periods, and (y) Tenant is in occupancy of the entire Premises, Landlord shall give Tenant notice (an “</w:t>
      </w:r>
      <w:r>
        <w:rPr>
          <w:rFonts w:ascii="Arial" w:cs="Arial" w:eastAsia="Arial" w:hAnsi="Arial"/>
          <w:sz w:val="18"/>
          <w:szCs w:val="18"/>
          <w:u w:val="single" w:color="auto"/>
          <w:color w:val="auto"/>
        </w:rPr>
        <w:t>Offer Notice</w:t>
      </w:r>
      <w:r>
        <w:rPr>
          <w:rFonts w:ascii="Arial" w:cs="Arial" w:eastAsia="Arial" w:hAnsi="Arial"/>
          <w:sz w:val="18"/>
          <w:szCs w:val="18"/>
          <w:color w:val="auto"/>
        </w:rPr>
        <w:t>”), specifying (A) the location and rentable square footage of such Offer Space, (B) the condition in which such Offer Space shall be delivered to Tenant, (C) the Fair Market Rental Value (as hereinafter defined) for such Offer Space, (D) the date or estimated date that such offer space will be delivered to Tenant in the condition required by the Lease (the “</w:t>
      </w:r>
      <w:r>
        <w:rPr>
          <w:rFonts w:ascii="Arial" w:cs="Arial" w:eastAsia="Arial" w:hAnsi="Arial"/>
          <w:sz w:val="18"/>
          <w:szCs w:val="18"/>
          <w:u w:val="single" w:color="auto"/>
          <w:color w:val="auto"/>
        </w:rPr>
        <w:t>Anticipated Offer Space Delivery Date</w:t>
      </w:r>
      <w:r>
        <w:rPr>
          <w:rFonts w:ascii="Arial" w:cs="Arial" w:eastAsia="Arial" w:hAnsi="Arial"/>
          <w:sz w:val="18"/>
          <w:szCs w:val="18"/>
          <w:color w:val="auto"/>
        </w:rPr>
        <w:t>”) and (E) any other relevant terms being offered by Landlord with respect to such space. The foregoing right of Tenant is hereinafter referred to as the “</w:t>
      </w:r>
      <w:r>
        <w:rPr>
          <w:rFonts w:ascii="Arial" w:cs="Arial" w:eastAsia="Arial" w:hAnsi="Arial"/>
          <w:sz w:val="18"/>
          <w:szCs w:val="18"/>
          <w:u w:val="single" w:color="auto"/>
          <w:color w:val="auto"/>
        </w:rPr>
        <w:t>Tenant’s Right of First Offer</w:t>
      </w:r>
      <w:r>
        <w:rPr>
          <w:rFonts w:ascii="Arial" w:cs="Arial" w:eastAsia="Arial" w:hAnsi="Arial"/>
          <w:sz w:val="18"/>
          <w:szCs w:val="18"/>
          <w:color w:val="auto"/>
        </w:rPr>
        <w:t xml:space="preserve">”. Tenant’s Right of First Offer with respect to any Offer Space identified in such Offer Notice shall be subject to Tenant’s satisfaction of the conditions set forth in this </w:t>
      </w:r>
      <w:r>
        <w:rPr>
          <w:rFonts w:ascii="Arial" w:cs="Arial" w:eastAsia="Arial" w:hAnsi="Arial"/>
          <w:sz w:val="18"/>
          <w:szCs w:val="18"/>
          <w:u w:val="single" w:color="auto"/>
          <w:color w:val="auto"/>
        </w:rPr>
        <w:t>Paragraph 12(a)</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Rental Value</w:t>
      </w:r>
      <w:r>
        <w:rPr>
          <w:rFonts w:ascii="Arial" w:cs="Arial" w:eastAsia="Arial" w:hAnsi="Arial"/>
          <w:sz w:val="18"/>
          <w:szCs w:val="18"/>
          <w:color w:val="auto"/>
        </w:rPr>
        <w:t>” means the fixed annual rent that a willing lessee would pay and a willing lessor would accept for the applicable space, taking into account all relevant factors.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 Space</w:t>
      </w:r>
      <w:r>
        <w:rPr>
          <w:rFonts w:ascii="Arial" w:cs="Arial" w:eastAsia="Arial" w:hAnsi="Arial"/>
          <w:sz w:val="18"/>
          <w:szCs w:val="18"/>
          <w:color w:val="auto"/>
        </w:rPr>
        <w:t>” means any space that becomes available on floor 12 of the Building.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Available</w:t>
      </w:r>
      <w:r>
        <w:rPr>
          <w:rFonts w:ascii="Arial" w:cs="Arial" w:eastAsia="Arial" w:hAnsi="Arial"/>
          <w:sz w:val="18"/>
          <w:szCs w:val="18"/>
          <w:color w:val="auto"/>
        </w:rPr>
        <w:t xml:space="preserve">" shall mean, as to any Offer Space, that such Offer Space is vacant and free of any present or future possessory right now or hereafter existing in favor of any third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space that is vacant on the date of this Amendment shall not be deemed to be Available unless and until such space is first leased to another tenant and then again becomes Available. Anything to the contrary contained herein notwithstanding, Tenant’s Right of First Offer is subordinate to (x) any right of first offer, right of first refusal, expansion right or similar right or option in favor of any third party existing as of the date of this Amendment and (y) Landlord’s right to renew or extend the term of any lease to another tenant, whether or not pursuant to an option or right set forth in such other tenant’s lease.</w:t>
      </w:r>
    </w:p>
    <w:p>
      <w:pPr>
        <w:spacing w:after="0" w:line="193" w:lineRule="exact"/>
        <w:rPr>
          <w:sz w:val="20"/>
          <w:szCs w:val="20"/>
          <w:color w:val="auto"/>
        </w:rPr>
      </w:pPr>
    </w:p>
    <w:p>
      <w:pPr>
        <w:jc w:val="both"/>
        <w:ind w:firstLine="656"/>
        <w:spacing w:after="0" w:line="276" w:lineRule="auto"/>
        <w:tabs>
          <w:tab w:leader="none" w:pos="922"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Within five (5) days after receipt of the Offer Notice, </w:t>
      </w:r>
      <w:r>
        <w:rPr>
          <w:rFonts w:ascii="Arial" w:cs="Arial" w:eastAsia="Arial" w:hAnsi="Arial"/>
          <w:sz w:val="17"/>
          <w:szCs w:val="17"/>
          <w:i w:val="1"/>
          <w:iCs w:val="1"/>
          <w:color w:val="auto"/>
        </w:rPr>
        <w:t>time being of the essence,</w:t>
      </w:r>
      <w:r>
        <w:rPr>
          <w:rFonts w:ascii="Arial" w:cs="Arial" w:eastAsia="Arial" w:hAnsi="Arial"/>
          <w:sz w:val="17"/>
          <w:szCs w:val="17"/>
          <w:color w:val="auto"/>
        </w:rPr>
        <w:t xml:space="preserve"> Tenant shall deliver a notice to Landlord (the “</w:t>
      </w:r>
      <w:r>
        <w:rPr>
          <w:rFonts w:ascii="Arial" w:cs="Arial" w:eastAsia="Arial" w:hAnsi="Arial"/>
          <w:sz w:val="17"/>
          <w:szCs w:val="17"/>
          <w:u w:val="single" w:color="auto"/>
          <w:color w:val="auto"/>
        </w:rPr>
        <w:t>Tenant Offer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Space Notice</w:t>
      </w:r>
      <w:r>
        <w:rPr>
          <w:rFonts w:ascii="Arial" w:cs="Arial" w:eastAsia="Arial" w:hAnsi="Arial"/>
          <w:sz w:val="17"/>
          <w:szCs w:val="17"/>
          <w:color w:val="auto"/>
        </w:rPr>
        <w:t>”) pursuant to which Tenant shall either (i) waive its right to exercise its Right of First Offer with respect to the Offer Space, (ii) accept Landlord’s offer with respect to all (but not less than all) of the Offer Space on all of the terms and conditions provided in the Offer Notice. If Tenant exercises the Tenant’s Right of First Offer, Landlord and Tenant shall then enter into an additional space modification of the Lease incorporating such Offer Space in the Lease with such changes as shall be necessary to modify the terms of the Lease relative to such space.</w:t>
      </w:r>
    </w:p>
    <w:p>
      <w:pPr>
        <w:spacing w:after="0" w:line="172" w:lineRule="exact"/>
        <w:rPr>
          <w:rFonts w:ascii="Arial" w:cs="Arial" w:eastAsia="Arial" w:hAnsi="Arial"/>
          <w:sz w:val="17"/>
          <w:szCs w:val="17"/>
          <w:color w:val="auto"/>
        </w:rPr>
      </w:pPr>
    </w:p>
    <w:p>
      <w:pPr>
        <w:ind w:firstLine="656"/>
        <w:spacing w:after="0" w:line="277" w:lineRule="auto"/>
        <w:tabs>
          <w:tab w:leader="none" w:pos="91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Tenant exercises the Tenant’s Right of First Offer, the terms for the Offer Space shall be the same as those for the Premises with the Offer Space to be thereafter deemed part of the Premises, except that:</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23" w:val="left"/>
        </w:tabs>
        <w:numPr>
          <w:ilvl w:val="1"/>
          <w:numId w:val="59"/>
        </w:numPr>
        <w:rPr>
          <w:rFonts w:ascii="Arial" w:cs="Arial" w:eastAsia="Arial" w:hAnsi="Arial"/>
          <w:sz w:val="18"/>
          <w:szCs w:val="18"/>
          <w:color w:val="auto"/>
        </w:rPr>
      </w:pPr>
      <w:r>
        <w:rPr>
          <w:rFonts w:ascii="Arial" w:cs="Arial" w:eastAsia="Arial" w:hAnsi="Arial"/>
          <w:sz w:val="18"/>
          <w:szCs w:val="18"/>
          <w:color w:val="auto"/>
        </w:rPr>
        <w:t>Base Rent shall be one hundred (100%) percent of the Fair Market Rental Value; the Base Tax Factor shall be the fiscal tax year in which the term of the Offer Space commences as part of the Premises, and the Base Operating Factor shall be the calendar year in which the term of the Offer Space commences as part of the Premises.</w:t>
      </w:r>
    </w:p>
    <w:p>
      <w:pPr>
        <w:spacing w:after="0" w:line="181" w:lineRule="exact"/>
        <w:rPr>
          <w:rFonts w:ascii="Arial" w:cs="Arial" w:eastAsia="Arial" w:hAnsi="Arial"/>
          <w:sz w:val="18"/>
          <w:szCs w:val="18"/>
          <w:color w:val="auto"/>
        </w:rPr>
      </w:pPr>
    </w:p>
    <w:p>
      <w:pPr>
        <w:ind w:left="660" w:firstLine="645"/>
        <w:spacing w:after="0" w:line="277" w:lineRule="auto"/>
        <w:tabs>
          <w:tab w:leader="none" w:pos="1587"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lease term for the Offer Space shall expire or terminate on the same date the Lease expires or terminates (as the same may be extended), as the case may be;</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Tenant's Proportionate Share for Taxes and Operating Expenses shall be appropriately adjusted to include the Offer Space;</w:t>
      </w:r>
    </w:p>
    <w:p>
      <w:pPr>
        <w:spacing w:after="0" w:line="236" w:lineRule="exact"/>
        <w:rPr>
          <w:rFonts w:ascii="Arial" w:cs="Arial" w:eastAsia="Arial" w:hAnsi="Arial"/>
          <w:sz w:val="17"/>
          <w:szCs w:val="17"/>
          <w:color w:val="auto"/>
        </w:rPr>
      </w:pPr>
    </w:p>
    <w:p>
      <w:pPr>
        <w:jc w:val="both"/>
        <w:ind w:left="660" w:firstLine="645"/>
        <w:spacing w:after="0" w:line="257" w:lineRule="auto"/>
        <w:tabs>
          <w:tab w:leader="none" w:pos="1613" w:val="left"/>
        </w:tabs>
        <w:numPr>
          <w:ilvl w:val="1"/>
          <w:numId w:val="59"/>
        </w:numPr>
        <w:rPr>
          <w:rFonts w:ascii="Arial" w:cs="Arial" w:eastAsia="Arial" w:hAnsi="Arial"/>
          <w:sz w:val="18"/>
          <w:szCs w:val="18"/>
          <w:color w:val="auto"/>
        </w:rPr>
      </w:pPr>
      <w:r>
        <w:rPr>
          <w:rFonts w:ascii="Arial" w:cs="Arial" w:eastAsia="Arial" w:hAnsi="Arial"/>
          <w:sz w:val="18"/>
          <w:szCs w:val="18"/>
          <w:color w:val="auto"/>
        </w:rPr>
        <w:t>Landlord shall have no obligation to perform any work, pay any contribution, provide free rent or render any services to make the Offer Space ready for Tenant’s use or occupancy, and Tenant shall accept the Offer Space in its “as-is” condition except as provided in the Offer Notice; provided, that any such concessions shall be prorated and reduced accordingly in the event that the period commencing on the Anticipated Offer Space Delivery Date through the Expiration Date (without taking into account any unexercised Renewal Term) shall be shorter than the lease term specified in the Offer Notice;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jc w:val="both"/>
        <w:ind w:left="660" w:firstLine="648"/>
        <w:spacing w:after="0" w:line="259" w:lineRule="auto"/>
        <w:rPr>
          <w:sz w:val="20"/>
          <w:szCs w:val="20"/>
          <w:color w:val="auto"/>
        </w:rPr>
      </w:pPr>
      <w:r>
        <w:rPr>
          <w:rFonts w:ascii="Arial" w:cs="Arial" w:eastAsia="Arial" w:hAnsi="Arial"/>
          <w:sz w:val="17"/>
          <w:szCs w:val="17"/>
          <w:color w:val="auto"/>
        </w:rPr>
        <w:t>(v) if the Anticipated Offer Space Delivery Date is within the last thirty-six (36) months of the term of the Lease, then the New Premises Expiration Date will be amended to be that date which is the fifth (5</w:t>
      </w:r>
      <w:r>
        <w:rPr>
          <w:rFonts w:ascii="Arial" w:cs="Arial" w:eastAsia="Arial" w:hAnsi="Arial"/>
          <w:sz w:val="28"/>
          <w:szCs w:val="28"/>
          <w:color w:val="auto"/>
          <w:vertAlign w:val="superscript"/>
        </w:rPr>
        <w:t>th</w:t>
      </w:r>
      <w:r>
        <w:rPr>
          <w:rFonts w:ascii="Arial" w:cs="Arial" w:eastAsia="Arial" w:hAnsi="Arial"/>
          <w:sz w:val="17"/>
          <w:szCs w:val="17"/>
          <w:color w:val="auto"/>
        </w:rPr>
        <w:t>) anniversary of the New Premises Expiration Date determined pursuant to this Amendment; provided, however, that the extension term will be on the terms and conditions determined by Landlord, including, without limitation, the Fixed Rent. The Fixed Rent payable under the Lease with respect to the Premises for the aforesaid five (5) year period will be the Landlord’s and Tenant’s mutual determination of Fair Market Rental Value. In the event Landlord and Tenant are unable to agree on such Fair Market Rental Value within twenty (20) days after Tenant’s delivery of the Tenant Offer Space Notice, the dispute will be resolved in accordance with the then prevailing Streamlined Arbitration Rules and Procedures of Judicial Arbitration and Mediation Services (“</w:t>
      </w:r>
      <w:r>
        <w:rPr>
          <w:rFonts w:ascii="Arial" w:cs="Arial" w:eastAsia="Arial" w:hAnsi="Arial"/>
          <w:sz w:val="17"/>
          <w:szCs w:val="17"/>
          <w:u w:val="single" w:color="auto"/>
          <w:color w:val="auto"/>
        </w:rPr>
        <w:t>JAMS</w:t>
      </w:r>
      <w:r>
        <w:rPr>
          <w:rFonts w:ascii="Arial" w:cs="Arial" w:eastAsia="Arial" w:hAnsi="Arial"/>
          <w:sz w:val="17"/>
          <w:szCs w:val="17"/>
          <w:color w:val="auto"/>
        </w:rPr>
        <w:t>”) or its successor for arbitration of commercial disputes, except that the rules shall be modified as follows: (A) either party may make a request to JAMS to appoint a broker to make the determination of Fair Market Rental Value, (B) within five (5) days after the appointment of the broker, each party shall submit to the broker its determination of Fair Market Rental Value, and (C) the broker will make a determination of Fair Market Rental Value by selecting either the amount set forth by Landlord or Tenant, whichever the broker determines is closer to the Fair Market Rental Value. The broker may not select any other amount as the Fair Market Rental Value. The determination of the broker will be binding on each of Landlord and Tenant. Landlord and Tenant will each pay one-half (1/2) of the fees and expenses of the arbitration.</w:t>
      </w:r>
    </w:p>
    <w:p>
      <w:pPr>
        <w:spacing w:after="0" w:line="191" w:lineRule="exact"/>
        <w:rPr>
          <w:sz w:val="20"/>
          <w:szCs w:val="20"/>
          <w:color w:val="auto"/>
        </w:rPr>
      </w:pPr>
    </w:p>
    <w:p>
      <w:pPr>
        <w:jc w:val="both"/>
        <w:ind w:right="20" w:firstLine="656"/>
        <w:spacing w:after="0" w:line="221" w:lineRule="auto"/>
        <w:tabs>
          <w:tab w:leader="none" w:pos="909"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anything to the contrary herein, once any space on the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has been offered to Tenant, Tenant’s Right of First Offer shall be null and void and Landlord shall have no further obligation to offer the other Offer Space to Tenant, it being understood that Tenant’s Right of First Offer is a one-time right during the term of the Lease.</w:t>
      </w:r>
    </w:p>
    <w:p>
      <w:pPr>
        <w:spacing w:after="0" w:line="202" w:lineRule="exact"/>
        <w:rPr>
          <w:rFonts w:ascii="Arial" w:cs="Arial" w:eastAsia="Arial" w:hAnsi="Arial"/>
          <w:sz w:val="18"/>
          <w:szCs w:val="18"/>
          <w:color w:val="auto"/>
        </w:rPr>
      </w:pPr>
    </w:p>
    <w:p>
      <w:pPr>
        <w:jc w:val="both"/>
        <w:ind w:firstLine="656"/>
        <w:spacing w:after="0" w:line="259" w:lineRule="auto"/>
        <w:tabs>
          <w:tab w:leader="none" w:pos="9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If Landlord is unable to deliver possession of the Offer Space to Tenant for any reason on or before the Anticipated Offer Space Delivery Date, the Offer Space Delivery Date shall be the date on which Landlord is able to so deliver possession and Landlord shall have no liability to Tenant therefor and the Lease shall not in any way be impaired. This </w:t>
      </w:r>
      <w:r>
        <w:rPr>
          <w:rFonts w:ascii="Arial" w:cs="Arial" w:eastAsia="Arial" w:hAnsi="Arial"/>
          <w:sz w:val="18"/>
          <w:szCs w:val="18"/>
          <w:u w:val="single" w:color="auto"/>
          <w:color w:val="auto"/>
        </w:rPr>
        <w:t>Paragraph 12(e)</w:t>
      </w:r>
      <w:r>
        <w:rPr>
          <w:rFonts w:ascii="Arial" w:cs="Arial" w:eastAsia="Arial" w:hAnsi="Arial"/>
          <w:sz w:val="18"/>
          <w:szCs w:val="18"/>
          <w:color w:val="auto"/>
        </w:rPr>
        <w:t xml:space="preserve"> constitutes “an express provision to the contrary” within the meaning of Section 223(a) of the New York Real Property Law and any other law of like import now or hereafter in effect.</w:t>
      </w:r>
    </w:p>
    <w:p>
      <w:pPr>
        <w:spacing w:after="0" w:line="186" w:lineRule="exact"/>
        <w:rPr>
          <w:rFonts w:ascii="Arial" w:cs="Arial" w:eastAsia="Arial" w:hAnsi="Arial"/>
          <w:sz w:val="18"/>
          <w:szCs w:val="18"/>
          <w:color w:val="auto"/>
        </w:rPr>
      </w:pPr>
    </w:p>
    <w:p>
      <w:pPr>
        <w:ind w:firstLine="656"/>
        <w:spacing w:after="0" w:line="277" w:lineRule="auto"/>
        <w:tabs>
          <w:tab w:leader="none" w:pos="884"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Paragraph 12</w:t>
      </w:r>
      <w:r>
        <w:rPr>
          <w:rFonts w:ascii="Arial" w:cs="Arial" w:eastAsia="Arial" w:hAnsi="Arial"/>
          <w:sz w:val="18"/>
          <w:szCs w:val="18"/>
          <w:color w:val="auto"/>
        </w:rPr>
        <w:t>, Tenant’s Right of First Offer shall be personal to the Tenant named in this Amendment.</w:t>
      </w:r>
    </w:p>
    <w:p>
      <w:pPr>
        <w:spacing w:after="0" w:line="170" w:lineRule="exact"/>
        <w:rPr>
          <w:sz w:val="20"/>
          <w:szCs w:val="20"/>
          <w:color w:val="auto"/>
        </w:rPr>
      </w:pPr>
    </w:p>
    <w:p>
      <w:pPr>
        <w:jc w:val="both"/>
        <w:ind w:firstLine="656"/>
        <w:spacing w:after="0" w:line="286" w:lineRule="auto"/>
        <w:tabs>
          <w:tab w:leader="none" w:pos="91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Security Deposit.</w:t>
      </w:r>
      <w:r>
        <w:rPr>
          <w:rFonts w:ascii="Arial" w:cs="Arial" w:eastAsia="Arial" w:hAnsi="Arial"/>
          <w:sz w:val="16"/>
          <w:szCs w:val="16"/>
          <w:color w:val="auto"/>
        </w:rPr>
        <w:t xml:space="preserve"> Simultaneously with the execution of this Amendment, Tenant shall provide to Landlord, as partial consideration for the Lease and as security and as collateral for the faithful performance and observance by Tenant of the terms, provisions, and conditions of the Lease, an unconditional irrevocable letter of credit (the “</w:t>
      </w:r>
      <w:r>
        <w:rPr>
          <w:rFonts w:ascii="Arial" w:cs="Arial" w:eastAsia="Arial" w:hAnsi="Arial"/>
          <w:sz w:val="16"/>
          <w:szCs w:val="16"/>
          <w:u w:val="single" w:color="auto"/>
          <w:color w:val="auto"/>
        </w:rPr>
        <w:t>Letter of Credit</w:t>
      </w:r>
      <w:r>
        <w:rPr>
          <w:rFonts w:ascii="Arial" w:cs="Arial" w:eastAsia="Arial" w:hAnsi="Arial"/>
          <w:sz w:val="16"/>
          <w:szCs w:val="16"/>
          <w:color w:val="auto"/>
        </w:rPr>
        <w:t>”) issued by a bank or other financial institution satisfactory to Landlord, which Letter of Credit shall reflect Landlord as the beneficiary, shall be for a term of not less than one (1) full calendar year, and shall be in the amount of $201,562.50 (the “</w:t>
      </w:r>
      <w:r>
        <w:rPr>
          <w:rFonts w:ascii="Arial" w:cs="Arial" w:eastAsia="Arial" w:hAnsi="Arial"/>
          <w:sz w:val="16"/>
          <w:szCs w:val="16"/>
          <w:u w:val="single" w:color="auto"/>
          <w:color w:val="auto"/>
        </w:rPr>
        <w:t>Security Deposit</w:t>
      </w:r>
      <w:r>
        <w:rPr>
          <w:rFonts w:ascii="Arial" w:cs="Arial" w:eastAsia="Arial" w:hAnsi="Arial"/>
          <w:sz w:val="16"/>
          <w:szCs w:val="16"/>
          <w:color w:val="auto"/>
        </w:rPr>
        <w:t>”). The Letter of Credit shall be in substance reasonably acceptable to Landlord, shall provide for payment at a location reasonably acceptable to Landlord, shall be assignable to any subsequent owner of the Building, and shall provide, in part, that in each instance in which Tenant shall have defaulted under any of the terms and provisions of the Lease, including but not limited to the payment of Rent and if the same shall not have been cured within any applicable cure period provided for herein, Landlord shall be entitled to draw upon the Letter of Credit (in a single or multiple draws up to the full amount of the Security Deposit) to the extent necessary to satisfy the obligations and liabilities of Tenant to Landlord as set forth herein, including but not limited to any amounts which Landlord may expend or be required to expend by reason of Tenant’s default in respect of any of the terms, provisions, covenants and conditions of the Lease, and including but not limited to any damages or deficiency accrued before or after summary proceedings or other re-entry by Landlord. If Landlord shall apply all or any portion of the Security Deposit, Tenant shall, within ten (10) Business Days following written notice of the amount thereof from Landlord, provide a new or revised Letter of Credit in such amount as will equal, together with any remaining balance on the Letter of Credit, the Security Deposit. Promptly following Landlord’s receipt of the Letter of Credit, Landlord will return to Tenant the Tenant’s current cash security deposit.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jc w:val="both"/>
        <w:ind w:firstLine="630"/>
        <w:spacing w:after="0" w:line="279" w:lineRule="auto"/>
        <w:rPr>
          <w:sz w:val="20"/>
          <w:szCs w:val="20"/>
          <w:color w:val="auto"/>
        </w:rPr>
      </w:pPr>
      <w:r>
        <w:rPr>
          <w:rFonts w:ascii="Arial" w:cs="Arial" w:eastAsia="Arial" w:hAnsi="Arial"/>
          <w:sz w:val="17"/>
          <w:szCs w:val="17"/>
          <w:color w:val="auto"/>
        </w:rPr>
        <w:t>The Letter of Credit shall be renewed or replaced each year for additional one (1) year periods. The failure of Tenant to provide Landlord with a renewal or replacement Letter of Credit at least thirty (30) days prior to each expiration thereof during the Term shall be deemed to be a default under the Lease, and in addition to any and all rights and remedies available to Landlord under the law and/or the Lease, Landlord shall be entitled to draw upon the Letter of Credit in the full amount of the Security Deposit and to hold the proceeds thereof as a cash security deposit hereunder.</w:t>
      </w:r>
    </w:p>
    <w:p>
      <w:pPr>
        <w:spacing w:after="0" w:line="171" w:lineRule="exact"/>
        <w:rPr>
          <w:sz w:val="20"/>
          <w:szCs w:val="20"/>
          <w:color w:val="auto"/>
        </w:rPr>
      </w:pPr>
    </w:p>
    <w:p>
      <w:pPr>
        <w:jc w:val="both"/>
        <w:ind w:firstLine="630"/>
        <w:spacing w:after="0" w:line="264" w:lineRule="auto"/>
        <w:rPr>
          <w:sz w:val="20"/>
          <w:szCs w:val="20"/>
          <w:color w:val="auto"/>
        </w:rPr>
      </w:pPr>
      <w:r>
        <w:rPr>
          <w:rFonts w:ascii="Arial" w:cs="Arial" w:eastAsia="Arial" w:hAnsi="Arial"/>
          <w:sz w:val="18"/>
          <w:szCs w:val="18"/>
          <w:color w:val="auto"/>
        </w:rPr>
        <w:t>If Tenant performs all of Tenant’s obligations hereunder and is not then in default of its obligations hereunder, the Letter of Credit, or any remaining cash security deposit, shall be returned to Tenant within sixty (60) days after (a) the expiration of the Lease Term, or (b) Tenant has vacated and delivered entire possession of the Premises to Landlord in the condition required hereunder, whichever is later.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transfer of the Building, Landlord shall have the right to transfer the Letter of Credit or any cash security deposit (either, as applicable, the “</w:t>
      </w:r>
      <w:r>
        <w:rPr>
          <w:rFonts w:ascii="Arial" w:cs="Arial" w:eastAsia="Arial" w:hAnsi="Arial"/>
          <w:sz w:val="18"/>
          <w:szCs w:val="18"/>
          <w:u w:val="single" w:color="auto"/>
          <w:color w:val="auto"/>
        </w:rPr>
        <w:t>Security</w:t>
      </w:r>
      <w:r>
        <w:rPr>
          <w:rFonts w:ascii="Arial" w:cs="Arial" w:eastAsia="Arial" w:hAnsi="Arial"/>
          <w:sz w:val="18"/>
          <w:szCs w:val="18"/>
          <w:color w:val="auto"/>
        </w:rPr>
        <w:t>”) to the transferee and Landlord shall thereupon be released by Tenant from all liability for the return of the Security. Tenant agrees to look solely to such transferee for the return of the Security, and it is agreed that the provisions hereof shall apply to every transfer made of the Security to any such transferee.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of the Lease is amended by providing that a copy of notices sent by Tenant to Landlord shall also be sent in like manner to:</w:t>
      </w:r>
    </w:p>
    <w:p>
      <w:pPr>
        <w:spacing w:after="0" w:line="227" w:lineRule="auto"/>
        <w:rPr>
          <w:sz w:val="20"/>
          <w:szCs w:val="20"/>
          <w:color w:val="auto"/>
        </w:rPr>
      </w:pPr>
      <w:r>
        <w:rPr>
          <w:rFonts w:ascii="Arial" w:cs="Arial" w:eastAsia="Arial" w:hAnsi="Arial"/>
          <w:sz w:val="17"/>
          <w:szCs w:val="17"/>
          <w:color w:val="auto"/>
        </w:rPr>
        <w:t>T-C 780 Third Avenue Owner LLC, c/o TIAA-CREF, 730 Third Avenue,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 Attn: Laura M. Palombo, Senior Director,</w:t>
      </w:r>
    </w:p>
    <w:p>
      <w:pPr>
        <w:spacing w:after="0"/>
        <w:rPr>
          <w:sz w:val="20"/>
          <w:szCs w:val="20"/>
          <w:color w:val="auto"/>
        </w:rPr>
      </w:pPr>
      <w:r>
        <w:rPr>
          <w:rFonts w:ascii="Arial" w:cs="Arial" w:eastAsia="Arial" w:hAnsi="Arial"/>
          <w:sz w:val="16"/>
          <w:szCs w:val="16"/>
          <w:color w:val="auto"/>
        </w:rPr>
        <w:t xml:space="preserve">Asset Management, Global Real Estate, </w:t>
      </w:r>
      <w:r>
        <w:rPr>
          <w:rFonts w:ascii="Arial" w:cs="Arial" w:eastAsia="Arial" w:hAnsi="Arial"/>
          <w:sz w:val="16"/>
          <w:szCs w:val="16"/>
          <w:u w:val="single" w:color="auto"/>
          <w:color w:val="auto"/>
        </w:rPr>
        <w:t>and to</w:t>
      </w:r>
      <w:r>
        <w:rPr>
          <w:rFonts w:ascii="Arial" w:cs="Arial" w:eastAsia="Arial" w:hAnsi="Arial"/>
          <w:sz w:val="16"/>
          <w:szCs w:val="16"/>
          <w:color w:val="auto"/>
        </w:rPr>
        <w:t>: Ingram Yuzek Gainen Carroll &amp; Bertolotti, LLP, 250 Park Avenue, Sixth Floor, New York, NY 10177, Attn: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Shane O’Neill, Esq., In addition, any reference to the “JRT Realty Group, Inc.” therein shall be deemed deleted therefrom.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jc w:val="both"/>
        <w:ind w:firstLine="656"/>
        <w:spacing w:after="0" w:line="291" w:lineRule="auto"/>
        <w:tabs>
          <w:tab w:leader="none" w:pos="94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Brokerage</w:t>
      </w:r>
      <w:r>
        <w:rPr>
          <w:rFonts w:ascii="Arial" w:cs="Arial" w:eastAsia="Arial" w:hAnsi="Arial"/>
          <w:sz w:val="16"/>
          <w:szCs w:val="16"/>
          <w:color w:val="auto"/>
        </w:rPr>
        <w:t>. Each party warrants that it has had no dealings with any real estate broker or agent in connection with the negotiation of this Amendment, other than CBRE, Inc. (the “</w:t>
      </w:r>
      <w:r>
        <w:rPr>
          <w:rFonts w:ascii="Arial" w:cs="Arial" w:eastAsia="Arial" w:hAnsi="Arial"/>
          <w:sz w:val="16"/>
          <w:szCs w:val="16"/>
          <w:u w:val="single" w:color="auto"/>
          <w:color w:val="auto"/>
        </w:rPr>
        <w:t>Landlord’s Broker</w:t>
      </w:r>
      <w:r>
        <w:rPr>
          <w:rFonts w:ascii="Arial" w:cs="Arial" w:eastAsia="Arial" w:hAnsi="Arial"/>
          <w:sz w:val="16"/>
          <w:szCs w:val="16"/>
          <w:color w:val="auto"/>
        </w:rPr>
        <w:t>”) and Newmark Grubb Knight Frank (the “</w:t>
      </w:r>
      <w:r>
        <w:rPr>
          <w:rFonts w:ascii="Arial" w:cs="Arial" w:eastAsia="Arial" w:hAnsi="Arial"/>
          <w:sz w:val="16"/>
          <w:szCs w:val="16"/>
          <w:u w:val="single" w:color="auto"/>
          <w:color w:val="auto"/>
        </w:rPr>
        <w:t>Tenant’s Broker</w:t>
      </w:r>
      <w:r>
        <w:rPr>
          <w:rFonts w:ascii="Arial" w:cs="Arial" w:eastAsia="Arial" w:hAnsi="Arial"/>
          <w:sz w:val="16"/>
          <w:szCs w:val="16"/>
          <w:color w:val="auto"/>
        </w:rPr>
        <w:t>”) and that it knows of no other real estate broker or agent who is or might be entitled to a commission in connection with this Amendment. Tenant hereby agrees to indemnify, defend and hold Landlord and its agents harmless for, from and against all claims for any brokerage commissions, finders’ fees or similar payments by any persons (excluding Landlord’s Broker) and all costs, expenses and liabilities incurred in connection with such claims, including reasonable attorneys’ fees and costs. Landlord hereby agrees to indemnify, defend and hold Tenant harmless for, from and against all claims for any brokerage commissions, finders’ fees or similar payments by any persons and all costs, expenses and liabilities incurred in connection with such claims, including reasonable attorneys’ fees and costs.</w:t>
      </w:r>
    </w:p>
    <w:p>
      <w:pPr>
        <w:spacing w:after="0" w:line="167" w:lineRule="exact"/>
        <w:rPr>
          <w:rFonts w:ascii="Arial" w:cs="Arial" w:eastAsia="Arial" w:hAnsi="Arial"/>
          <w:sz w:val="16"/>
          <w:szCs w:val="16"/>
          <w:color w:val="auto"/>
        </w:rPr>
      </w:pPr>
    </w:p>
    <w:p>
      <w:pPr>
        <w:jc w:val="both"/>
        <w:ind w:firstLine="656"/>
        <w:spacing w:after="0" w:line="288" w:lineRule="auto"/>
        <w:tabs>
          <w:tab w:leader="none" w:pos="918"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Tenant represents and warrants to Landlord that, as of the date hereof, (a) the Lease is in full force and effect and has not been modified except pursuant to this Amendment; (b) to Tenant’s actual knowledge, there are no defaults existing under the Lease; (c) to Tenant’s actual knowledge, there exist no valid abatements, causes of action, counterclaims, disputes, defenses, offsets, credits, deductions, or claims against the enforcement of any of the terms and conditions of the Lease; (d) this Amendment has been duly authorized, executed and delivered by Tenant and constitutes the legal, valid and binding obligation of Tenant; and (e) to Tenant’s actual knowledge, Landlord is not in default of any of its obligations or covenants under the Lease. Landlord represents and warrants to Tenant that, as of the date hereof, (a) the Lease is in full force and effect and has not been modified except pursuant to this Amendment; (b) to Landlord’s actual knowledge, there are no defaults existing under the Lease; (c) to Landlord’s actual knowledge, there exist no valid abatements, causes of action, counterclaims, disputes, defenses, offsets, credits, deductions, or claims against the enforcement of any of the terms and conditions of the Lease; (d) this Amendment has been duly authorized, executed and delivered by Landlord and constitutes the legal, valid and binding obligation of Landlord; and (e) to Landlord’s actual knowledge, Tenant is not in default of any of its obligations or covenants under the Lease.</w:t>
      </w:r>
    </w:p>
    <w:p>
      <w:pPr>
        <w:spacing w:after="0" w:line="169" w:lineRule="exact"/>
        <w:rPr>
          <w:rFonts w:ascii="Arial" w:cs="Arial" w:eastAsia="Arial" w:hAnsi="Arial"/>
          <w:sz w:val="16"/>
          <w:szCs w:val="16"/>
          <w:color w:val="auto"/>
        </w:rPr>
      </w:pPr>
    </w:p>
    <w:p>
      <w:pPr>
        <w:ind w:firstLine="656"/>
        <w:spacing w:after="0" w:line="277" w:lineRule="auto"/>
        <w:tabs>
          <w:tab w:leader="none" w:pos="91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 From and after the New Premises Commencement Date, the following provisions of the Lease shall be deemed inapplicable during the term of the Lease and will be deemed deleted in their entirety therefrom: Section 3.04 and Article 35.</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65" w:val="left"/>
        </w:tabs>
        <w:numPr>
          <w:ilvl w:val="1"/>
          <w:numId w:val="62"/>
        </w:numPr>
        <w:rPr>
          <w:rFonts w:ascii="Arial" w:cs="Arial" w:eastAsia="Arial" w:hAnsi="Arial"/>
          <w:sz w:val="18"/>
          <w:szCs w:val="18"/>
          <w:color w:val="auto"/>
        </w:rPr>
      </w:pPr>
      <w:r>
        <w:rPr>
          <w:rFonts w:ascii="Arial" w:cs="Arial" w:eastAsia="Arial" w:hAnsi="Arial"/>
          <w:sz w:val="18"/>
          <w:szCs w:val="18"/>
          <w:color w:val="auto"/>
        </w:rPr>
        <w:t>Except as set forth herein, nothing contained in this Amendment shall be deemed to amend or modify in any respect the terms of the Lease and such terms shall remain in full force and effect as modified hereby. If there is any inconsistency between the terms of this Amendment and the terms of the Lease, the terms of this Amendment shall be controlling and prevail.</w:t>
      </w:r>
    </w:p>
    <w:p>
      <w:pPr>
        <w:spacing w:after="0" w:line="181" w:lineRule="exact"/>
        <w:rPr>
          <w:rFonts w:ascii="Arial" w:cs="Arial" w:eastAsia="Arial" w:hAnsi="Arial"/>
          <w:sz w:val="18"/>
          <w:szCs w:val="18"/>
          <w:color w:val="auto"/>
        </w:rPr>
      </w:pPr>
    </w:p>
    <w:p>
      <w:pPr>
        <w:ind w:firstLine="1305"/>
        <w:spacing w:after="0" w:line="277" w:lineRule="auto"/>
        <w:tabs>
          <w:tab w:leader="none" w:pos="15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This Amendment contains the entire agreement of the parties with respect to its subject matter and all prior negotiations, discussions, representations, agreements and understandings heretofore had among the parties with respect thereto are merged 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ind w:firstLine="1305"/>
        <w:spacing w:after="0" w:line="277" w:lineRule="auto"/>
        <w:tabs>
          <w:tab w:leader="none" w:pos="15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Amendment may be executed in duplicate counterparts, each of which shall be deemed an original and all of which, when taken together, shall constitute one and the same instrument.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7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Amendment shall not be binding upon Landlord or Tenant unless and until Landlord shall have delivered a fully executed counterpart of this Amendment to Tenant. Delivery may be made by telefacsimile or electronic (e.g., pdf) means, any of which shall be effective to constitute delivery.</w:t>
      </w:r>
    </w:p>
    <w:p>
      <w:pPr>
        <w:spacing w:after="0" w:line="181" w:lineRule="exact"/>
        <w:rPr>
          <w:rFonts w:ascii="Arial" w:cs="Arial" w:eastAsia="Arial" w:hAnsi="Arial"/>
          <w:sz w:val="18"/>
          <w:szCs w:val="18"/>
          <w:color w:val="auto"/>
        </w:rPr>
      </w:pPr>
    </w:p>
    <w:p>
      <w:pPr>
        <w:ind w:left="1520" w:hanging="215"/>
        <w:spacing w:after="0"/>
        <w:tabs>
          <w:tab w:leader="none" w:pos="15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This Amendment shall be binding upon and inure to the benefit of Landlord and Tenant and their successors and permitted assigns.</w:t>
      </w:r>
    </w:p>
    <w:p>
      <w:pPr>
        <w:spacing w:after="0" w:line="236" w:lineRule="exact"/>
        <w:rPr>
          <w:rFonts w:ascii="Arial" w:cs="Arial" w:eastAsia="Arial" w:hAnsi="Arial"/>
          <w:sz w:val="17"/>
          <w:szCs w:val="17"/>
          <w:color w:val="auto"/>
        </w:rPr>
      </w:pPr>
    </w:p>
    <w:p>
      <w:pPr>
        <w:ind w:left="1580" w:hanging="275"/>
        <w:spacing w:after="0"/>
        <w:tabs>
          <w:tab w:leader="none" w:pos="1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This Amendment shall be governed by the laws of the State of New York without giving effect to choice of law or conflict of laws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principles thereof.</w:t>
      </w:r>
    </w:p>
    <w:p>
      <w:pPr>
        <w:spacing w:after="0" w:line="210" w:lineRule="exact"/>
        <w:rPr>
          <w:rFonts w:ascii="Arial" w:cs="Arial" w:eastAsia="Arial" w:hAnsi="Arial"/>
          <w:sz w:val="17"/>
          <w:szCs w:val="17"/>
          <w:color w:val="auto"/>
        </w:rPr>
      </w:pPr>
    </w:p>
    <w:p>
      <w:pPr>
        <w:jc w:val="both"/>
        <w:ind w:firstLine="1305"/>
        <w:spacing w:after="0" w:line="264" w:lineRule="auto"/>
        <w:tabs>
          <w:tab w:leader="none" w:pos="158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Amendment shall be interpreted and enforced without the aid of any canon, custom or rules of law requiring or suggesting construction against the party drafting or causing the drafting of the provision in question. The captions, headings, and titles in this Amendment are solely for convenience of reference and shall not affect its interpretation.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[Remainder of Page Intentionally Left Blank. 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ind w:left="100"/>
        <w:spacing w:after="0"/>
        <w:rPr>
          <w:sz w:val="20"/>
          <w:szCs w:val="20"/>
          <w:color w:val="auto"/>
        </w:rPr>
      </w:pPr>
      <w:r>
        <w:rPr>
          <w:rFonts w:ascii="Arial" w:cs="Arial" w:eastAsia="Arial" w:hAnsi="Arial"/>
          <w:sz w:val="16"/>
          <w:szCs w:val="16"/>
          <w:color w:val="auto"/>
        </w:rPr>
        <w:t>IN WITNESS WHEREOF, Landlord and Tenant have executed this Amendment as of the day and year first above written.</w:t>
      </w:r>
    </w:p>
    <w:p>
      <w:pPr>
        <w:sectPr>
          <w:pgSz w:w="11900" w:h="16838" w:orient="portrait"/>
          <w:cols w:equalWidth="0" w:num="1">
            <w:col w:w="9019"/>
          </w:cols>
          <w:pgMar w:left="1440" w:top="9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LANDLORD:</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T-C 780 THIRD AVENUE OWNER LLC</w:t>
      </w:r>
    </w:p>
    <w:p>
      <w:pPr>
        <w:spacing w:after="0" w:line="24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Laura M. Palombo</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Laura M. Palombo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-130810</wp:posOffset>
            </wp:positionV>
            <wp:extent cx="20669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TENANT:</w:t>
      </w: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Andrew Perlman</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-130810</wp:posOffset>
            </wp:positionV>
            <wp:extent cx="20669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417195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Subsidiaries of Vringo, Inc.</w:t>
            </w:r>
          </w:p>
        </w:tc>
        <w:tc>
          <w:tcPr>
            <w:tcW w:w="4660" w:type="dxa"/>
            <w:vAlign w:val="bottom"/>
          </w:tcPr>
          <w:p>
            <w:pPr>
              <w:spacing w:after="0"/>
              <w:rPr>
                <w:sz w:val="17"/>
                <w:szCs w:val="17"/>
                <w:color w:val="auto"/>
              </w:rPr>
            </w:pPr>
          </w:p>
        </w:tc>
      </w:tr>
      <w:tr>
        <w:trPr>
          <w:trHeight w:val="460"/>
        </w:trPr>
        <w:tc>
          <w:tcPr>
            <w:tcW w:w="4660" w:type="dxa"/>
            <w:vAlign w:val="bottom"/>
            <w:gridSpan w:val="2"/>
          </w:tcPr>
          <w:p>
            <w:pPr>
              <w:spacing w:after="0"/>
              <w:rPr>
                <w:sz w:val="20"/>
                <w:szCs w:val="20"/>
                <w:color w:val="auto"/>
              </w:rPr>
            </w:pPr>
            <w:r>
              <w:rPr>
                <w:rFonts w:ascii="Arial" w:cs="Arial" w:eastAsia="Arial" w:hAnsi="Arial"/>
                <w:sz w:val="18"/>
                <w:szCs w:val="18"/>
                <w:color w:val="auto"/>
              </w:rPr>
              <w:t>Name of Subsidiary</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Jurisdiction of Incorporation</w:t>
            </w:r>
          </w:p>
        </w:tc>
      </w:tr>
      <w:tr>
        <w:trPr>
          <w:trHeight w:val="202"/>
        </w:trPr>
        <w:tc>
          <w:tcPr>
            <w:tcW w:w="20" w:type="dxa"/>
            <w:vAlign w:val="bottom"/>
          </w:tcPr>
          <w:p>
            <w:pPr>
              <w:spacing w:after="0"/>
              <w:rPr>
                <w:sz w:val="17"/>
                <w:szCs w:val="17"/>
                <w:color w:val="auto"/>
              </w:rPr>
            </w:pPr>
          </w:p>
        </w:tc>
        <w:tc>
          <w:tcPr>
            <w:tcW w:w="4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Vringo (Israel), Ltd.</w:t>
            </w: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Israel</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Innovate/Protect,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I/P Engine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I/P Labs,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Vringo Labs,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Vringo Infrastructure,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Vringo Germany GmbH</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Vringo Mobile, Inc.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Vringo Acquisition, Inc.</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648"/>
        </w:trPr>
        <w:tc>
          <w:tcPr>
            <w:tcW w:w="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statements (No. 333-164575, No. 333-178700, No. 333-180493, No. 333-180609, and No. 333-182823) on Forms S-3, and the registrations statements (No. 333-181477 and No. 333-182853) on Forms S-8, of Vringo Inc. and subsidiaries (a development stage company) of our report dated March 10, 2014, with respect to the consolidated balance sheets of Vringo Inc. and subsidiaries (a development stage company) as of December 31, 2013 and 2012, and the related consolidated statements of operations, stockholders' equity, and cash flows for each of the years in the two-year period ended December 31, 2013, and for the cumulative period from June 8, 2011 (inception) through December 31, 2013, and the effectiveness of internal control over financial reporting as of December 31, 2013, which reports appear in the December 31, 2013 annual report on Form 10-K of Vringo Inc. and subsidiaries (a development stage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7"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308" w:lineRule="auto"/>
        <w:tabs>
          <w:tab w:leader="none" w:pos="2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8"/>
        <w:spacing w:after="0" w:line="277" w:lineRule="auto"/>
        <w:tabs>
          <w:tab w:leader="none" w:pos="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March 10,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Andrew D. Perlman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7"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308" w:lineRule="auto"/>
        <w:tabs>
          <w:tab w:leader="none" w:pos="2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8"/>
        <w:spacing w:after="0" w:line="277" w:lineRule="auto"/>
        <w:tabs>
          <w:tab w:leader="none" w:pos="2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10, 2014</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NASTASIA</w:t>
      </w:r>
      <w:r>
        <w:rPr>
          <w:rFonts w:ascii="Arial" w:cs="Arial" w:eastAsia="Arial" w:hAnsi="Arial"/>
          <w:sz w:val="18"/>
          <w:szCs w:val="18"/>
          <w:color w:val="auto"/>
        </w:rPr>
        <w:t xml:space="preserve"> N</w:t>
      </w:r>
      <w:r>
        <w:rPr>
          <w:rFonts w:ascii="Arial" w:cs="Arial" w:eastAsia="Arial" w:hAnsi="Arial"/>
          <w:sz w:val="12"/>
          <w:szCs w:val="12"/>
          <w:color w:val="auto"/>
        </w:rPr>
        <w:t>YRKOVSKAYA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Anastasia Nyrkovskaya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PERSUANT SECTION 906 OF THE SARBANES-OXLEY ACT OF 2002</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Vringo, Inc., a Delaware corporation (the “Company”), does hereby certify, to such officer’s knowledge, that:</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Annual Report for the year ended December 31, 2013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Dated: March 10, 2014</w:t>
            </w:r>
          </w:p>
        </w:tc>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Andrew D. Perlman</w:t>
            </w:r>
          </w:p>
        </w:tc>
        <w:tc>
          <w:tcPr>
            <w:tcW w:w="1700" w:type="dxa"/>
            <w:vAlign w:val="bottom"/>
          </w:tcPr>
          <w:p>
            <w:pPr>
              <w:spacing w:after="0"/>
              <w:rPr>
                <w:sz w:val="20"/>
                <w:szCs w:val="20"/>
                <w:color w:val="auto"/>
              </w:rPr>
            </w:pPr>
          </w:p>
        </w:tc>
      </w:tr>
      <w:tr>
        <w:trPr>
          <w:trHeight w:val="191"/>
        </w:trPr>
        <w:tc>
          <w:tcPr>
            <w:tcW w:w="5720" w:type="dxa"/>
            <w:vAlign w:val="bottom"/>
          </w:tcPr>
          <w:p>
            <w:pPr>
              <w:spacing w:after="0"/>
              <w:rPr>
                <w:sz w:val="16"/>
                <w:szCs w:val="16"/>
                <w:color w:val="auto"/>
              </w:rPr>
            </w:pPr>
          </w:p>
        </w:tc>
        <w:tc>
          <w:tcPr>
            <w:tcW w:w="4000" w:type="dxa"/>
            <w:vAlign w:val="bottom"/>
          </w:tcPr>
          <w:p>
            <w:pPr>
              <w:spacing w:after="0" w:line="191" w:lineRule="exact"/>
              <w:rPr>
                <w:sz w:val="20"/>
                <w:szCs w:val="20"/>
                <w:color w:val="auto"/>
              </w:rPr>
            </w:pPr>
            <w:r>
              <w:rPr>
                <w:rFonts w:ascii="Arial" w:cs="Arial" w:eastAsia="Arial" w:hAnsi="Arial"/>
                <w:sz w:val="18"/>
                <w:szCs w:val="18"/>
                <w:b w:val="1"/>
                <w:bCs w:val="1"/>
                <w:color w:val="auto"/>
              </w:rPr>
              <w:t>Andrew D. Perlman</w:t>
            </w:r>
          </w:p>
        </w:tc>
        <w:tc>
          <w:tcPr>
            <w:tcW w:w="170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c>
          <w:tcPr>
            <w:tcW w:w="1700" w:type="dxa"/>
            <w:vAlign w:val="bottom"/>
          </w:tcPr>
          <w:p>
            <w:pPr>
              <w:spacing w:after="0"/>
              <w:rPr>
                <w:sz w:val="18"/>
                <w:szCs w:val="18"/>
                <w:color w:val="auto"/>
              </w:rPr>
            </w:pPr>
          </w:p>
        </w:tc>
      </w:tr>
      <w:tr>
        <w:trPr>
          <w:trHeight w:val="234"/>
        </w:trPr>
        <w:tc>
          <w:tcPr>
            <w:tcW w:w="57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c>
          <w:tcPr>
            <w:tcW w:w="1700" w:type="dxa"/>
            <w:vAlign w:val="bottom"/>
          </w:tcPr>
          <w:p>
            <w:pPr>
              <w:spacing w:after="0"/>
              <w:rPr>
                <w:sz w:val="20"/>
                <w:szCs w:val="20"/>
                <w:color w:val="auto"/>
              </w:rPr>
            </w:pPr>
          </w:p>
        </w:tc>
      </w:tr>
      <w:tr>
        <w:trPr>
          <w:trHeight w:val="864"/>
        </w:trPr>
        <w:tc>
          <w:tcPr>
            <w:tcW w:w="5720" w:type="dxa"/>
            <w:vAlign w:val="bottom"/>
          </w:tcPr>
          <w:p>
            <w:pPr>
              <w:spacing w:after="0"/>
              <w:rPr>
                <w:sz w:val="20"/>
                <w:szCs w:val="20"/>
                <w:color w:val="auto"/>
              </w:rPr>
            </w:pPr>
            <w:r>
              <w:rPr>
                <w:rFonts w:ascii="Arial" w:cs="Arial" w:eastAsia="Arial" w:hAnsi="Arial"/>
                <w:sz w:val="18"/>
                <w:szCs w:val="18"/>
                <w:color w:val="auto"/>
              </w:rPr>
              <w:t>Dated: March 10, 2014</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Anastasia Nyrkovskaya</w:t>
            </w:r>
          </w:p>
        </w:tc>
        <w:tc>
          <w:tcPr>
            <w:tcW w:w="1700" w:type="dxa"/>
            <w:vAlign w:val="bottom"/>
          </w:tcPr>
          <w:p>
            <w:pPr>
              <w:spacing w:after="0"/>
              <w:rPr>
                <w:sz w:val="24"/>
                <w:szCs w:val="24"/>
                <w:color w:val="auto"/>
              </w:rPr>
            </w:pPr>
          </w:p>
        </w:tc>
      </w:tr>
      <w:tr>
        <w:trPr>
          <w:trHeight w:val="191"/>
        </w:trPr>
        <w:tc>
          <w:tcPr>
            <w:tcW w:w="5720" w:type="dxa"/>
            <w:vAlign w:val="bottom"/>
          </w:tcPr>
          <w:p>
            <w:pPr>
              <w:spacing w:after="0"/>
              <w:rPr>
                <w:sz w:val="16"/>
                <w:szCs w:val="16"/>
                <w:color w:val="auto"/>
              </w:rPr>
            </w:pPr>
          </w:p>
        </w:tc>
        <w:tc>
          <w:tcPr>
            <w:tcW w:w="4000" w:type="dxa"/>
            <w:vAlign w:val="bottom"/>
          </w:tcPr>
          <w:p>
            <w:pPr>
              <w:spacing w:after="0" w:line="191" w:lineRule="exact"/>
              <w:rPr>
                <w:sz w:val="20"/>
                <w:szCs w:val="20"/>
                <w:color w:val="auto"/>
              </w:rPr>
            </w:pPr>
            <w:r>
              <w:rPr>
                <w:rFonts w:ascii="Arial" w:cs="Arial" w:eastAsia="Arial" w:hAnsi="Arial"/>
                <w:sz w:val="18"/>
                <w:szCs w:val="18"/>
                <w:b w:val="1"/>
                <w:bCs w:val="1"/>
                <w:color w:val="auto"/>
              </w:rPr>
              <w:t>Anastasia Nyrkovskaya</w:t>
            </w:r>
          </w:p>
        </w:tc>
        <w:tc>
          <w:tcPr>
            <w:tcW w:w="170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c>
          <w:tcPr>
            <w:tcW w:w="1700" w:type="dxa"/>
            <w:vAlign w:val="bottom"/>
          </w:tcPr>
          <w:p>
            <w:pPr>
              <w:spacing w:after="0"/>
              <w:rPr>
                <w:sz w:val="18"/>
                <w:szCs w:val="18"/>
                <w:color w:val="auto"/>
              </w:rPr>
            </w:pPr>
          </w:p>
        </w:tc>
      </w:tr>
      <w:tr>
        <w:trPr>
          <w:trHeight w:val="234"/>
        </w:trPr>
        <w:tc>
          <w:tcPr>
            <w:tcW w:w="57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(Principal Financial Officer)</w:t>
            </w:r>
          </w:p>
        </w:tc>
        <w:tc>
          <w:tcPr>
            <w:tcW w:w="1700" w:type="dxa"/>
            <w:vAlign w:val="bottom"/>
          </w:tcPr>
          <w:p>
            <w:pPr>
              <w:spacing w:after="0"/>
              <w:rPr>
                <w:sz w:val="20"/>
                <w:szCs w:val="20"/>
                <w:color w:val="auto"/>
              </w:rPr>
            </w:pPr>
          </w:p>
        </w:tc>
      </w:tr>
      <w:tr>
        <w:trPr>
          <w:trHeight w:val="648"/>
        </w:trPr>
        <w:tc>
          <w:tcPr>
            <w:tcW w:w="57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ind w:left="10440"/>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380"/>
          </w:cols>
          <w:pgMar w:left="280" w:top="337" w:right="239" w:bottom="0" w:gutter="0" w:footer="0" w:header="0"/>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jc w:val="center"/>
              <w:spacing w:after="0"/>
              <w:rPr>
                <w:sz w:val="20"/>
                <w:szCs w:val="20"/>
                <w:color w:val="auto"/>
              </w:rPr>
            </w:pPr>
            <w:r>
              <w:rPr>
                <w:rFonts w:ascii="Arial" w:cs="Arial" w:eastAsia="Arial" w:hAnsi="Arial"/>
                <w:sz w:val="13"/>
                <w:szCs w:val="13"/>
                <w:color w:val="auto"/>
                <w:w w:val="90"/>
              </w:rPr>
              <w:t>Vringo</w:t>
            </w: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4"/>
              </w:rPr>
              <w:t>Prosecution</w:t>
            </w: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40" w:type="dxa"/>
            <w:vAlign w:val="bottom"/>
          </w:tcPr>
          <w:p>
            <w:pPr>
              <w:jc w:val="center"/>
              <w:spacing w:after="0" w:line="123" w:lineRule="exact"/>
              <w:rPr>
                <w:sz w:val="20"/>
                <w:szCs w:val="20"/>
                <w:color w:val="auto"/>
              </w:rPr>
            </w:pPr>
            <w:r>
              <w:rPr>
                <w:rFonts w:ascii="Arial" w:cs="Arial" w:eastAsia="Arial" w:hAnsi="Arial"/>
                <w:sz w:val="13"/>
                <w:szCs w:val="13"/>
                <w:color w:val="auto"/>
                <w:w w:val="96"/>
              </w:rPr>
              <w:t>Filing</w:t>
            </w: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5"/>
              </w:rPr>
              <w:t>Assignee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87"/>
              </w:rPr>
              <w:t>Country</w:t>
            </w:r>
          </w:p>
        </w:tc>
        <w:tc>
          <w:tcPr>
            <w:tcW w:w="720" w:type="dxa"/>
            <w:vAlign w:val="bottom"/>
            <w:vMerge w:val="continue"/>
          </w:tcPr>
          <w:p>
            <w:pPr>
              <w:spacing w:after="0"/>
              <w:rPr>
                <w:sz w:val="10"/>
                <w:szCs w:val="10"/>
                <w:color w:val="auto"/>
              </w:rPr>
            </w:pP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93"/>
              </w:rPr>
              <w:t>Filing Date</w:t>
            </w:r>
          </w:p>
        </w:tc>
        <w:tc>
          <w:tcPr>
            <w:tcW w:w="1000" w:type="dxa"/>
            <w:vAlign w:val="bottom"/>
          </w:tcPr>
          <w:p>
            <w:pPr>
              <w:ind w:left="300"/>
              <w:spacing w:after="0" w:line="123" w:lineRule="exact"/>
              <w:rPr>
                <w:sz w:val="20"/>
                <w:szCs w:val="20"/>
                <w:color w:val="auto"/>
              </w:rPr>
            </w:pPr>
            <w:r>
              <w:rPr>
                <w:rFonts w:ascii="Arial" w:cs="Arial" w:eastAsia="Arial" w:hAnsi="Arial"/>
                <w:sz w:val="13"/>
                <w:szCs w:val="13"/>
                <w:color w:val="auto"/>
              </w:rPr>
              <w:t>Number</w:t>
            </w:r>
          </w:p>
        </w:tc>
        <w:tc>
          <w:tcPr>
            <w:tcW w:w="4420" w:type="dxa"/>
            <w:vAlign w:val="bottom"/>
          </w:tcPr>
          <w:p>
            <w:pPr>
              <w:ind w:left="2180"/>
              <w:spacing w:after="0" w:line="123" w:lineRule="exact"/>
              <w:rPr>
                <w:sz w:val="20"/>
                <w:szCs w:val="20"/>
                <w:color w:val="auto"/>
              </w:rPr>
            </w:pPr>
            <w:r>
              <w:rPr>
                <w:rFonts w:ascii="Arial" w:cs="Arial" w:eastAsia="Arial" w:hAnsi="Arial"/>
                <w:sz w:val="13"/>
                <w:szCs w:val="13"/>
                <w:color w:val="auto"/>
              </w:rPr>
              <w:t>Title</w:t>
            </w: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0"/>
              </w:rPr>
              <w:t>Number</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2"/>
              </w:rPr>
              <w:t>Step</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40" w:type="dxa"/>
            <w:vAlign w:val="bottom"/>
            <w:vMerge w:val="continue"/>
          </w:tcPr>
          <w:p>
            <w:pPr>
              <w:spacing w:after="0"/>
              <w:rPr>
                <w:sz w:val="3"/>
                <w:szCs w:val="3"/>
                <w:color w:val="auto"/>
              </w:rPr>
            </w:pPr>
          </w:p>
        </w:tc>
        <w:tc>
          <w:tcPr>
            <w:tcW w:w="820" w:type="dxa"/>
            <w:vAlign w:val="bottom"/>
            <w:vMerge w:val="restart"/>
          </w:tcPr>
          <w:p>
            <w:pPr>
              <w:jc w:val="center"/>
              <w:spacing w:after="0" w:line="148"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0"/>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A10215VI-</w:t>
            </w:r>
          </w:p>
        </w:tc>
        <w:tc>
          <w:tcPr>
            <w:tcW w:w="8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8"/>
              </w:rPr>
              <w:t>20-Jul-99</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7"/>
              </w:rPr>
              <w:t>US6466794</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Channel Allocation In A Mobile Communications System</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A10609VI-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5"/>
              </w:rPr>
              <w:t>CN</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7"/>
              </w:rPr>
              <w:t>4-Feb-97</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8"/>
              </w:rPr>
              <w:t>ZL97192088.5</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Short Message Queuing Mechanism</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A10609VI-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rPr>
              <w:t>FI</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7"/>
              </w:rPr>
              <w:t>5-Feb-96</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90"/>
              </w:rPr>
              <w:t>FI102346</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Short Message Queuing Mechanism</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FI01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A10609VI-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93"/>
              </w:rPr>
              <w:t>29-Apr-99</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7"/>
              </w:rPr>
              <w:t>US6463291</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Short Message Queuing Mechanism</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A10732VI-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9"/>
              </w:rPr>
              <w:t>CA</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9"/>
              </w:rPr>
              <w:t>27-Mar-97</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90"/>
              </w:rPr>
              <w:t>CA2250037</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Speech Transmission In A Packet Network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CA01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A10732VI-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5"/>
              </w:rPr>
              <w:t>CN</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9"/>
              </w:rPr>
              <w:t>27-Mar-97</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8"/>
              </w:rPr>
              <w:t>ZL97194117.3</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Speech Transmission In A Packet Network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A10732VI-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88"/>
              </w:rPr>
              <w:t>DE</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9"/>
              </w:rPr>
              <w:t>27-Mar-97</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9"/>
              </w:rPr>
              <w:t>DE69738106.4</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Speech Transmission In A Packet Network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A10732VI-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1"/>
              </w:rPr>
              <w:t>EP</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9"/>
              </w:rPr>
              <w:t>27-Mar-97</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8"/>
              </w:rPr>
              <w:t>EP894383</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Speech Transmission In A Packet Network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A10732VI-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1"/>
              </w:rPr>
              <w:t>ES</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9"/>
              </w:rPr>
              <w:t>27-Mar-97</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5"/>
              </w:rPr>
              <w:t>ES2292181</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Speech Transmission In A Packet Network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ES01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A10732VI-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rPr>
              <w:t>FI</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9"/>
              </w:rPr>
              <w:t>29-Mar-96</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90"/>
              </w:rPr>
              <w:t>FI103456</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Speech Transmission In A Packet Network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FI01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A10732VI-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2"/>
              </w:rPr>
              <w:t>FR</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9"/>
              </w:rPr>
              <w:t>27-Mar-97</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8"/>
              </w:rPr>
              <w:t>FR894383</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Speech Transmission In A Packet Network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A10732VI-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5"/>
              </w:rPr>
              <w:t>GB</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9"/>
              </w:rPr>
              <w:t>27-Mar-97</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6"/>
              </w:rPr>
              <w:t>GB894383</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Speech Transmission In A Packet Network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A10732VI-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9"/>
              </w:rPr>
              <w:t>HK</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93"/>
              </w:rPr>
              <w:t>27-Apr-99</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90"/>
              </w:rPr>
              <w:t>HK1017189</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Speech Transmission In A Packet Network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HK01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A10732VI-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vMerge w:val="restart"/>
          </w:tcPr>
          <w:p>
            <w:pPr>
              <w:ind w:left="40"/>
              <w:spacing w:after="0"/>
              <w:rPr>
                <w:sz w:val="20"/>
                <w:szCs w:val="20"/>
                <w:color w:val="auto"/>
              </w:rPr>
            </w:pPr>
            <w:r>
              <w:rPr>
                <w:rFonts w:ascii="Arial" w:cs="Arial" w:eastAsia="Arial" w:hAnsi="Arial"/>
                <w:sz w:val="13"/>
                <w:szCs w:val="13"/>
                <w:color w:val="auto"/>
                <w:w w:val="88"/>
              </w:rPr>
              <w:t>A Method For Transmitting A Speech, Audio Or Video Signal As Packets Of A Packet</w:t>
            </w: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1"/>
              </w:rPr>
              <w:t>IN</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9"/>
              </w:rPr>
              <w:t>20-Mar-97</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8"/>
              </w:rPr>
              <w:t>IN206503</w:t>
            </w: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IN01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ind w:left="40"/>
              <w:spacing w:after="0" w:line="135" w:lineRule="exact"/>
              <w:rPr>
                <w:sz w:val="20"/>
                <w:szCs w:val="20"/>
                <w:color w:val="auto"/>
              </w:rPr>
            </w:pPr>
            <w:r>
              <w:rPr>
                <w:rFonts w:ascii="Arial" w:cs="Arial" w:eastAsia="Arial" w:hAnsi="Arial"/>
                <w:sz w:val="13"/>
                <w:szCs w:val="13"/>
                <w:color w:val="auto"/>
              </w:rPr>
              <w:t>Network</w:t>
            </w: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A10732VI-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rPr>
              <w:t>IT</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9"/>
              </w:rPr>
              <w:t>27-Mar-97</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90"/>
              </w:rPr>
              <w:t>IT894383</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Speech Transmission In A Packet Network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A10732VI-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88"/>
              </w:rPr>
              <w:t>PH</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9"/>
              </w:rPr>
              <w:t>17-Mar-97</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6"/>
              </w:rPr>
              <w:t>PH1-1997-55861</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Speech Transmission In A Packet Network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PH01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A10732VI-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93"/>
              </w:rPr>
              <w:t>30-Apr-99</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7"/>
              </w:rPr>
              <w:t>US6738374</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Speech Transmission In A Packet Network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A10762VI-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92"/>
              </w:rPr>
              <w:t>25-Aug-98</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7"/>
              </w:rPr>
              <w:t>US6085100</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Routing Short Message Reply</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A10765VI-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5"/>
              </w:rPr>
              <w:t>CN</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2-Jun-98</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90"/>
              </w:rPr>
              <w:t>ZL98807025</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Routing Short Message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A10765VI-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88"/>
              </w:rPr>
              <w:t>DE</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2-Jun-98</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6"/>
              </w:rPr>
              <w:t>DE69834402</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Routing Short Messages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A10765VI-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1"/>
              </w:rPr>
              <w:t>EP</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2-Jun-98</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5"/>
              </w:rPr>
              <w:t>EP0992164</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Routing Short Messages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A10765VI-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1"/>
              </w:rPr>
              <w:t>ES</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2-Jun-98</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5"/>
              </w:rPr>
              <w:t>ES2262233</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Routing Short Messages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ES01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A10765VI-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rPr>
              <w:t>FI</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3-Jun-97</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90"/>
              </w:rPr>
              <w:t>FI109511</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w w:val="90"/>
              </w:rPr>
              <w:t>Routing of Mobile Originated Short Messages (MO-SM) Form SMSC to the Right (j)</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FI01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A10765VI-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2"/>
              </w:rPr>
              <w:t>FR</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2-Jun-98</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8"/>
              </w:rPr>
              <w:t>FR992164</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Routing Short Messages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A10765VI-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5"/>
              </w:rPr>
              <w:t>GB</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2-Jun-98</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6"/>
              </w:rPr>
              <w:t>GB992164</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Routing Short Messages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A10765VI-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rPr>
              <w:t>IT</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2-Jun-98</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90"/>
              </w:rPr>
              <w:t>IT992164</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Routing Short Messages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A10765VI-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78"/>
              </w:rPr>
              <w:t>JP</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2-Jun-98</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5"/>
              </w:rPr>
              <w:t>JP3988836</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Routing Short Messages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A10765VI-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6"/>
              </w:rPr>
              <w:t>NL</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2-Jun-98</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9"/>
              </w:rPr>
              <w:t>NL992164</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Routing Short Messages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NL01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A10765VI-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1"/>
              </w:rPr>
              <w:t>SE</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2-Jun-98</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8"/>
              </w:rPr>
              <w:t>SE992164</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Routing Short Messages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SE01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A10765VI-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9"/>
              </w:rPr>
              <w:t>3-Dec-99</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7"/>
              </w:rPr>
              <w:t>US6292669</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Routing Short Messages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A10780VI-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1"/>
              </w:rPr>
              <w:t>EP</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2-Jan-98</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5"/>
              </w:rPr>
              <w:t>EP1013004</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Method And System For Repeater Management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A10780VI-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1"/>
              </w:rPr>
              <w:t>ES</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2-Jan-98</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5"/>
              </w:rPr>
              <w:t>ES2260826</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Method For Repeater Management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ES01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A10780VI-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14-Sep-99</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7"/>
              </w:rPr>
              <w:t>US6571284</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Method For Repeater Management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A10906VI-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5"/>
              </w:rPr>
              <w:t>CN</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92"/>
              </w:rPr>
              <w:t>29-Nov-00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8"/>
              </w:rPr>
              <w:t>ZL00816538.6</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Call Routing In Telecommunication System</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A10906VI-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1"/>
              </w:rPr>
              <w:t>EP</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92"/>
              </w:rPr>
              <w:t>29-Nov-00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5"/>
              </w:rPr>
              <w:t>EP1234418</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Call Routing In A Telecommunication System</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A10906VI-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5"/>
              </w:rPr>
              <w:t>GB</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92"/>
              </w:rPr>
              <w:t>29-Nov-00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9"/>
              </w:rPr>
              <w:t>GB1234418</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Call Routing In A Telecommunication System</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A10906VI-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90"/>
              </w:rPr>
              <w:t>23-May-02</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auto"/>
                <w:w w:val="87"/>
              </w:rPr>
              <w:t>US7606261</w:t>
            </w:r>
          </w:p>
        </w:tc>
        <w:tc>
          <w:tcPr>
            <w:tcW w:w="4420" w:type="dxa"/>
            <w:vAlign w:val="bottom"/>
          </w:tcPr>
          <w:p>
            <w:pPr>
              <w:ind w:left="40"/>
              <w:spacing w:after="0" w:line="123" w:lineRule="exact"/>
              <w:rPr>
                <w:sz w:val="20"/>
                <w:szCs w:val="20"/>
                <w:color w:val="auto"/>
              </w:rPr>
            </w:pPr>
            <w:r>
              <w:rPr>
                <w:rFonts w:ascii="Arial" w:cs="Arial" w:eastAsia="Arial" w:hAnsi="Arial"/>
                <w:sz w:val="13"/>
                <w:szCs w:val="13"/>
                <w:color w:val="auto"/>
              </w:rPr>
              <w:t>Call Routing In A Telecommunication System</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2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A10919VI-</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520" w:type="dxa"/>
            <w:vAlign w:val="bottom"/>
          </w:tcPr>
          <w:p>
            <w:pPr>
              <w:jc w:val="center"/>
              <w:spacing w:after="0" w:line="123" w:lineRule="exact"/>
              <w:rPr>
                <w:sz w:val="20"/>
                <w:szCs w:val="20"/>
                <w:color w:val="auto"/>
              </w:rPr>
            </w:pPr>
            <w:r>
              <w:rPr>
                <w:rFonts w:ascii="Arial" w:cs="Arial" w:eastAsia="Arial" w:hAnsi="Arial"/>
                <w:sz w:val="13"/>
                <w:szCs w:val="13"/>
                <w:color w:val="auto"/>
                <w:w w:val="95"/>
              </w:rPr>
              <w:t>CN</w:t>
            </w:r>
          </w:p>
        </w:tc>
        <w:tc>
          <w:tcPr>
            <w:tcW w:w="72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85"/>
              </w:rPr>
              <w:t>4-Jun-01</w:t>
            </w:r>
          </w:p>
        </w:tc>
        <w:tc>
          <w:tcPr>
            <w:tcW w:w="5420" w:type="dxa"/>
            <w:vAlign w:val="bottom"/>
            <w:gridSpan w:val="2"/>
          </w:tcPr>
          <w:p>
            <w:pPr>
              <w:ind w:left="120"/>
              <w:spacing w:after="0" w:line="123" w:lineRule="exact"/>
              <w:rPr>
                <w:sz w:val="20"/>
                <w:szCs w:val="20"/>
                <w:color w:val="auto"/>
              </w:rPr>
            </w:pPr>
            <w:r>
              <w:rPr>
                <w:rFonts w:ascii="Arial" w:cs="Arial" w:eastAsia="Arial" w:hAnsi="Arial"/>
                <w:sz w:val="13"/>
                <w:szCs w:val="13"/>
                <w:color w:val="auto"/>
              </w:rPr>
              <w:t>ZL01810732.X  Management Of Subscriber Data In Mobile System</w:t>
            </w:r>
          </w:p>
        </w:tc>
        <w:tc>
          <w:tcPr>
            <w:tcW w:w="0" w:type="dxa"/>
            <w:vAlign w:val="bottom"/>
          </w:tcPr>
          <w:p>
            <w:pPr>
              <w:spacing w:after="0"/>
              <w:rPr>
                <w:sz w:val="1"/>
                <w:szCs w:val="1"/>
                <w:color w:val="auto"/>
              </w:rPr>
            </w:pPr>
          </w:p>
        </w:tc>
      </w:tr>
      <w:tr>
        <w:trPr>
          <w:trHeight w:val="135"/>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5"/>
              </w:rPr>
              <w:t>Inc.</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-10039985</wp:posOffset>
            </wp:positionV>
            <wp:extent cx="7246620" cy="514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5143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-9268460</wp:posOffset>
            </wp:positionV>
            <wp:extent cx="7246620" cy="2571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-8753475</wp:posOffset>
            </wp:positionV>
            <wp:extent cx="7246620"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-8239125</wp:posOffset>
            </wp:positionV>
            <wp:extent cx="7246620" cy="257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-7724775</wp:posOffset>
            </wp:positionV>
            <wp:extent cx="7246620" cy="257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-7209790</wp:posOffset>
            </wp:positionV>
            <wp:extent cx="7246620" cy="257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-6695440</wp:posOffset>
            </wp:positionV>
            <wp:extent cx="7246620" cy="257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-6181090</wp:posOffset>
            </wp:positionV>
            <wp:extent cx="7246620" cy="257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-5666105</wp:posOffset>
            </wp:positionV>
            <wp:extent cx="7246620" cy="2571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-5151755</wp:posOffset>
            </wp:positionV>
            <wp:extent cx="7246620" cy="2571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-4637405</wp:posOffset>
            </wp:positionV>
            <wp:extent cx="7246620" cy="2571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-4122420</wp:posOffset>
            </wp:positionV>
            <wp:extent cx="7246620"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-3608070</wp:posOffset>
            </wp:positionV>
            <wp:extent cx="7246620"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-3093720</wp:posOffset>
            </wp:positionV>
            <wp:extent cx="7246620"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-2579370</wp:posOffset>
            </wp:positionV>
            <wp:extent cx="7246620"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-2064385</wp:posOffset>
            </wp:positionV>
            <wp:extent cx="7246620"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-1550035</wp:posOffset>
            </wp:positionV>
            <wp:extent cx="7246620" cy="2571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-1035685</wp:posOffset>
            </wp:positionV>
            <wp:extent cx="7246620" cy="2571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-520700</wp:posOffset>
            </wp:positionV>
            <wp:extent cx="7246620" cy="2571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-6350</wp:posOffset>
            </wp:positionV>
            <wp:extent cx="7246620" cy="704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70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Inventors</w:t>
            </w:r>
          </w:p>
        </w:tc>
        <w:tc>
          <w:tcPr>
            <w:tcW w:w="500" w:type="dxa"/>
            <w:vAlign w:val="bottom"/>
          </w:tcPr>
          <w:p>
            <w:pPr>
              <w:jc w:val="center"/>
              <w:spacing w:after="0"/>
              <w:rPr>
                <w:sz w:val="20"/>
                <w:szCs w:val="20"/>
                <w:color w:val="auto"/>
              </w:rPr>
            </w:pPr>
            <w:r>
              <w:rPr>
                <w:rFonts w:ascii="Arial" w:cs="Arial" w:eastAsia="Arial" w:hAnsi="Arial"/>
                <w:sz w:val="13"/>
                <w:szCs w:val="13"/>
                <w:color w:val="auto"/>
                <w:w w:val="87"/>
              </w:rPr>
              <w:t>SSO</w:t>
            </w:r>
          </w:p>
        </w:tc>
        <w:tc>
          <w:tcPr>
            <w:tcW w:w="0" w:type="dxa"/>
            <w:vAlign w:val="bottom"/>
          </w:tcPr>
          <w:p>
            <w:pPr>
              <w:spacing w:after="0"/>
              <w:rPr>
                <w:sz w:val="1"/>
                <w:szCs w:val="1"/>
                <w:color w:val="auto"/>
              </w:rPr>
            </w:pPr>
          </w:p>
        </w:tc>
      </w:tr>
      <w:tr>
        <w:trPr>
          <w:trHeight w:val="312"/>
        </w:trPr>
        <w:tc>
          <w:tcPr>
            <w:tcW w:w="1880" w:type="dxa"/>
            <w:vAlign w:val="bottom"/>
            <w:vMerge w:val="restart"/>
          </w:tcPr>
          <w:p>
            <w:pPr>
              <w:spacing w:after="0"/>
              <w:rPr>
                <w:sz w:val="20"/>
                <w:szCs w:val="20"/>
                <w:color w:val="auto"/>
              </w:rPr>
            </w:pPr>
            <w:r>
              <w:rPr>
                <w:rFonts w:ascii="Arial" w:cs="Arial" w:eastAsia="Arial" w:hAnsi="Arial"/>
                <w:sz w:val="13"/>
                <w:szCs w:val="13"/>
                <w:color w:val="auto"/>
              </w:rPr>
              <w:t>Posti Harri [Fi] Peltola Jukka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Lahtinen Lauri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Lahtinen Lauri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Lahtinen Lauri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rPr>
              <w:t>Olkkonen Mikko [Fi] Tikka Mauri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[Fi] (+1)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Tikka Mauri [Fi] (+1)</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Tikka Mauri [Fi] (+1)</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Tikka Mauri [Fi] (+1)</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Tikka Mauri [Fi] (+1)</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Tikka Mauri [Fi] (+1)</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Tikka Mauri [Fi] (+1)</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Tikka Mauri [Fi] (+1)</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Tikka Mauri [Fi] (+1)</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Tikka Mauri [Fi] (+1)</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Tikka Mauri [Fi] (+1)</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Tikka Mauri [Fi] (+1)</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Tikka Mauri [Fi] (+1)</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Tarnanen Teemu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2"/>
              </w:rPr>
              <w:t>Meuronen Timo [Fi] Pihko Pete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2"/>
              </w:rPr>
              <w:t>Meuronen Timo [Fi] Pihko Pete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2"/>
              </w:rPr>
              <w:t>Meuronen Timo [Fi] Pihko Pete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2"/>
              </w:rPr>
              <w:t>Meuronen Timo [Fi] Pihko Pete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2"/>
              </w:rPr>
              <w:t>Meuronen Timo [Fi] Pihko Pete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2"/>
              </w:rPr>
              <w:t>Meuronen Timo [Fi] Pihko Pete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2"/>
              </w:rPr>
              <w:t>Meuronen Timo [Fi] Pihko Pete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2"/>
              </w:rPr>
              <w:t>Meuronen Timo [Fi] Pihko Pete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2"/>
              </w:rPr>
              <w:t>Meuronen Timo [Fi] Pihko Pete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2"/>
              </w:rPr>
              <w:t>Meuronen Timo [Fi] Pihko Pete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2"/>
              </w:rPr>
              <w:t>Meuronen Timo [Fi] Pihko Pete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2"/>
              </w:rPr>
              <w:t>Meuronen Timo [Fi] Pihko Pete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Suonvieri Jukka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Suonvieri Jukka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Suonvieri Jukka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Salovuori Heikki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Salovuori Heikki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Salovuori Heikki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Salovuori Heikki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8"/>
              </w:rPr>
              <w:t>Anttila Ilkka [Fi] Kihlanki Oivo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bl>
    <w:p>
      <w:pPr>
        <w:sectPr>
          <w:pgSz w:w="11900" w:h="16838" w:orient="portrait"/>
          <w:cols w:equalWidth="0" w:num="2">
            <w:col w:w="8820" w:space="120"/>
            <w:col w:w="2440"/>
          </w:cols>
          <w:pgMar w:left="280" w:top="337" w:right="239" w:bottom="0" w:gutter="0" w:footer="0" w:header="0"/>
          <w:type w:val="continuous"/>
        </w:sectPr>
      </w:pPr>
    </w:p>
    <w:bookmarkStart w:id="97" w:name="page98"/>
    <w:bookmarkEnd w:id="97"/>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80" w:type="dxa"/>
            <w:vAlign w:val="bottom"/>
          </w:tcPr>
          <w:p>
            <w:pPr>
              <w:jc w:val="center"/>
              <w:spacing w:after="0"/>
              <w:rPr>
                <w:sz w:val="20"/>
                <w:szCs w:val="20"/>
                <w:color w:val="auto"/>
              </w:rPr>
            </w:pPr>
            <w:r>
              <w:rPr>
                <w:rFonts w:ascii="Arial" w:cs="Arial" w:eastAsia="Arial" w:hAnsi="Arial"/>
                <w:sz w:val="13"/>
                <w:szCs w:val="13"/>
                <w:color w:val="auto"/>
                <w:w w:val="94"/>
              </w:rPr>
              <w:t>A10919VI-</w:t>
            </w:r>
          </w:p>
        </w:tc>
        <w:tc>
          <w:tcPr>
            <w:tcW w:w="860" w:type="dxa"/>
            <w:vAlign w:val="bottom"/>
          </w:tcPr>
          <w:p>
            <w:pPr>
              <w:jc w:val="center"/>
              <w:ind w:right="17"/>
              <w:spacing w:after="0"/>
              <w:rPr>
                <w:sz w:val="20"/>
                <w:szCs w:val="20"/>
                <w:color w:val="auto"/>
              </w:rPr>
            </w:pPr>
            <w:r>
              <w:rPr>
                <w:rFonts w:ascii="Arial" w:cs="Arial" w:eastAsia="Arial" w:hAnsi="Arial"/>
                <w:sz w:val="13"/>
                <w:szCs w:val="13"/>
                <w:color w:val="auto"/>
                <w:w w:val="90"/>
              </w:rPr>
              <w:t>Vringo</w:t>
            </w:r>
          </w:p>
        </w:tc>
        <w:tc>
          <w:tcPr>
            <w:tcW w:w="280" w:type="dxa"/>
            <w:vAlign w:val="bottom"/>
          </w:tcPr>
          <w:p>
            <w:pPr>
              <w:jc w:val="center"/>
              <w:ind w:left="57"/>
              <w:spacing w:after="0"/>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35"/>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A10919VI-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A10919VI-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1"/>
              </w:rPr>
              <w:t>ES01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A10919VI-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FI</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FI01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A10919VI-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A10919VI-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A10919VI-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A10919VI-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A10969VI-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A11159VI-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CA</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CA01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A11159VI-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A11159VI-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A11159VI-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A11159VI-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A11159VI-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A11159VI-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A11159VI-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A11162VI-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A11162VI-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A11162VI-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A11162VI-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A11162VI-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A11338VI-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A11399VI-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A11399VI-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A11399VI-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A11399VI-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A11399VI-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A11406VI-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A11590VI-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A11590VI-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A11590VI-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3"/>
              </w:rPr>
              <w:t>A116020VI-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3"/>
              </w:rPr>
              <w:t>A116020VI-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3"/>
              </w:rPr>
              <w:t>A116020VI-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3"/>
              </w:rPr>
              <w:t>A116020VI-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3"/>
              </w:rPr>
              <w:t>A116740VI-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A14028VI-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CA</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CA01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A14028VI-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A14028VI-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35"/>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8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5"/>
              </w:rPr>
              <w:t>4-Jun-01</w:t>
            </w:r>
          </w:p>
        </w:tc>
        <w:tc>
          <w:tcPr>
            <w:tcW w:w="980" w:type="dxa"/>
            <w:vAlign w:val="bottom"/>
          </w:tcPr>
          <w:p>
            <w:pPr>
              <w:jc w:val="center"/>
              <w:spacing w:after="0"/>
              <w:rPr>
                <w:sz w:val="20"/>
                <w:szCs w:val="20"/>
                <w:color w:val="auto"/>
              </w:rPr>
            </w:pPr>
            <w:r>
              <w:rPr>
                <w:rFonts w:ascii="Arial" w:cs="Arial" w:eastAsia="Arial" w:hAnsi="Arial"/>
                <w:sz w:val="13"/>
                <w:szCs w:val="13"/>
                <w:color w:val="auto"/>
                <w:w w:val="87"/>
              </w:rPr>
              <w:t>DE60115454.1</w:t>
            </w:r>
          </w:p>
        </w:tc>
        <w:tc>
          <w:tcPr>
            <w:tcW w:w="4500" w:type="dxa"/>
            <w:vAlign w:val="bottom"/>
          </w:tcPr>
          <w:p>
            <w:pPr>
              <w:ind w:left="60"/>
              <w:spacing w:after="0"/>
              <w:rPr>
                <w:sz w:val="20"/>
                <w:szCs w:val="20"/>
                <w:color w:val="auto"/>
              </w:rPr>
            </w:pPr>
            <w:r>
              <w:rPr>
                <w:rFonts w:ascii="Arial" w:cs="Arial" w:eastAsia="Arial" w:hAnsi="Arial"/>
                <w:sz w:val="13"/>
                <w:szCs w:val="13"/>
                <w:color w:val="auto"/>
              </w:rPr>
              <w:t>Management Of Subscriber Data In Mobile System</w:t>
            </w:r>
          </w:p>
        </w:tc>
        <w:tc>
          <w:tcPr>
            <w:tcW w:w="1940" w:type="dxa"/>
            <w:vAlign w:val="bottom"/>
          </w:tcPr>
          <w:p>
            <w:pPr>
              <w:ind w:left="60"/>
              <w:spacing w:after="0"/>
              <w:rPr>
                <w:sz w:val="20"/>
                <w:szCs w:val="20"/>
                <w:color w:val="auto"/>
              </w:rPr>
            </w:pPr>
            <w:r>
              <w:rPr>
                <w:rFonts w:ascii="Arial" w:cs="Arial" w:eastAsia="Arial" w:hAnsi="Arial"/>
                <w:sz w:val="13"/>
                <w:szCs w:val="13"/>
                <w:color w:val="auto"/>
                <w:w w:val="98"/>
              </w:rPr>
              <w:t>Anttila Ilkka [Fi] Kihlanki Oivo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940" w:type="dxa"/>
            <w:vAlign w:val="bottom"/>
          </w:tcPr>
          <w:p>
            <w:pPr>
              <w:ind w:left="60"/>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312"/>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5"/>
              </w:rPr>
              <w:t>4-Jun-01</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5"/>
              </w:rPr>
              <w:t>EP1303942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Management Of Subscriber Data In A Mobile System</w:t>
            </w:r>
          </w:p>
        </w:tc>
        <w:tc>
          <w:tcPr>
            <w:tcW w:w="1940" w:type="dxa"/>
            <w:vAlign w:val="bottom"/>
          </w:tcPr>
          <w:p>
            <w:pPr>
              <w:ind w:left="60"/>
              <w:spacing w:after="0"/>
              <w:rPr>
                <w:sz w:val="20"/>
                <w:szCs w:val="20"/>
                <w:color w:val="auto"/>
              </w:rPr>
            </w:pPr>
            <w:r>
              <w:rPr>
                <w:rFonts w:ascii="Arial" w:cs="Arial" w:eastAsia="Arial" w:hAnsi="Arial"/>
                <w:sz w:val="13"/>
                <w:szCs w:val="13"/>
                <w:color w:val="auto"/>
                <w:w w:val="98"/>
              </w:rPr>
              <w:t>Anttila Ilkka [Fi] Kihlanki Oivo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5"/>
              </w:rPr>
              <w:t>4-Jun-01</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5"/>
              </w:rPr>
              <w:t>ES2251485</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Management Of Subscriber Data In Mobile System</w:t>
            </w:r>
          </w:p>
        </w:tc>
        <w:tc>
          <w:tcPr>
            <w:tcW w:w="1940" w:type="dxa"/>
            <w:vAlign w:val="bottom"/>
          </w:tcPr>
          <w:p>
            <w:pPr>
              <w:ind w:left="60"/>
              <w:spacing w:after="0"/>
              <w:rPr>
                <w:sz w:val="20"/>
                <w:szCs w:val="20"/>
                <w:color w:val="auto"/>
              </w:rPr>
            </w:pPr>
            <w:r>
              <w:rPr>
                <w:rFonts w:ascii="Arial" w:cs="Arial" w:eastAsia="Arial" w:hAnsi="Arial"/>
                <w:sz w:val="13"/>
                <w:szCs w:val="13"/>
                <w:color w:val="auto"/>
                <w:w w:val="98"/>
              </w:rPr>
              <w:t>Anttila Ilkka [Fi] Kihlanki Oivo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5"/>
              </w:rPr>
              <w:t>5-Jun-00</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7"/>
              </w:rPr>
              <w:t>FI111594</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Management Of Subscriber Data In Mobile System</w:t>
            </w:r>
          </w:p>
        </w:tc>
        <w:tc>
          <w:tcPr>
            <w:tcW w:w="1940" w:type="dxa"/>
            <w:vAlign w:val="bottom"/>
          </w:tcPr>
          <w:p>
            <w:pPr>
              <w:ind w:left="60"/>
              <w:spacing w:after="0"/>
              <w:rPr>
                <w:sz w:val="20"/>
                <w:szCs w:val="20"/>
                <w:color w:val="auto"/>
              </w:rPr>
            </w:pPr>
            <w:r>
              <w:rPr>
                <w:rFonts w:ascii="Arial" w:cs="Arial" w:eastAsia="Arial" w:hAnsi="Arial"/>
                <w:sz w:val="13"/>
                <w:szCs w:val="13"/>
                <w:color w:val="auto"/>
                <w:w w:val="98"/>
              </w:rPr>
              <w:t>Anttila Ilkka [Fi] Kihlanki Oivo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5"/>
              </w:rPr>
              <w:t>4-Jun-01</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5"/>
              </w:rPr>
              <w:t>FR1303942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Management Of Subscriber Data In Mobile System</w:t>
            </w:r>
          </w:p>
        </w:tc>
        <w:tc>
          <w:tcPr>
            <w:tcW w:w="1940" w:type="dxa"/>
            <w:vAlign w:val="bottom"/>
          </w:tcPr>
          <w:p>
            <w:pPr>
              <w:ind w:left="60"/>
              <w:spacing w:after="0"/>
              <w:rPr>
                <w:sz w:val="20"/>
                <w:szCs w:val="20"/>
                <w:color w:val="auto"/>
              </w:rPr>
            </w:pPr>
            <w:r>
              <w:rPr>
                <w:rFonts w:ascii="Arial" w:cs="Arial" w:eastAsia="Arial" w:hAnsi="Arial"/>
                <w:sz w:val="13"/>
                <w:szCs w:val="13"/>
                <w:color w:val="auto"/>
                <w:w w:val="98"/>
              </w:rPr>
              <w:t>Anttila Ilkka [Fi] Kihlanki Oivo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5"/>
              </w:rPr>
              <w:t>4-Jun-01</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9"/>
              </w:rPr>
              <w:t>GB1303942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Management Of Subscriber Data In Mobile System</w:t>
            </w:r>
          </w:p>
        </w:tc>
        <w:tc>
          <w:tcPr>
            <w:tcW w:w="1940" w:type="dxa"/>
            <w:vAlign w:val="bottom"/>
          </w:tcPr>
          <w:p>
            <w:pPr>
              <w:ind w:left="60"/>
              <w:spacing w:after="0"/>
              <w:rPr>
                <w:sz w:val="20"/>
                <w:szCs w:val="20"/>
                <w:color w:val="auto"/>
              </w:rPr>
            </w:pPr>
            <w:r>
              <w:rPr>
                <w:rFonts w:ascii="Arial" w:cs="Arial" w:eastAsia="Arial" w:hAnsi="Arial"/>
                <w:sz w:val="13"/>
                <w:szCs w:val="13"/>
                <w:color w:val="auto"/>
                <w:w w:val="98"/>
              </w:rPr>
              <w:t>Anttila Ilkka [Fi] Kihlanki Oivo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5"/>
              </w:rPr>
              <w:t>4-Jun-01</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0"/>
              </w:rPr>
              <w:t>IT1303942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Management Of Subscriber Data In Mobile System</w:t>
            </w:r>
          </w:p>
        </w:tc>
        <w:tc>
          <w:tcPr>
            <w:tcW w:w="1940" w:type="dxa"/>
            <w:vAlign w:val="bottom"/>
          </w:tcPr>
          <w:p>
            <w:pPr>
              <w:ind w:left="60"/>
              <w:spacing w:after="0"/>
              <w:rPr>
                <w:sz w:val="20"/>
                <w:szCs w:val="20"/>
                <w:color w:val="auto"/>
              </w:rPr>
            </w:pPr>
            <w:r>
              <w:rPr>
                <w:rFonts w:ascii="Arial" w:cs="Arial" w:eastAsia="Arial" w:hAnsi="Arial"/>
                <w:sz w:val="13"/>
                <w:szCs w:val="13"/>
                <w:color w:val="auto"/>
                <w:w w:val="98"/>
              </w:rPr>
              <w:t>Anttila Ilkka [Fi] Kihlanki Oivo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77"/>
              <w:spacing w:after="0"/>
              <w:rPr>
                <w:sz w:val="20"/>
                <w:szCs w:val="20"/>
                <w:color w:val="auto"/>
              </w:rPr>
            </w:pPr>
            <w:r>
              <w:rPr>
                <w:rFonts w:ascii="Arial" w:cs="Arial" w:eastAsia="Arial" w:hAnsi="Arial"/>
                <w:sz w:val="13"/>
                <w:szCs w:val="13"/>
                <w:color w:val="auto"/>
                <w:w w:val="87"/>
              </w:rPr>
              <w:t>Pending</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5"/>
              </w:rPr>
              <w:t>4-Jun-01</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8"/>
              </w:rPr>
              <w:t>US20040038679</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Management Of Subscriber Data In Mobile System</w:t>
            </w:r>
          </w:p>
        </w:tc>
        <w:tc>
          <w:tcPr>
            <w:tcW w:w="1940" w:type="dxa"/>
            <w:vAlign w:val="bottom"/>
          </w:tcPr>
          <w:p>
            <w:pPr>
              <w:ind w:left="60"/>
              <w:spacing w:after="0"/>
              <w:rPr>
                <w:sz w:val="20"/>
                <w:szCs w:val="20"/>
                <w:color w:val="auto"/>
              </w:rPr>
            </w:pPr>
            <w:r>
              <w:rPr>
                <w:rFonts w:ascii="Arial" w:cs="Arial" w:eastAsia="Arial" w:hAnsi="Arial"/>
                <w:sz w:val="13"/>
                <w:szCs w:val="13"/>
                <w:color w:val="auto"/>
                <w:w w:val="98"/>
              </w:rPr>
              <w:t>Anttila Ilkka [Fi] Kihlanki Oivo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8"/>
              </w:rPr>
              <w:t>24-Jul-01</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7"/>
              </w:rPr>
              <w:t>US7012924</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w w:val="91"/>
              </w:rPr>
              <w:t>Process And Unit For Configuring Or Monitoring ATM Devices Comprising Registers</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Storck Hubertus</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0"/>
              </w:rPr>
              <w:t>9-Apr-98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0"/>
              </w:rPr>
              <w:t>CA2287227</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Data Transmission In A Mobile Network</w:t>
            </w:r>
          </w:p>
        </w:tc>
        <w:tc>
          <w:tcPr>
            <w:tcW w:w="1940" w:type="dxa"/>
            <w:vAlign w:val="bottom"/>
          </w:tcPr>
          <w:p>
            <w:pPr>
              <w:ind w:left="60"/>
              <w:spacing w:after="0"/>
              <w:rPr>
                <w:sz w:val="20"/>
                <w:szCs w:val="20"/>
                <w:color w:val="auto"/>
              </w:rPr>
            </w:pPr>
            <w:r>
              <w:rPr>
                <w:rFonts w:ascii="Arial" w:cs="Arial" w:eastAsia="Arial" w:hAnsi="Arial"/>
                <w:sz w:val="13"/>
                <w:szCs w:val="13"/>
                <w:color w:val="auto"/>
              </w:rPr>
              <w:t>Rautanen Esko T [Fi] Vaitovirta</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Hannu [Fi] (+1)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0"/>
              </w:rPr>
              <w:t>9-Apr-98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8"/>
              </w:rPr>
              <w:t>ZL98804385.8</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Data Transmission In A Mobile Network</w:t>
            </w:r>
          </w:p>
        </w:tc>
        <w:tc>
          <w:tcPr>
            <w:tcW w:w="1940" w:type="dxa"/>
            <w:vAlign w:val="bottom"/>
          </w:tcPr>
          <w:p>
            <w:pPr>
              <w:ind w:left="60"/>
              <w:spacing w:after="0"/>
              <w:rPr>
                <w:sz w:val="20"/>
                <w:szCs w:val="20"/>
                <w:color w:val="auto"/>
              </w:rPr>
            </w:pPr>
            <w:r>
              <w:rPr>
                <w:rFonts w:ascii="Arial" w:cs="Arial" w:eastAsia="Arial" w:hAnsi="Arial"/>
                <w:sz w:val="13"/>
                <w:szCs w:val="13"/>
                <w:color w:val="auto"/>
              </w:rPr>
              <w:t>Rautanen Esko T [Fi] Vaitovirta</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Hannu [Fi] +1)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0"/>
              </w:rPr>
              <w:t>9-Apr-98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9"/>
              </w:rPr>
              <w:t>DE69834917.2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Data Transmission In A Mobile Network</w:t>
            </w:r>
          </w:p>
        </w:tc>
        <w:tc>
          <w:tcPr>
            <w:tcW w:w="1940" w:type="dxa"/>
            <w:vAlign w:val="bottom"/>
          </w:tcPr>
          <w:p>
            <w:pPr>
              <w:ind w:left="60"/>
              <w:spacing w:after="0"/>
              <w:rPr>
                <w:sz w:val="20"/>
                <w:szCs w:val="20"/>
                <w:color w:val="auto"/>
              </w:rPr>
            </w:pPr>
            <w:r>
              <w:rPr>
                <w:rFonts w:ascii="Arial" w:cs="Arial" w:eastAsia="Arial" w:hAnsi="Arial"/>
                <w:sz w:val="13"/>
                <w:szCs w:val="13"/>
                <w:color w:val="auto"/>
              </w:rPr>
              <w:t>Rautanen Esko T [Fi] Vaitovirta</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Hannu [Fi] (+1)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0"/>
              </w:rPr>
              <w:t>9-Apr-98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5"/>
              </w:rPr>
              <w:t>EP0985288</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Data Transmission In A Mobile Network</w:t>
            </w:r>
          </w:p>
        </w:tc>
        <w:tc>
          <w:tcPr>
            <w:tcW w:w="1940" w:type="dxa"/>
            <w:vAlign w:val="bottom"/>
          </w:tcPr>
          <w:p>
            <w:pPr>
              <w:ind w:left="60"/>
              <w:spacing w:after="0"/>
              <w:rPr>
                <w:sz w:val="20"/>
                <w:szCs w:val="20"/>
                <w:color w:val="auto"/>
              </w:rPr>
            </w:pPr>
            <w:r>
              <w:rPr>
                <w:rFonts w:ascii="Arial" w:cs="Arial" w:eastAsia="Arial" w:hAnsi="Arial"/>
                <w:sz w:val="13"/>
                <w:szCs w:val="13"/>
                <w:color w:val="auto"/>
              </w:rPr>
              <w:t>Rautanen Esko T [Fi] Vaitovirta</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Hannu [Fi] (+1)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0"/>
              </w:rPr>
              <w:t>9-Apr-98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8"/>
              </w:rPr>
              <w:t>FR985288</w:t>
            </w:r>
          </w:p>
        </w:tc>
        <w:tc>
          <w:tcPr>
            <w:tcW w:w="6440" w:type="dxa"/>
            <w:vAlign w:val="bottom"/>
            <w:gridSpan w:val="2"/>
          </w:tcPr>
          <w:p>
            <w:pPr>
              <w:ind w:left="60"/>
              <w:spacing w:after="0"/>
              <w:rPr>
                <w:sz w:val="20"/>
                <w:szCs w:val="20"/>
                <w:color w:val="auto"/>
              </w:rPr>
            </w:pPr>
            <w:r>
              <w:rPr>
                <w:rFonts w:ascii="Arial" w:cs="Arial" w:eastAsia="Arial" w:hAnsi="Arial"/>
                <w:sz w:val="13"/>
                <w:szCs w:val="13"/>
                <w:color w:val="auto"/>
                <w:w w:val="92"/>
              </w:rPr>
              <w:t>Method to Combine the Radio and Fixed Network Transmission Channels Effectively in Rautanen Esko T [Fi] Vaitovirta</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the Fixed (j)</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Hannu [Fi] (+1)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0"/>
              </w:rPr>
              <w:t>9-Apr-98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6"/>
              </w:rPr>
              <w:t>GB985288</w:t>
            </w:r>
          </w:p>
        </w:tc>
        <w:tc>
          <w:tcPr>
            <w:tcW w:w="6440" w:type="dxa"/>
            <w:vAlign w:val="bottom"/>
            <w:gridSpan w:val="2"/>
          </w:tcPr>
          <w:p>
            <w:pPr>
              <w:ind w:left="60"/>
              <w:spacing w:after="0"/>
              <w:rPr>
                <w:sz w:val="20"/>
                <w:szCs w:val="20"/>
                <w:color w:val="auto"/>
              </w:rPr>
            </w:pPr>
            <w:r>
              <w:rPr>
                <w:rFonts w:ascii="Arial" w:cs="Arial" w:eastAsia="Arial" w:hAnsi="Arial"/>
                <w:sz w:val="13"/>
                <w:szCs w:val="13"/>
                <w:color w:val="auto"/>
                <w:w w:val="92"/>
              </w:rPr>
              <w:t>Method to Combine the Radio and Fixed Network Transmission Channels Effectively in Rautanen Esko T [Fi] Vaitovirta</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the Fixed (j)</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Hannu [Fi] (+1)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0"/>
              </w:rPr>
              <w:t>9-Apr-98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0"/>
              </w:rPr>
              <w:t>IT985288</w:t>
            </w:r>
          </w:p>
        </w:tc>
        <w:tc>
          <w:tcPr>
            <w:tcW w:w="6440" w:type="dxa"/>
            <w:vAlign w:val="bottom"/>
            <w:gridSpan w:val="2"/>
          </w:tcPr>
          <w:p>
            <w:pPr>
              <w:ind w:left="60"/>
              <w:spacing w:after="0"/>
              <w:rPr>
                <w:sz w:val="20"/>
                <w:szCs w:val="20"/>
                <w:color w:val="auto"/>
              </w:rPr>
            </w:pPr>
            <w:r>
              <w:rPr>
                <w:rFonts w:ascii="Arial" w:cs="Arial" w:eastAsia="Arial" w:hAnsi="Arial"/>
                <w:sz w:val="13"/>
                <w:szCs w:val="13"/>
                <w:color w:val="auto"/>
                <w:w w:val="92"/>
              </w:rPr>
              <w:t>Method to Combine the Radio and Fixed Network Transmission Channels Effectively in Rautanen Esko T [Fi] Vaitovirta</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the Fixed (j)</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Hannu [Fi] (+1)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15-Oct-99</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7"/>
              </w:rPr>
              <w:t>US6353605</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Data Transmission In A Mobile Network</w:t>
            </w:r>
          </w:p>
        </w:tc>
        <w:tc>
          <w:tcPr>
            <w:tcW w:w="1940" w:type="dxa"/>
            <w:vAlign w:val="bottom"/>
          </w:tcPr>
          <w:p>
            <w:pPr>
              <w:ind w:left="60"/>
              <w:spacing w:after="0"/>
              <w:rPr>
                <w:sz w:val="20"/>
                <w:szCs w:val="20"/>
                <w:color w:val="auto"/>
              </w:rPr>
            </w:pPr>
            <w:r>
              <w:rPr>
                <w:rFonts w:ascii="Arial" w:cs="Arial" w:eastAsia="Arial" w:hAnsi="Arial"/>
                <w:sz w:val="13"/>
                <w:szCs w:val="13"/>
                <w:color w:val="auto"/>
              </w:rPr>
              <w:t>Rautanen Esko T [Fi] Vaitovirta</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Hannu [Fi] (+1)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27-Oct-97</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9"/>
              </w:rPr>
              <w:t>DE69733613.1</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Routing Of Packets In A Telecommunications System</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Hulkkonen Matti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27-Oct-97</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8"/>
              </w:rPr>
              <w:t>EP941592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Routing Of Packets In A Telecommunications System</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Hulkkonen Matti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27-Oct-97</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8"/>
              </w:rPr>
              <w:t>FR941592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Routing Of Packets In A Telecommunications System</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Hulkkonen Matti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27-Oct-97</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6"/>
              </w:rPr>
              <w:t>GB941592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Routing Of Packets In A Telecommunications System</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Hulkkonen Matti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27-Oct-97</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0"/>
              </w:rPr>
              <w:t>IT941592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Routing Of Packets In A Telecommunications System</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Hulkkonen Matti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5"/>
              </w:rPr>
              <w:t>21-Sep-99</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7"/>
              </w:rPr>
              <w:t>US6870839</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Cross-Connecting Sub-Time Slot Data Rates</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Vaisanen Pasi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8"/>
              </w:rPr>
              <w:t>23-Dec-98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8"/>
              </w:rPr>
              <w:t>ZL98812499.8</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Calling Subscriber Validation</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Harno Jarmo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8"/>
              </w:rPr>
              <w:t>23-Dec-98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7"/>
              </w:rPr>
              <w:t>DE69829118.2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Calling Subscriber Validation</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Harno Jarmo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8"/>
              </w:rPr>
              <w:t>23-Dec-98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5"/>
              </w:rPr>
              <w:t>EP1053626</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Calling Subscriber Validation</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Harno Jarmo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8"/>
              </w:rPr>
              <w:t>23-Dec-98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9"/>
              </w:rPr>
              <w:t>GB1053626</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Calling Subscriber Validation</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Harno Jarmo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8"/>
              </w:rPr>
              <w:t>23-Dec-98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7"/>
              </w:rPr>
              <w:t>US6678368</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Calling Subscriber Validation</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Harno Jarmo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2"/>
              </w:rPr>
              <w:t>17-Aug-00</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7"/>
              </w:rPr>
              <w:t>US6345091</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w w:val="92"/>
              </w:rPr>
              <w:t>Telecommunication System And Method For Implementing An ISDN PBX Interface</w:t>
            </w:r>
          </w:p>
        </w:tc>
        <w:tc>
          <w:tcPr>
            <w:tcW w:w="1940" w:type="dxa"/>
            <w:vAlign w:val="bottom"/>
          </w:tcPr>
          <w:p>
            <w:pPr>
              <w:ind w:left="60"/>
              <w:spacing w:after="0"/>
              <w:rPr>
                <w:sz w:val="20"/>
                <w:szCs w:val="20"/>
                <w:color w:val="auto"/>
              </w:rPr>
            </w:pPr>
            <w:r>
              <w:rPr>
                <w:rFonts w:ascii="Arial" w:cs="Arial" w:eastAsia="Arial" w:hAnsi="Arial"/>
                <w:sz w:val="13"/>
                <w:szCs w:val="13"/>
                <w:color w:val="auto"/>
              </w:rPr>
              <w:t>Vernooij Antonius [Sg] Lampola</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Pekka [Fi]</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8"/>
              </w:rPr>
              <w:t>14-Jul-97</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5"/>
              </w:rPr>
              <w:t>EP1013132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Switch Arrangement</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Heiman Petri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8"/>
              </w:rPr>
              <w:t>14-Jul-98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9"/>
              </w:rPr>
              <w:t>GB1013132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Switch Arrangement</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Heiman Petri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5"/>
              </w:rPr>
              <w:t>10-Jan-00</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7"/>
              </w:rPr>
              <w:t>US6735203</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Switch Arrangement</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Heiman Petri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27-Oct-98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9"/>
              </w:rPr>
              <w:t>DE69838103.3</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Buffer Management</w:t>
            </w:r>
          </w:p>
        </w:tc>
        <w:tc>
          <w:tcPr>
            <w:tcW w:w="1940" w:type="dxa"/>
            <w:vAlign w:val="bottom"/>
          </w:tcPr>
          <w:p>
            <w:pPr>
              <w:ind w:left="60"/>
              <w:spacing w:after="0"/>
              <w:rPr>
                <w:sz w:val="20"/>
                <w:szCs w:val="20"/>
                <w:color w:val="auto"/>
              </w:rPr>
            </w:pPr>
            <w:r>
              <w:rPr>
                <w:rFonts w:ascii="Arial" w:cs="Arial" w:eastAsia="Arial" w:hAnsi="Arial"/>
                <w:sz w:val="13"/>
                <w:szCs w:val="13"/>
                <w:color w:val="auto"/>
                <w:w w:val="99"/>
              </w:rPr>
              <w:t>Sainio Sampo [Fi] Holma Maunu</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[Fi] (+1)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27-Oct-98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5"/>
              </w:rPr>
              <w:t>EP1031253</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Buffer Management Method</w:t>
            </w:r>
          </w:p>
        </w:tc>
        <w:tc>
          <w:tcPr>
            <w:tcW w:w="1940" w:type="dxa"/>
            <w:vAlign w:val="bottom"/>
          </w:tcPr>
          <w:p>
            <w:pPr>
              <w:ind w:left="60"/>
              <w:spacing w:after="0"/>
              <w:rPr>
                <w:sz w:val="20"/>
                <w:szCs w:val="20"/>
                <w:color w:val="auto"/>
              </w:rPr>
            </w:pPr>
            <w:r>
              <w:rPr>
                <w:rFonts w:ascii="Arial" w:cs="Arial" w:eastAsia="Arial" w:hAnsi="Arial"/>
                <w:sz w:val="13"/>
                <w:szCs w:val="13"/>
                <w:color w:val="auto"/>
                <w:w w:val="99"/>
              </w:rPr>
              <w:t>Sainio Sampo [Fi] Holma Maunu</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[Fi] (+1)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27-Oct-98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5"/>
              </w:rPr>
              <w:t>FR1031253</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Buffer Management</w:t>
            </w:r>
          </w:p>
        </w:tc>
        <w:tc>
          <w:tcPr>
            <w:tcW w:w="1940" w:type="dxa"/>
            <w:vAlign w:val="bottom"/>
          </w:tcPr>
          <w:p>
            <w:pPr>
              <w:ind w:left="60"/>
              <w:spacing w:after="0"/>
              <w:rPr>
                <w:sz w:val="20"/>
                <w:szCs w:val="20"/>
                <w:color w:val="auto"/>
              </w:rPr>
            </w:pPr>
            <w:r>
              <w:rPr>
                <w:rFonts w:ascii="Arial" w:cs="Arial" w:eastAsia="Arial" w:hAnsi="Arial"/>
                <w:sz w:val="13"/>
                <w:szCs w:val="13"/>
                <w:color w:val="auto"/>
                <w:w w:val="99"/>
              </w:rPr>
              <w:t>Sainio Sampo [Fi] Holma Maunu</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[Fi] (+1)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3"/>
              </w:rPr>
              <w:t>25-Apr-00</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7"/>
              </w:rPr>
              <w:t>US6549541</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Buffer Management</w:t>
            </w:r>
          </w:p>
        </w:tc>
        <w:tc>
          <w:tcPr>
            <w:tcW w:w="1940" w:type="dxa"/>
            <w:vAlign w:val="bottom"/>
          </w:tcPr>
          <w:p>
            <w:pPr>
              <w:ind w:left="60"/>
              <w:spacing w:after="0"/>
              <w:rPr>
                <w:sz w:val="20"/>
                <w:szCs w:val="20"/>
                <w:color w:val="auto"/>
              </w:rPr>
            </w:pPr>
            <w:r>
              <w:rPr>
                <w:rFonts w:ascii="Arial" w:cs="Arial" w:eastAsia="Arial" w:hAnsi="Arial"/>
                <w:sz w:val="13"/>
                <w:szCs w:val="13"/>
                <w:color w:val="auto"/>
                <w:w w:val="99"/>
              </w:rPr>
              <w:t>Sainio Sampo [Fi] Holma Maunu</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[Fi] (+1)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2"/>
              </w:rPr>
              <w:t>30-Nov-00</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7"/>
              </w:rPr>
              <w:t>US6954426</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And System For Routing In An ATM Network</w:t>
            </w: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Suominen Jukka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26-Oct-98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0"/>
              </w:rPr>
              <w:t>CA2276374</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Of Exiting Collect Information Phase In Intelligent Network</w:t>
            </w:r>
          </w:p>
        </w:tc>
        <w:tc>
          <w:tcPr>
            <w:tcW w:w="1940" w:type="dxa"/>
            <w:vAlign w:val="bottom"/>
          </w:tcPr>
          <w:p>
            <w:pPr>
              <w:ind w:left="60"/>
              <w:spacing w:after="0"/>
              <w:rPr>
                <w:sz w:val="20"/>
                <w:szCs w:val="20"/>
                <w:color w:val="auto"/>
              </w:rPr>
            </w:pPr>
            <w:r>
              <w:rPr>
                <w:rFonts w:ascii="Arial" w:cs="Arial" w:eastAsia="Arial" w:hAnsi="Arial"/>
                <w:sz w:val="13"/>
                <w:szCs w:val="13"/>
                <w:color w:val="auto"/>
              </w:rPr>
              <w:t>Tuunanen Heikki [Fi] Krueger</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Andrei [Fi]</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26-Oct-98</w:t>
            </w:r>
          </w:p>
        </w:tc>
        <w:tc>
          <w:tcPr>
            <w:tcW w:w="980" w:type="dxa"/>
            <w:vAlign w:val="bottom"/>
            <w:vMerge w:val="restart"/>
          </w:tcPr>
          <w:p>
            <w:pPr>
              <w:ind w:left="140"/>
              <w:spacing w:after="0"/>
              <w:rPr>
                <w:sz w:val="20"/>
                <w:szCs w:val="20"/>
                <w:color w:val="auto"/>
              </w:rPr>
            </w:pPr>
            <w:r>
              <w:rPr>
                <w:rFonts w:ascii="Arial" w:cs="Arial" w:eastAsia="Arial" w:hAnsi="Arial"/>
                <w:sz w:val="13"/>
                <w:szCs w:val="13"/>
                <w:color w:val="auto"/>
                <w:w w:val="99"/>
              </w:rPr>
              <w:t>CN 1121795C</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Of Exiting Collect Information Phase In Intelligent Network</w:t>
            </w:r>
          </w:p>
        </w:tc>
        <w:tc>
          <w:tcPr>
            <w:tcW w:w="1940" w:type="dxa"/>
            <w:vAlign w:val="bottom"/>
          </w:tcPr>
          <w:p>
            <w:pPr>
              <w:ind w:left="60"/>
              <w:spacing w:after="0"/>
              <w:rPr>
                <w:sz w:val="20"/>
                <w:szCs w:val="20"/>
                <w:color w:val="auto"/>
              </w:rPr>
            </w:pPr>
            <w:r>
              <w:rPr>
                <w:rFonts w:ascii="Arial" w:cs="Arial" w:eastAsia="Arial" w:hAnsi="Arial"/>
                <w:sz w:val="13"/>
                <w:szCs w:val="13"/>
                <w:color w:val="auto"/>
              </w:rPr>
              <w:t>Tuunanen Heikki [Fi] Krueger</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Andrei [Fi]</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26-Oct-98</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9"/>
              </w:rPr>
              <w:t>DE69828151.9</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Of Exiting Collect Information Phase In Intelligent Network</w:t>
            </w:r>
          </w:p>
        </w:tc>
        <w:tc>
          <w:tcPr>
            <w:tcW w:w="1940" w:type="dxa"/>
            <w:vAlign w:val="bottom"/>
          </w:tcPr>
          <w:p>
            <w:pPr>
              <w:ind w:left="60"/>
              <w:spacing w:after="0"/>
              <w:rPr>
                <w:sz w:val="20"/>
                <w:szCs w:val="20"/>
                <w:color w:val="auto"/>
              </w:rPr>
            </w:pPr>
            <w:r>
              <w:rPr>
                <w:rFonts w:ascii="Arial" w:cs="Arial" w:eastAsia="Arial" w:hAnsi="Arial"/>
                <w:sz w:val="13"/>
                <w:szCs w:val="13"/>
                <w:color w:val="auto"/>
              </w:rPr>
              <w:t>Tuunanen Heikki [Fi] Krueger</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color w:val="auto"/>
              </w:rPr>
              <w:t>Andrei [Fi]</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-10254615</wp:posOffset>
            </wp:positionV>
            <wp:extent cx="7246620" cy="257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-9739630</wp:posOffset>
            </wp:positionV>
            <wp:extent cx="7246620" cy="2571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-9225280</wp:posOffset>
            </wp:positionV>
            <wp:extent cx="7246620" cy="2571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-8710930</wp:posOffset>
            </wp:positionV>
            <wp:extent cx="7246620" cy="257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-8195945</wp:posOffset>
            </wp:positionV>
            <wp:extent cx="7246620" cy="257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-7681595</wp:posOffset>
            </wp:positionV>
            <wp:extent cx="7246620" cy="257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-7167245</wp:posOffset>
            </wp:positionV>
            <wp:extent cx="7246620" cy="2571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-6652895</wp:posOffset>
            </wp:positionV>
            <wp:extent cx="7246620" cy="257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-6137910</wp:posOffset>
            </wp:positionV>
            <wp:extent cx="7246620" cy="257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-5623560</wp:posOffset>
            </wp:positionV>
            <wp:extent cx="7246620" cy="257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-5109210</wp:posOffset>
            </wp:positionV>
            <wp:extent cx="7246620" cy="2571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-4594225</wp:posOffset>
            </wp:positionV>
            <wp:extent cx="7246620" cy="2571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-4079875</wp:posOffset>
            </wp:positionV>
            <wp:extent cx="7246620" cy="2571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-3565525</wp:posOffset>
            </wp:positionV>
            <wp:extent cx="7246620" cy="2571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-3050540</wp:posOffset>
            </wp:positionV>
            <wp:extent cx="7246620" cy="2571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-2536190</wp:posOffset>
            </wp:positionV>
            <wp:extent cx="7246620" cy="257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-2021840</wp:posOffset>
            </wp:positionV>
            <wp:extent cx="7246620" cy="2571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-1506855</wp:posOffset>
            </wp:positionV>
            <wp:extent cx="7246620" cy="257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-992505</wp:posOffset>
            </wp:positionV>
            <wp:extent cx="7246620" cy="257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-478155</wp:posOffset>
            </wp:positionV>
            <wp:extent cx="7246620" cy="257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53" w:lineRule="exact"/>
        <w:rPr>
          <w:sz w:val="20"/>
          <w:szCs w:val="20"/>
          <w:color w:val="auto"/>
        </w:rPr>
      </w:pPr>
    </w:p>
    <w:p>
      <w:pPr>
        <w:sectPr>
          <w:pgSz w:w="11900" w:h="16900" w:orient="portrait"/>
          <w:cols w:equalWidth="0" w:num="2">
            <w:col w:w="1840" w:space="300"/>
            <w:col w:w="9280"/>
          </w:cols>
          <w:pgMar w:left="240" w:top="111" w:right="239" w:bottom="0" w:gutter="0" w:footer="0" w:header="0"/>
        </w:sectPr>
      </w:pPr>
    </w:p>
    <w:tbl>
      <w:tblPr>
        <w:tblLayout w:type="fixed"/>
        <w:tblInd w:w="0" w:type="dxa"/>
        <w:tblCellMar>
          <w:top w:w="0" w:type="dxa"/>
          <w:left w:w="0" w:type="dxa"/>
          <w:bottom w:w="0" w:type="dxa"/>
          <w:right w:w="0" w:type="dxa"/>
        </w:tblCellMar>
      </w:tblPr>
      <w:tr>
        <w:trPr>
          <w:trHeight w:val="125"/>
        </w:trPr>
        <w:tc>
          <w:tcPr>
            <w:tcW w:w="680" w:type="dxa"/>
            <w:vAlign w:val="bottom"/>
            <w:shd w:val="clear" w:color="auto" w:fill="CCFFCC"/>
          </w:tcPr>
          <w:p>
            <w:pPr>
              <w:jc w:val="center"/>
              <w:spacing w:after="0" w:line="125" w:lineRule="exact"/>
              <w:rPr>
                <w:sz w:val="20"/>
                <w:szCs w:val="20"/>
                <w:color w:val="auto"/>
              </w:rPr>
            </w:pPr>
            <w:r>
              <w:rPr>
                <w:rFonts w:ascii="Arial" w:cs="Arial" w:eastAsia="Arial" w:hAnsi="Arial"/>
                <w:sz w:val="13"/>
                <w:szCs w:val="13"/>
                <w:color w:val="auto"/>
                <w:w w:val="94"/>
              </w:rPr>
              <w:t>A14028VI-</w:t>
            </w:r>
          </w:p>
        </w:tc>
        <w:tc>
          <w:tcPr>
            <w:tcW w:w="880" w:type="dxa"/>
            <w:vAlign w:val="bottom"/>
            <w:shd w:val="clear" w:color="auto" w:fill="CCFFCC"/>
          </w:tcPr>
          <w:p>
            <w:pPr>
              <w:jc w:val="center"/>
              <w:spacing w:after="0" w:line="125" w:lineRule="exact"/>
              <w:rPr>
                <w:sz w:val="20"/>
                <w:szCs w:val="20"/>
                <w:color w:val="auto"/>
              </w:rPr>
            </w:pPr>
            <w:r>
              <w:rPr>
                <w:rFonts w:ascii="Arial" w:cs="Arial" w:eastAsia="Arial" w:hAnsi="Arial"/>
                <w:sz w:val="13"/>
                <w:szCs w:val="13"/>
                <w:color w:val="auto"/>
                <w:w w:val="90"/>
              </w:rPr>
              <w:t>Vringo</w:t>
            </w:r>
          </w:p>
        </w:tc>
        <w:tc>
          <w:tcPr>
            <w:tcW w:w="440" w:type="dxa"/>
            <w:vAlign w:val="bottom"/>
            <w:shd w:val="clear" w:color="auto" w:fill="CCFFCC"/>
          </w:tcPr>
          <w:p>
            <w:pPr>
              <w:ind w:left="120"/>
              <w:spacing w:after="0" w:line="125" w:lineRule="exact"/>
              <w:rPr>
                <w:sz w:val="20"/>
                <w:szCs w:val="20"/>
                <w:color w:val="auto"/>
              </w:rPr>
            </w:pPr>
            <w:r>
              <w:rPr>
                <w:rFonts w:ascii="Arial" w:cs="Arial" w:eastAsia="Arial" w:hAnsi="Arial"/>
                <w:sz w:val="13"/>
                <w:szCs w:val="13"/>
                <w:color w:val="auto"/>
              </w:rPr>
              <w:t>EP</w:t>
            </w:r>
          </w:p>
        </w:tc>
        <w:tc>
          <w:tcPr>
            <w:tcW w:w="700" w:type="dxa"/>
            <w:vAlign w:val="bottom"/>
            <w:shd w:val="clear" w:color="auto" w:fill="CCFFCC"/>
          </w:tcPr>
          <w:p>
            <w:pPr>
              <w:ind w:left="160"/>
              <w:spacing w:after="0" w:line="125" w:lineRule="exact"/>
              <w:rPr>
                <w:sz w:val="20"/>
                <w:szCs w:val="20"/>
                <w:color w:val="auto"/>
              </w:rPr>
            </w:pPr>
            <w:r>
              <w:rPr>
                <w:rFonts w:ascii="Arial" w:cs="Arial" w:eastAsia="Arial" w:hAnsi="Arial"/>
                <w:sz w:val="13"/>
                <w:szCs w:val="13"/>
                <w:color w:val="auto"/>
              </w:rPr>
              <w:t>Granted</w:t>
            </w:r>
          </w:p>
        </w:tc>
        <w:tc>
          <w:tcPr>
            <w:tcW w:w="820" w:type="dxa"/>
            <w:vAlign w:val="bottom"/>
            <w:shd w:val="clear" w:color="auto" w:fill="CCFFCC"/>
          </w:tcPr>
          <w:p>
            <w:pPr>
              <w:ind w:left="140"/>
              <w:spacing w:after="0" w:line="125" w:lineRule="exact"/>
              <w:rPr>
                <w:sz w:val="20"/>
                <w:szCs w:val="20"/>
                <w:color w:val="auto"/>
              </w:rPr>
            </w:pPr>
            <w:r>
              <w:rPr>
                <w:rFonts w:ascii="Arial" w:cs="Arial" w:eastAsia="Arial" w:hAnsi="Arial"/>
                <w:sz w:val="13"/>
                <w:szCs w:val="13"/>
                <w:color w:val="auto"/>
              </w:rPr>
              <w:t>26-Oct-98</w:t>
            </w:r>
          </w:p>
        </w:tc>
        <w:tc>
          <w:tcPr>
            <w:tcW w:w="820" w:type="dxa"/>
            <w:vAlign w:val="bottom"/>
            <w:shd w:val="clear" w:color="auto" w:fill="CCFFCC"/>
          </w:tcPr>
          <w:p>
            <w:pPr>
              <w:ind w:left="160"/>
              <w:spacing w:after="0" w:line="125" w:lineRule="exact"/>
              <w:rPr>
                <w:sz w:val="20"/>
                <w:szCs w:val="20"/>
                <w:color w:val="auto"/>
              </w:rPr>
            </w:pPr>
            <w:r>
              <w:rPr>
                <w:rFonts w:ascii="Arial" w:cs="Arial" w:eastAsia="Arial" w:hAnsi="Arial"/>
                <w:sz w:val="13"/>
                <w:szCs w:val="13"/>
                <w:color w:val="auto"/>
              </w:rPr>
              <w:t>EP956714</w:t>
            </w:r>
          </w:p>
        </w:tc>
        <w:tc>
          <w:tcPr>
            <w:tcW w:w="4120" w:type="dxa"/>
            <w:vAlign w:val="bottom"/>
            <w:shd w:val="clear" w:color="auto" w:fill="CCFFCC"/>
          </w:tcPr>
          <w:p>
            <w:pPr>
              <w:ind w:left="140"/>
              <w:spacing w:after="0" w:line="125" w:lineRule="exact"/>
              <w:rPr>
                <w:sz w:val="20"/>
                <w:szCs w:val="20"/>
                <w:color w:val="auto"/>
              </w:rPr>
            </w:pPr>
            <w:r>
              <w:rPr>
                <w:rFonts w:ascii="Arial" w:cs="Arial" w:eastAsia="Arial" w:hAnsi="Arial"/>
                <w:sz w:val="13"/>
                <w:szCs w:val="13"/>
                <w:color w:val="auto"/>
              </w:rPr>
              <w:t>Method Of Exiting Collect Information Phase In Intelligent Network</w:t>
            </w:r>
          </w:p>
        </w:tc>
        <w:tc>
          <w:tcPr>
            <w:tcW w:w="2260" w:type="dxa"/>
            <w:vAlign w:val="bottom"/>
            <w:shd w:val="clear" w:color="auto" w:fill="CCFFCC"/>
          </w:tcPr>
          <w:p>
            <w:pPr>
              <w:ind w:left="520"/>
              <w:spacing w:after="0" w:line="125" w:lineRule="exact"/>
              <w:rPr>
                <w:sz w:val="20"/>
                <w:szCs w:val="20"/>
                <w:color w:val="auto"/>
              </w:rPr>
            </w:pPr>
            <w:r>
              <w:rPr>
                <w:rFonts w:ascii="Arial" w:cs="Arial" w:eastAsia="Arial" w:hAnsi="Arial"/>
                <w:sz w:val="13"/>
                <w:szCs w:val="13"/>
                <w:color w:val="auto"/>
              </w:rPr>
              <w:t>Tuunanen Heikki [Fi] Krueger</w:t>
            </w:r>
          </w:p>
        </w:tc>
        <w:tc>
          <w:tcPr>
            <w:tcW w:w="700" w:type="dxa"/>
            <w:vAlign w:val="bottom"/>
            <w:shd w:val="clear" w:color="auto" w:fill="CCFFCC"/>
          </w:tcPr>
          <w:p>
            <w:pPr>
              <w:jc w:val="center"/>
              <w:ind w:left="77"/>
              <w:spacing w:after="0" w:line="125" w:lineRule="exact"/>
              <w:rPr>
                <w:sz w:val="20"/>
                <w:szCs w:val="20"/>
                <w:color w:val="auto"/>
              </w:rPr>
            </w:pPr>
            <w:r>
              <w:rPr>
                <w:rFonts w:ascii="Arial" w:cs="Arial" w:eastAsia="Arial" w:hAnsi="Arial"/>
                <w:sz w:val="13"/>
                <w:szCs w:val="13"/>
                <w:color w:val="auto"/>
                <w:w w:val="98"/>
              </w:rPr>
              <w:t>Not</w:t>
            </w:r>
          </w:p>
        </w:tc>
      </w:tr>
      <w:tr>
        <w:trPr>
          <w:trHeight w:val="160"/>
        </w:trPr>
        <w:tc>
          <w:tcPr>
            <w:tcW w:w="680" w:type="dxa"/>
            <w:vAlign w:val="bottom"/>
            <w:shd w:val="clear" w:color="auto" w:fill="CCFFCC"/>
          </w:tcPr>
          <w:p>
            <w:pPr>
              <w:jc w:val="center"/>
              <w:spacing w:after="0"/>
              <w:rPr>
                <w:sz w:val="20"/>
                <w:szCs w:val="20"/>
                <w:color w:val="auto"/>
              </w:rPr>
            </w:pPr>
            <w:r>
              <w:rPr>
                <w:rFonts w:ascii="Arial" w:cs="Arial" w:eastAsia="Arial" w:hAnsi="Arial"/>
                <w:sz w:val="13"/>
                <w:szCs w:val="13"/>
                <w:color w:val="auto"/>
                <w:w w:val="81"/>
              </w:rPr>
              <w:t>EP01</w:t>
            </w:r>
          </w:p>
        </w:tc>
        <w:tc>
          <w:tcPr>
            <w:tcW w:w="880" w:type="dxa"/>
            <w:vAlign w:val="bottom"/>
            <w:shd w:val="clear" w:color="auto" w:fill="CCFFCC"/>
          </w:tcPr>
          <w:p>
            <w:pPr>
              <w:jc w:val="center"/>
              <w:spacing w:after="0"/>
              <w:rPr>
                <w:sz w:val="20"/>
                <w:szCs w:val="20"/>
                <w:color w:val="auto"/>
              </w:rPr>
            </w:pPr>
            <w:r>
              <w:rPr>
                <w:rFonts w:ascii="Arial" w:cs="Arial" w:eastAsia="Arial" w:hAnsi="Arial"/>
                <w:sz w:val="13"/>
                <w:szCs w:val="13"/>
                <w:color w:val="auto"/>
                <w:w w:val="89"/>
              </w:rPr>
              <w:t>Infrastructure,</w:t>
            </w:r>
          </w:p>
        </w:tc>
        <w:tc>
          <w:tcPr>
            <w:tcW w:w="440" w:type="dxa"/>
            <w:vAlign w:val="bottom"/>
            <w:shd w:val="clear" w:color="auto" w:fill="CCFFCC"/>
          </w:tcPr>
          <w:p>
            <w:pPr>
              <w:spacing w:after="0"/>
              <w:rPr>
                <w:sz w:val="13"/>
                <w:szCs w:val="13"/>
                <w:color w:val="auto"/>
              </w:rPr>
            </w:pPr>
          </w:p>
        </w:tc>
        <w:tc>
          <w:tcPr>
            <w:tcW w:w="70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4120" w:type="dxa"/>
            <w:vAlign w:val="bottom"/>
            <w:shd w:val="clear" w:color="auto" w:fill="CCFFCC"/>
          </w:tcPr>
          <w:p>
            <w:pPr>
              <w:spacing w:after="0"/>
              <w:rPr>
                <w:sz w:val="13"/>
                <w:szCs w:val="13"/>
                <w:color w:val="auto"/>
              </w:rPr>
            </w:pPr>
          </w:p>
        </w:tc>
        <w:tc>
          <w:tcPr>
            <w:tcW w:w="2260" w:type="dxa"/>
            <w:vAlign w:val="bottom"/>
            <w:shd w:val="clear" w:color="auto" w:fill="CCFFCC"/>
          </w:tcPr>
          <w:p>
            <w:pPr>
              <w:ind w:left="520"/>
              <w:spacing w:after="0"/>
              <w:rPr>
                <w:sz w:val="20"/>
                <w:szCs w:val="20"/>
                <w:color w:val="auto"/>
              </w:rPr>
            </w:pPr>
            <w:r>
              <w:rPr>
                <w:rFonts w:ascii="Arial" w:cs="Arial" w:eastAsia="Arial" w:hAnsi="Arial"/>
                <w:sz w:val="13"/>
                <w:szCs w:val="13"/>
                <w:color w:val="auto"/>
              </w:rPr>
              <w:t>Andrei [Fi]</w:t>
            </w:r>
          </w:p>
        </w:tc>
        <w:tc>
          <w:tcPr>
            <w:tcW w:w="700" w:type="dxa"/>
            <w:vAlign w:val="bottom"/>
            <w:shd w:val="clear" w:color="auto" w:fill="CCFFCC"/>
          </w:tcPr>
          <w:p>
            <w:pPr>
              <w:jc w:val="center"/>
              <w:ind w:left="57"/>
              <w:spacing w:after="0"/>
              <w:rPr>
                <w:sz w:val="20"/>
                <w:szCs w:val="20"/>
                <w:color w:val="auto"/>
              </w:rPr>
            </w:pPr>
            <w:r>
              <w:rPr>
                <w:rFonts w:ascii="Arial" w:cs="Arial" w:eastAsia="Arial" w:hAnsi="Arial"/>
                <w:sz w:val="13"/>
                <w:szCs w:val="13"/>
                <w:color w:val="auto"/>
                <w:w w:val="88"/>
              </w:rPr>
              <w:t>Declared</w:t>
            </w:r>
          </w:p>
        </w:tc>
      </w:tr>
      <w:tr>
        <w:trPr>
          <w:trHeight w:val="73"/>
        </w:trPr>
        <w:tc>
          <w:tcPr>
            <w:tcW w:w="680" w:type="dxa"/>
            <w:vAlign w:val="bottom"/>
            <w:shd w:val="clear" w:color="auto" w:fill="CCFFCC"/>
          </w:tcPr>
          <w:p>
            <w:pPr>
              <w:spacing w:after="0"/>
              <w:rPr>
                <w:sz w:val="6"/>
                <w:szCs w:val="6"/>
                <w:color w:val="auto"/>
              </w:rPr>
            </w:pPr>
          </w:p>
        </w:tc>
        <w:tc>
          <w:tcPr>
            <w:tcW w:w="880" w:type="dxa"/>
            <w:vAlign w:val="bottom"/>
            <w:shd w:val="clear" w:color="auto" w:fill="CCFFCC"/>
          </w:tcPr>
          <w:p>
            <w:pPr>
              <w:spacing w:after="0"/>
              <w:rPr>
                <w:sz w:val="6"/>
                <w:szCs w:val="6"/>
                <w:color w:val="auto"/>
              </w:rPr>
            </w:pPr>
          </w:p>
        </w:tc>
        <w:tc>
          <w:tcPr>
            <w:tcW w:w="440" w:type="dxa"/>
            <w:vAlign w:val="bottom"/>
            <w:shd w:val="clear" w:color="auto" w:fill="CCFFCC"/>
          </w:tcPr>
          <w:p>
            <w:pPr>
              <w:spacing w:after="0"/>
              <w:rPr>
                <w:sz w:val="6"/>
                <w:szCs w:val="6"/>
                <w:color w:val="auto"/>
              </w:rPr>
            </w:pPr>
          </w:p>
        </w:tc>
        <w:tc>
          <w:tcPr>
            <w:tcW w:w="700" w:type="dxa"/>
            <w:vAlign w:val="bottom"/>
            <w:shd w:val="clear" w:color="auto" w:fill="CCFFCC"/>
          </w:tcPr>
          <w:p>
            <w:pPr>
              <w:spacing w:after="0"/>
              <w:rPr>
                <w:sz w:val="6"/>
                <w:szCs w:val="6"/>
                <w:color w:val="auto"/>
              </w:rPr>
            </w:pPr>
          </w:p>
        </w:tc>
        <w:tc>
          <w:tcPr>
            <w:tcW w:w="820" w:type="dxa"/>
            <w:vAlign w:val="bottom"/>
            <w:shd w:val="clear" w:color="auto" w:fill="CCFFCC"/>
          </w:tcPr>
          <w:p>
            <w:pPr>
              <w:spacing w:after="0"/>
              <w:rPr>
                <w:sz w:val="6"/>
                <w:szCs w:val="6"/>
                <w:color w:val="auto"/>
              </w:rPr>
            </w:pPr>
          </w:p>
        </w:tc>
        <w:tc>
          <w:tcPr>
            <w:tcW w:w="820" w:type="dxa"/>
            <w:vAlign w:val="bottom"/>
            <w:shd w:val="clear" w:color="auto" w:fill="CCFFCC"/>
          </w:tcPr>
          <w:p>
            <w:pPr>
              <w:spacing w:after="0"/>
              <w:rPr>
                <w:sz w:val="6"/>
                <w:szCs w:val="6"/>
                <w:color w:val="auto"/>
              </w:rPr>
            </w:pPr>
          </w:p>
        </w:tc>
        <w:tc>
          <w:tcPr>
            <w:tcW w:w="4120" w:type="dxa"/>
            <w:vAlign w:val="bottom"/>
            <w:shd w:val="clear" w:color="auto" w:fill="CCFFCC"/>
          </w:tcPr>
          <w:p>
            <w:pPr>
              <w:spacing w:after="0"/>
              <w:rPr>
                <w:sz w:val="6"/>
                <w:szCs w:val="6"/>
                <w:color w:val="auto"/>
              </w:rPr>
            </w:pPr>
          </w:p>
        </w:tc>
        <w:tc>
          <w:tcPr>
            <w:tcW w:w="2260" w:type="dxa"/>
            <w:vAlign w:val="bottom"/>
            <w:shd w:val="clear" w:color="auto" w:fill="CCFFCC"/>
          </w:tcPr>
          <w:p>
            <w:pPr>
              <w:spacing w:after="0"/>
              <w:rPr>
                <w:sz w:val="6"/>
                <w:szCs w:val="6"/>
                <w:color w:val="auto"/>
              </w:rPr>
            </w:pPr>
          </w:p>
        </w:tc>
        <w:tc>
          <w:tcPr>
            <w:tcW w:w="700" w:type="dxa"/>
            <w:vAlign w:val="bottom"/>
            <w:shd w:val="clear" w:color="auto" w:fill="CCFFCC"/>
          </w:tcPr>
          <w:p>
            <w:pPr>
              <w:spacing w:after="0"/>
              <w:rPr>
                <w:sz w:val="6"/>
                <w:szCs w:val="6"/>
                <w:color w:val="auto"/>
              </w:rPr>
            </w:pPr>
          </w:p>
        </w:tc>
      </w:tr>
    </w:tbl>
    <w:p>
      <w:pPr>
        <w:sectPr>
          <w:pgSz w:w="11900" w:h="16900" w:orient="portrait"/>
          <w:cols w:equalWidth="0" w:num="1">
            <w:col w:w="11420"/>
          </w:cols>
          <w:pgMar w:left="240" w:top="111" w:right="239" w:bottom="0" w:gutter="0" w:footer="0" w:header="0"/>
          <w:type w:val="continuous"/>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A14028VI-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20"/>
              <w:spacing w:after="0" w:line="123" w:lineRule="exact"/>
              <w:rPr>
                <w:sz w:val="20"/>
                <w:szCs w:val="20"/>
                <w:color w:val="auto"/>
              </w:rPr>
            </w:pPr>
            <w:r>
              <w:rPr>
                <w:rFonts w:ascii="Arial" w:cs="Arial" w:eastAsia="Arial" w:hAnsi="Arial"/>
                <w:sz w:val="13"/>
                <w:szCs w:val="13"/>
                <w:color w:val="auto"/>
                <w:w w:val="80"/>
              </w:rPr>
              <w:t>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A14028VI-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40"/>
              <w:spacing w:after="0" w:line="123" w:lineRule="exact"/>
              <w:rPr>
                <w:sz w:val="20"/>
                <w:szCs w:val="20"/>
                <w:color w:val="auto"/>
              </w:rPr>
            </w:pPr>
            <w:r>
              <w:rPr>
                <w:rFonts w:ascii="Arial" w:cs="Arial" w:eastAsia="Arial" w:hAnsi="Arial"/>
                <w:sz w:val="13"/>
                <w:szCs w:val="13"/>
                <w:color w:val="auto"/>
              </w:rPr>
              <w:t>FI</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FI01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A14028VI-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20"/>
              <w:spacing w:after="0" w:line="123" w:lineRule="exact"/>
              <w:rPr>
                <w:sz w:val="20"/>
                <w:szCs w:val="20"/>
                <w:color w:val="auto"/>
              </w:rPr>
            </w:pPr>
            <w:r>
              <w:rPr>
                <w:rFonts w:ascii="Arial" w:cs="Arial" w:eastAsia="Arial" w:hAnsi="Arial"/>
                <w:sz w:val="13"/>
                <w:szCs w:val="13"/>
                <w:color w:val="auto"/>
                <w:w w:val="80"/>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A14028VI-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00"/>
              <w:spacing w:after="0" w:line="123" w:lineRule="exact"/>
              <w:rPr>
                <w:sz w:val="20"/>
                <w:szCs w:val="20"/>
                <w:color w:val="auto"/>
              </w:rPr>
            </w:pPr>
            <w:r>
              <w:rPr>
                <w:rFonts w:ascii="Arial" w:cs="Arial" w:eastAsia="Arial" w:hAnsi="Arial"/>
                <w:sz w:val="13"/>
                <w:szCs w:val="13"/>
                <w:color w:val="auto"/>
                <w:w w:val="84"/>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A14028VI-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40"/>
              <w:spacing w:after="0" w:line="123"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A14028VI-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40"/>
              <w:spacing w:after="0" w:line="123"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A14028VI-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20"/>
              <w:spacing w:after="0" w:line="123" w:lineRule="exact"/>
              <w:rPr>
                <w:sz w:val="20"/>
                <w:szCs w:val="20"/>
                <w:color w:val="auto"/>
              </w:rPr>
            </w:pPr>
            <w:r>
              <w:rPr>
                <w:rFonts w:ascii="Arial" w:cs="Arial" w:eastAsia="Arial" w:hAnsi="Arial"/>
                <w:sz w:val="13"/>
                <w:szCs w:val="13"/>
                <w:color w:val="auto"/>
                <w:w w:val="77"/>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A14208VI-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20"/>
              <w:spacing w:after="0" w:line="123" w:lineRule="exact"/>
              <w:rPr>
                <w:sz w:val="20"/>
                <w:szCs w:val="20"/>
                <w:color w:val="auto"/>
              </w:rPr>
            </w:pPr>
            <w:r>
              <w:rPr>
                <w:rFonts w:ascii="Arial" w:cs="Arial" w:eastAsia="Arial" w:hAnsi="Arial"/>
                <w:sz w:val="13"/>
                <w:szCs w:val="13"/>
                <w:color w:val="auto"/>
                <w:w w:val="77"/>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US02</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A14268VI-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20"/>
              <w:spacing w:after="0" w:line="123" w:lineRule="exact"/>
              <w:rPr>
                <w:sz w:val="20"/>
                <w:szCs w:val="20"/>
                <w:color w:val="auto"/>
              </w:rPr>
            </w:pPr>
            <w:r>
              <w:rPr>
                <w:rFonts w:ascii="Arial" w:cs="Arial" w:eastAsia="Arial" w:hAnsi="Arial"/>
                <w:sz w:val="13"/>
                <w:szCs w:val="13"/>
                <w:color w:val="auto"/>
                <w:w w:val="80"/>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A14268VI-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20"/>
              <w:spacing w:after="0" w:line="123" w:lineRule="exact"/>
              <w:rPr>
                <w:sz w:val="20"/>
                <w:szCs w:val="20"/>
                <w:color w:val="auto"/>
              </w:rPr>
            </w:pPr>
            <w:r>
              <w:rPr>
                <w:rFonts w:ascii="Arial" w:cs="Arial" w:eastAsia="Arial" w:hAnsi="Arial"/>
                <w:sz w:val="13"/>
                <w:szCs w:val="13"/>
                <w:color w:val="auto"/>
                <w:w w:val="77"/>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A14541VI-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20"/>
              <w:spacing w:after="0" w:line="123" w:lineRule="exact"/>
              <w:rPr>
                <w:sz w:val="20"/>
                <w:szCs w:val="20"/>
                <w:color w:val="auto"/>
              </w:rPr>
            </w:pPr>
            <w:r>
              <w:rPr>
                <w:rFonts w:ascii="Arial" w:cs="Arial" w:eastAsia="Arial" w:hAnsi="Arial"/>
                <w:sz w:val="13"/>
                <w:szCs w:val="13"/>
                <w:color w:val="auto"/>
                <w:w w:val="77"/>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A14633VI-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20"/>
              <w:spacing w:after="0" w:line="123" w:lineRule="exact"/>
              <w:rPr>
                <w:sz w:val="20"/>
                <w:szCs w:val="20"/>
                <w:color w:val="auto"/>
              </w:rPr>
            </w:pPr>
            <w:r>
              <w:rPr>
                <w:rFonts w:ascii="Arial" w:cs="Arial" w:eastAsia="Arial" w:hAnsi="Arial"/>
                <w:sz w:val="13"/>
                <w:szCs w:val="13"/>
                <w:color w:val="auto"/>
                <w:w w:val="77"/>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A14670VI-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20"/>
              <w:spacing w:after="0" w:line="123" w:lineRule="exact"/>
              <w:rPr>
                <w:sz w:val="20"/>
                <w:szCs w:val="20"/>
                <w:color w:val="auto"/>
              </w:rPr>
            </w:pPr>
            <w:r>
              <w:rPr>
                <w:rFonts w:ascii="Arial" w:cs="Arial" w:eastAsia="Arial" w:hAnsi="Arial"/>
                <w:sz w:val="13"/>
                <w:szCs w:val="13"/>
                <w:color w:val="auto"/>
                <w:w w:val="80"/>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A14670VI-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20"/>
              <w:spacing w:after="0" w:line="123" w:lineRule="exact"/>
              <w:rPr>
                <w:sz w:val="20"/>
                <w:szCs w:val="20"/>
                <w:color w:val="auto"/>
              </w:rPr>
            </w:pPr>
            <w:r>
              <w:rPr>
                <w:rFonts w:ascii="Arial" w:cs="Arial" w:eastAsia="Arial" w:hAnsi="Arial"/>
                <w:sz w:val="13"/>
                <w:szCs w:val="13"/>
                <w:color w:val="auto"/>
                <w:w w:val="77"/>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A14734VI-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20"/>
              <w:spacing w:after="0" w:line="123" w:lineRule="exact"/>
              <w:rPr>
                <w:sz w:val="20"/>
                <w:szCs w:val="20"/>
                <w:color w:val="auto"/>
              </w:rPr>
            </w:pPr>
            <w:r>
              <w:rPr>
                <w:rFonts w:ascii="Arial" w:cs="Arial" w:eastAsia="Arial" w:hAnsi="Arial"/>
                <w:sz w:val="13"/>
                <w:szCs w:val="13"/>
                <w:color w:val="auto"/>
                <w:w w:val="77"/>
              </w:rPr>
              <w:t>BR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BR01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A14734VI-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00"/>
              <w:spacing w:after="0" w:line="123" w:lineRule="exact"/>
              <w:rPr>
                <w:sz w:val="20"/>
                <w:szCs w:val="20"/>
                <w:color w:val="auto"/>
              </w:rPr>
            </w:pPr>
            <w:r>
              <w:rPr>
                <w:rFonts w:ascii="Arial" w:cs="Arial" w:eastAsia="Arial" w:hAnsi="Arial"/>
                <w:sz w:val="13"/>
                <w:szCs w:val="13"/>
                <w:color w:val="auto"/>
                <w:w w:val="88"/>
              </w:rPr>
              <w:t>CA</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CA01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A14734VI-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00"/>
              <w:spacing w:after="0" w:line="123" w:lineRule="exact"/>
              <w:rPr>
                <w:sz w:val="20"/>
                <w:szCs w:val="20"/>
                <w:color w:val="auto"/>
              </w:rPr>
            </w:pPr>
            <w:r>
              <w:rPr>
                <w:rFonts w:ascii="Arial" w:cs="Arial" w:eastAsia="Arial" w:hAnsi="Arial"/>
                <w:sz w:val="13"/>
                <w:szCs w:val="13"/>
                <w:color w:val="auto"/>
                <w:w w:val="84"/>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40" w:type="dxa"/>
            <w:vAlign w:val="bottom"/>
          </w:tcPr>
          <w:p>
            <w:pPr>
              <w:jc w:val="center"/>
              <w:spacing w:after="0" w:line="145" w:lineRule="exact"/>
              <w:rPr>
                <w:sz w:val="20"/>
                <w:szCs w:val="20"/>
                <w:color w:val="auto"/>
              </w:rPr>
            </w:pPr>
            <w:r>
              <w:rPr>
                <w:rFonts w:ascii="Arial" w:cs="Arial" w:eastAsia="Arial" w:hAnsi="Arial"/>
                <w:sz w:val="13"/>
                <w:szCs w:val="13"/>
                <w:color w:val="auto"/>
                <w:w w:val="94"/>
              </w:rPr>
              <w:t>A14734VI-</w:t>
            </w:r>
          </w:p>
        </w:tc>
        <w:tc>
          <w:tcPr>
            <w:tcW w:w="880" w:type="dxa"/>
            <w:vAlign w:val="bottom"/>
          </w:tcPr>
          <w:p>
            <w:pPr>
              <w:jc w:val="center"/>
              <w:spacing w:after="0"/>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26-Oct-98</w:t>
            </w:r>
          </w:p>
        </w:tc>
        <w:tc>
          <w:tcPr>
            <w:tcW w:w="880" w:type="dxa"/>
            <w:vAlign w:val="bottom"/>
          </w:tcPr>
          <w:p>
            <w:pPr>
              <w:jc w:val="center"/>
              <w:spacing w:after="0"/>
              <w:rPr>
                <w:sz w:val="20"/>
                <w:szCs w:val="20"/>
                <w:color w:val="auto"/>
              </w:rPr>
            </w:pPr>
            <w:r>
              <w:rPr>
                <w:rFonts w:ascii="Arial" w:cs="Arial" w:eastAsia="Arial" w:hAnsi="Arial"/>
                <w:sz w:val="13"/>
                <w:szCs w:val="13"/>
                <w:color w:val="auto"/>
                <w:w w:val="85"/>
              </w:rPr>
              <w:t>ES2232966</w:t>
            </w:r>
          </w:p>
        </w:tc>
        <w:tc>
          <w:tcPr>
            <w:tcW w:w="4520" w:type="dxa"/>
            <w:vAlign w:val="bottom"/>
          </w:tcPr>
          <w:p>
            <w:pPr>
              <w:ind w:left="100"/>
              <w:spacing w:after="0"/>
              <w:rPr>
                <w:sz w:val="20"/>
                <w:szCs w:val="20"/>
                <w:color w:val="auto"/>
              </w:rPr>
            </w:pPr>
            <w:r>
              <w:rPr>
                <w:rFonts w:ascii="Arial" w:cs="Arial" w:eastAsia="Arial" w:hAnsi="Arial"/>
                <w:sz w:val="13"/>
                <w:szCs w:val="13"/>
                <w:color w:val="auto"/>
              </w:rPr>
              <w:t>Method Of Exiting Collect Information Phase In Intelligent Network</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30-Oct-97</w:t>
            </w:r>
          </w:p>
        </w:tc>
        <w:tc>
          <w:tcPr>
            <w:tcW w:w="880" w:type="dxa"/>
            <w:vAlign w:val="bottom"/>
          </w:tcPr>
          <w:p>
            <w:pPr>
              <w:jc w:val="center"/>
              <w:spacing w:after="0"/>
              <w:rPr>
                <w:sz w:val="20"/>
                <w:szCs w:val="20"/>
                <w:color w:val="auto"/>
              </w:rPr>
            </w:pPr>
            <w:r>
              <w:rPr>
                <w:rFonts w:ascii="Arial" w:cs="Arial" w:eastAsia="Arial" w:hAnsi="Arial"/>
                <w:sz w:val="13"/>
                <w:szCs w:val="13"/>
                <w:color w:val="auto"/>
                <w:w w:val="90"/>
              </w:rPr>
              <w:t>FI105981</w:t>
            </w:r>
          </w:p>
        </w:tc>
        <w:tc>
          <w:tcPr>
            <w:tcW w:w="4520" w:type="dxa"/>
            <w:vAlign w:val="bottom"/>
          </w:tcPr>
          <w:p>
            <w:pPr>
              <w:ind w:left="100"/>
              <w:spacing w:after="0"/>
              <w:rPr>
                <w:sz w:val="20"/>
                <w:szCs w:val="20"/>
                <w:color w:val="auto"/>
              </w:rPr>
            </w:pPr>
            <w:r>
              <w:rPr>
                <w:rFonts w:ascii="Arial" w:cs="Arial" w:eastAsia="Arial" w:hAnsi="Arial"/>
                <w:sz w:val="13"/>
                <w:szCs w:val="13"/>
                <w:color w:val="auto"/>
              </w:rPr>
              <w:t>Method Of Exiting Collect Information Phase In Intelligent Network</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26-Oct-98</w:t>
            </w:r>
          </w:p>
        </w:tc>
        <w:tc>
          <w:tcPr>
            <w:tcW w:w="880" w:type="dxa"/>
            <w:vAlign w:val="bottom"/>
          </w:tcPr>
          <w:p>
            <w:pPr>
              <w:jc w:val="center"/>
              <w:spacing w:after="0"/>
              <w:rPr>
                <w:sz w:val="20"/>
                <w:szCs w:val="20"/>
                <w:color w:val="auto"/>
              </w:rPr>
            </w:pPr>
            <w:r>
              <w:rPr>
                <w:rFonts w:ascii="Arial" w:cs="Arial" w:eastAsia="Arial" w:hAnsi="Arial"/>
                <w:sz w:val="13"/>
                <w:szCs w:val="13"/>
                <w:color w:val="auto"/>
                <w:w w:val="88"/>
              </w:rPr>
              <w:t>FR956714</w:t>
            </w:r>
          </w:p>
        </w:tc>
        <w:tc>
          <w:tcPr>
            <w:tcW w:w="4520" w:type="dxa"/>
            <w:vAlign w:val="bottom"/>
          </w:tcPr>
          <w:p>
            <w:pPr>
              <w:ind w:left="100"/>
              <w:spacing w:after="0"/>
              <w:rPr>
                <w:sz w:val="20"/>
                <w:szCs w:val="20"/>
                <w:color w:val="auto"/>
              </w:rPr>
            </w:pPr>
            <w:r>
              <w:rPr>
                <w:rFonts w:ascii="Arial" w:cs="Arial" w:eastAsia="Arial" w:hAnsi="Arial"/>
                <w:sz w:val="13"/>
                <w:szCs w:val="13"/>
                <w:color w:val="auto"/>
                <w:w w:val="95"/>
              </w:rPr>
              <w:t>SCP.N OHJAAMAN LISÄVALINNAN KERÄÄMISEN MONIPUOLISTAMINEN (j)</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26-Oct-98</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GB956714</w:t>
            </w:r>
          </w:p>
        </w:tc>
        <w:tc>
          <w:tcPr>
            <w:tcW w:w="4520" w:type="dxa"/>
            <w:vAlign w:val="bottom"/>
          </w:tcPr>
          <w:p>
            <w:pPr>
              <w:ind w:left="100"/>
              <w:spacing w:after="0"/>
              <w:rPr>
                <w:sz w:val="20"/>
                <w:szCs w:val="20"/>
                <w:color w:val="auto"/>
              </w:rPr>
            </w:pPr>
            <w:r>
              <w:rPr>
                <w:rFonts w:ascii="Arial" w:cs="Arial" w:eastAsia="Arial" w:hAnsi="Arial"/>
                <w:sz w:val="13"/>
                <w:szCs w:val="13"/>
                <w:color w:val="auto"/>
                <w:w w:val="95"/>
              </w:rPr>
              <w:t>SCP.N OHJAAMAN LISÄVALINNAN KERÄÄMISEN MONIPUOLISTAMINEN (j)</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26-Oct-98</w:t>
            </w:r>
          </w:p>
        </w:tc>
        <w:tc>
          <w:tcPr>
            <w:tcW w:w="880" w:type="dxa"/>
            <w:vAlign w:val="bottom"/>
          </w:tcPr>
          <w:p>
            <w:pPr>
              <w:jc w:val="center"/>
              <w:spacing w:after="0"/>
              <w:rPr>
                <w:sz w:val="20"/>
                <w:szCs w:val="20"/>
                <w:color w:val="auto"/>
              </w:rPr>
            </w:pPr>
            <w:r>
              <w:rPr>
                <w:rFonts w:ascii="Arial" w:cs="Arial" w:eastAsia="Arial" w:hAnsi="Arial"/>
                <w:sz w:val="13"/>
                <w:szCs w:val="13"/>
                <w:color w:val="auto"/>
                <w:w w:val="90"/>
              </w:rPr>
              <w:t>IT956714</w:t>
            </w:r>
          </w:p>
        </w:tc>
        <w:tc>
          <w:tcPr>
            <w:tcW w:w="4520" w:type="dxa"/>
            <w:vAlign w:val="bottom"/>
          </w:tcPr>
          <w:p>
            <w:pPr>
              <w:ind w:left="100"/>
              <w:spacing w:after="0"/>
              <w:rPr>
                <w:sz w:val="20"/>
                <w:szCs w:val="20"/>
                <w:color w:val="auto"/>
              </w:rPr>
            </w:pPr>
            <w:r>
              <w:rPr>
                <w:rFonts w:ascii="Arial" w:cs="Arial" w:eastAsia="Arial" w:hAnsi="Arial"/>
                <w:sz w:val="13"/>
                <w:szCs w:val="13"/>
                <w:color w:val="auto"/>
                <w:w w:val="95"/>
              </w:rPr>
              <w:t>SCP.N OHJAAMAN LISÄVALINNAN KERÄÄMISEN MONIPUOLISTAMINEN (j)</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26-Oct-98</w:t>
            </w:r>
          </w:p>
        </w:tc>
        <w:tc>
          <w:tcPr>
            <w:tcW w:w="880" w:type="dxa"/>
            <w:vAlign w:val="bottom"/>
          </w:tcPr>
          <w:p>
            <w:pPr>
              <w:jc w:val="center"/>
              <w:spacing w:after="0"/>
              <w:rPr>
                <w:sz w:val="20"/>
                <w:szCs w:val="20"/>
                <w:color w:val="auto"/>
              </w:rPr>
            </w:pPr>
            <w:r>
              <w:rPr>
                <w:rFonts w:ascii="Arial" w:cs="Arial" w:eastAsia="Arial" w:hAnsi="Arial"/>
                <w:sz w:val="13"/>
                <w:szCs w:val="13"/>
                <w:color w:val="auto"/>
                <w:w w:val="85"/>
              </w:rPr>
              <w:t>JP4317271</w:t>
            </w:r>
          </w:p>
        </w:tc>
        <w:tc>
          <w:tcPr>
            <w:tcW w:w="4520" w:type="dxa"/>
            <w:vAlign w:val="bottom"/>
          </w:tcPr>
          <w:p>
            <w:pPr>
              <w:ind w:left="100"/>
              <w:spacing w:after="0"/>
              <w:rPr>
                <w:sz w:val="20"/>
                <w:szCs w:val="20"/>
                <w:color w:val="auto"/>
              </w:rPr>
            </w:pPr>
            <w:r>
              <w:rPr>
                <w:rFonts w:ascii="Arial" w:cs="Arial" w:eastAsia="Arial" w:hAnsi="Arial"/>
                <w:sz w:val="13"/>
                <w:szCs w:val="13"/>
                <w:color w:val="auto"/>
              </w:rPr>
              <w:t>Method Of Exiting Collect Information Phase In Intelligent Network</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85"/>
              </w:rPr>
              <w:t>29-Jun-99</w:t>
            </w:r>
          </w:p>
        </w:tc>
        <w:tc>
          <w:tcPr>
            <w:tcW w:w="880" w:type="dxa"/>
            <w:vAlign w:val="bottom"/>
          </w:tcPr>
          <w:p>
            <w:pPr>
              <w:jc w:val="center"/>
              <w:spacing w:after="0"/>
              <w:rPr>
                <w:sz w:val="20"/>
                <w:szCs w:val="20"/>
                <w:color w:val="auto"/>
              </w:rPr>
            </w:pPr>
            <w:r>
              <w:rPr>
                <w:rFonts w:ascii="Arial" w:cs="Arial" w:eastAsia="Arial" w:hAnsi="Arial"/>
                <w:sz w:val="13"/>
                <w:szCs w:val="13"/>
                <w:color w:val="auto"/>
                <w:w w:val="87"/>
              </w:rPr>
              <w:t>US6393121</w:t>
            </w:r>
          </w:p>
        </w:tc>
        <w:tc>
          <w:tcPr>
            <w:tcW w:w="4520" w:type="dxa"/>
            <w:vAlign w:val="bottom"/>
          </w:tcPr>
          <w:p>
            <w:pPr>
              <w:ind w:left="100"/>
              <w:spacing w:after="0"/>
              <w:rPr>
                <w:sz w:val="20"/>
                <w:szCs w:val="20"/>
                <w:color w:val="auto"/>
              </w:rPr>
            </w:pPr>
            <w:r>
              <w:rPr>
                <w:rFonts w:ascii="Arial" w:cs="Arial" w:eastAsia="Arial" w:hAnsi="Arial"/>
                <w:sz w:val="13"/>
                <w:szCs w:val="13"/>
                <w:color w:val="auto"/>
              </w:rPr>
              <w:t>Method Of Exiting Collect Information Phase In Intelligent Network</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90"/>
              </w:rPr>
              <w:t>22-May-02</w:t>
            </w:r>
          </w:p>
        </w:tc>
        <w:tc>
          <w:tcPr>
            <w:tcW w:w="880" w:type="dxa"/>
            <w:vAlign w:val="bottom"/>
          </w:tcPr>
          <w:p>
            <w:pPr>
              <w:jc w:val="center"/>
              <w:spacing w:after="0"/>
              <w:rPr>
                <w:sz w:val="20"/>
                <w:szCs w:val="20"/>
                <w:color w:val="auto"/>
              </w:rPr>
            </w:pPr>
            <w:r>
              <w:rPr>
                <w:rFonts w:ascii="Arial" w:cs="Arial" w:eastAsia="Arial" w:hAnsi="Arial"/>
                <w:sz w:val="13"/>
                <w:szCs w:val="13"/>
                <w:color w:val="auto"/>
                <w:w w:val="87"/>
              </w:rPr>
              <w:t>US6980791</w:t>
            </w:r>
          </w:p>
        </w:tc>
        <w:tc>
          <w:tcPr>
            <w:tcW w:w="4520" w:type="dxa"/>
            <w:vAlign w:val="bottom"/>
          </w:tcPr>
          <w:p>
            <w:pPr>
              <w:ind w:left="100"/>
              <w:spacing w:after="0"/>
              <w:rPr>
                <w:sz w:val="20"/>
                <w:szCs w:val="20"/>
                <w:color w:val="auto"/>
              </w:rPr>
            </w:pPr>
            <w:r>
              <w:rPr>
                <w:rFonts w:ascii="Arial" w:cs="Arial" w:eastAsia="Arial" w:hAnsi="Arial"/>
                <w:sz w:val="13"/>
                <w:szCs w:val="13"/>
                <w:color w:val="auto"/>
              </w:rPr>
              <w:t>Charging Control Of Telecommunication Network Subscriber</w:t>
            </w:r>
          </w:p>
        </w:tc>
        <w:tc>
          <w:tcPr>
            <w:tcW w:w="0" w:type="dxa"/>
            <w:vAlign w:val="bottom"/>
          </w:tcPr>
          <w:p>
            <w:pPr>
              <w:spacing w:after="0"/>
              <w:rPr>
                <w:sz w:val="1"/>
                <w:szCs w:val="1"/>
                <w:color w:val="auto"/>
              </w:rPr>
            </w:pPr>
          </w:p>
        </w:tc>
      </w:tr>
      <w:tr>
        <w:trPr>
          <w:trHeight w:val="405"/>
        </w:trPr>
        <w:tc>
          <w:tcPr>
            <w:tcW w:w="560" w:type="dxa"/>
            <w:vAlign w:val="bottom"/>
          </w:tcPr>
          <w:p>
            <w:pPr>
              <w:jc w:val="center"/>
              <w:ind w:right="77"/>
              <w:spacing w:after="0"/>
              <w:rPr>
                <w:sz w:val="20"/>
                <w:szCs w:val="20"/>
                <w:color w:val="auto"/>
              </w:rPr>
            </w:pPr>
            <w:r>
              <w:rPr>
                <w:rFonts w:ascii="Arial" w:cs="Arial" w:eastAsia="Arial" w:hAnsi="Arial"/>
                <w:sz w:val="13"/>
                <w:szCs w:val="13"/>
                <w:color w:val="auto"/>
                <w:w w:val="87"/>
              </w:rPr>
              <w:t>Pending</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23-Dec-99</w:t>
            </w:r>
          </w:p>
        </w:tc>
        <w:tc>
          <w:tcPr>
            <w:tcW w:w="880" w:type="dxa"/>
            <w:vAlign w:val="bottom"/>
          </w:tcPr>
          <w:p>
            <w:pPr>
              <w:jc w:val="center"/>
              <w:spacing w:after="0"/>
              <w:rPr>
                <w:sz w:val="20"/>
                <w:szCs w:val="20"/>
                <w:color w:val="auto"/>
              </w:rPr>
            </w:pPr>
            <w:r>
              <w:rPr>
                <w:rFonts w:ascii="Arial" w:cs="Arial" w:eastAsia="Arial" w:hAnsi="Arial"/>
                <w:sz w:val="13"/>
                <w:szCs w:val="13"/>
                <w:color w:val="auto"/>
                <w:w w:val="85"/>
              </w:rPr>
              <w:t>EP1142236</w:t>
            </w:r>
          </w:p>
        </w:tc>
        <w:tc>
          <w:tcPr>
            <w:tcW w:w="4520" w:type="dxa"/>
            <w:vAlign w:val="bottom"/>
          </w:tcPr>
          <w:p>
            <w:pPr>
              <w:ind w:left="100"/>
              <w:spacing w:after="0"/>
              <w:rPr>
                <w:sz w:val="20"/>
                <w:szCs w:val="20"/>
                <w:color w:val="auto"/>
              </w:rPr>
            </w:pPr>
            <w:r>
              <w:rPr>
                <w:rFonts w:ascii="Arial" w:cs="Arial" w:eastAsia="Arial" w:hAnsi="Arial"/>
                <w:sz w:val="13"/>
                <w:szCs w:val="13"/>
                <w:color w:val="auto"/>
              </w:rPr>
              <w:t>A Data Transmission Method And A Network Element</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90"/>
              </w:rPr>
              <w:t>4-Oct-01</w:t>
            </w:r>
          </w:p>
        </w:tc>
        <w:tc>
          <w:tcPr>
            <w:tcW w:w="880" w:type="dxa"/>
            <w:vAlign w:val="bottom"/>
          </w:tcPr>
          <w:p>
            <w:pPr>
              <w:jc w:val="center"/>
              <w:spacing w:after="0"/>
              <w:rPr>
                <w:sz w:val="20"/>
                <w:szCs w:val="20"/>
                <w:color w:val="auto"/>
              </w:rPr>
            </w:pPr>
            <w:r>
              <w:rPr>
                <w:rFonts w:ascii="Arial" w:cs="Arial" w:eastAsia="Arial" w:hAnsi="Arial"/>
                <w:sz w:val="13"/>
                <w:szCs w:val="13"/>
                <w:color w:val="auto"/>
                <w:w w:val="87"/>
              </w:rPr>
              <w:t>US7792092</w:t>
            </w:r>
          </w:p>
        </w:tc>
        <w:tc>
          <w:tcPr>
            <w:tcW w:w="4520" w:type="dxa"/>
            <w:vAlign w:val="bottom"/>
          </w:tcPr>
          <w:p>
            <w:pPr>
              <w:ind w:left="100"/>
              <w:spacing w:after="0"/>
              <w:rPr>
                <w:sz w:val="20"/>
                <w:szCs w:val="20"/>
                <w:color w:val="auto"/>
              </w:rPr>
            </w:pPr>
            <w:r>
              <w:rPr>
                <w:rFonts w:ascii="Arial" w:cs="Arial" w:eastAsia="Arial" w:hAnsi="Arial"/>
                <w:sz w:val="13"/>
                <w:szCs w:val="13"/>
                <w:color w:val="auto"/>
              </w:rPr>
              <w:t>Data Transmission Method And A Network Element</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13-Jul-01</w:t>
            </w:r>
          </w:p>
        </w:tc>
        <w:tc>
          <w:tcPr>
            <w:tcW w:w="880" w:type="dxa"/>
            <w:vAlign w:val="bottom"/>
          </w:tcPr>
          <w:p>
            <w:pPr>
              <w:jc w:val="center"/>
              <w:spacing w:after="0"/>
              <w:rPr>
                <w:sz w:val="20"/>
                <w:szCs w:val="20"/>
                <w:color w:val="auto"/>
              </w:rPr>
            </w:pPr>
            <w:r>
              <w:rPr>
                <w:rFonts w:ascii="Arial" w:cs="Arial" w:eastAsia="Arial" w:hAnsi="Arial"/>
                <w:sz w:val="13"/>
                <w:szCs w:val="13"/>
                <w:color w:val="auto"/>
                <w:w w:val="87"/>
              </w:rPr>
              <w:t>US6466790</w:t>
            </w:r>
          </w:p>
        </w:tc>
        <w:tc>
          <w:tcPr>
            <w:tcW w:w="4520" w:type="dxa"/>
            <w:vAlign w:val="bottom"/>
          </w:tcPr>
          <w:p>
            <w:pPr>
              <w:ind w:left="100"/>
              <w:spacing w:after="0"/>
              <w:rPr>
                <w:sz w:val="20"/>
                <w:szCs w:val="20"/>
                <w:color w:val="auto"/>
              </w:rPr>
            </w:pPr>
            <w:r>
              <w:rPr>
                <w:rFonts w:ascii="Arial" w:cs="Arial" w:eastAsia="Arial" w:hAnsi="Arial"/>
                <w:sz w:val="13"/>
                <w:szCs w:val="13"/>
                <w:color w:val="auto"/>
              </w:rPr>
              <w:t>Cell Selection In A Radio Network</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88"/>
              </w:rPr>
              <w:t>10-Dec-01</w:t>
            </w:r>
          </w:p>
        </w:tc>
        <w:tc>
          <w:tcPr>
            <w:tcW w:w="880" w:type="dxa"/>
            <w:vAlign w:val="bottom"/>
          </w:tcPr>
          <w:p>
            <w:pPr>
              <w:jc w:val="center"/>
              <w:spacing w:after="0"/>
              <w:rPr>
                <w:sz w:val="20"/>
                <w:szCs w:val="20"/>
                <w:color w:val="auto"/>
              </w:rPr>
            </w:pPr>
            <w:r>
              <w:rPr>
                <w:rFonts w:ascii="Arial" w:cs="Arial" w:eastAsia="Arial" w:hAnsi="Arial"/>
                <w:sz w:val="13"/>
                <w:szCs w:val="13"/>
                <w:color w:val="auto"/>
                <w:w w:val="87"/>
              </w:rPr>
              <w:t>US7031318</w:t>
            </w:r>
          </w:p>
        </w:tc>
        <w:tc>
          <w:tcPr>
            <w:tcW w:w="4520" w:type="dxa"/>
            <w:vAlign w:val="bottom"/>
          </w:tcPr>
          <w:p>
            <w:pPr>
              <w:ind w:left="100"/>
              <w:spacing w:after="0"/>
              <w:rPr>
                <w:sz w:val="20"/>
                <w:szCs w:val="20"/>
                <w:color w:val="auto"/>
              </w:rPr>
            </w:pPr>
            <w:r>
              <w:rPr>
                <w:rFonts w:ascii="Arial" w:cs="Arial" w:eastAsia="Arial" w:hAnsi="Arial"/>
                <w:sz w:val="13"/>
                <w:szCs w:val="13"/>
                <w:color w:val="auto"/>
              </w:rPr>
              <w:t>Selection Of A Virtual Path Or Channel In A Communications Network</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12-Apr-99</w:t>
            </w:r>
          </w:p>
        </w:tc>
        <w:tc>
          <w:tcPr>
            <w:tcW w:w="880" w:type="dxa"/>
            <w:vAlign w:val="bottom"/>
          </w:tcPr>
          <w:p>
            <w:pPr>
              <w:jc w:val="center"/>
              <w:spacing w:after="0"/>
              <w:rPr>
                <w:sz w:val="20"/>
                <w:szCs w:val="20"/>
                <w:color w:val="auto"/>
              </w:rPr>
            </w:pPr>
            <w:r>
              <w:rPr>
                <w:rFonts w:ascii="Arial" w:cs="Arial" w:eastAsia="Arial" w:hAnsi="Arial"/>
                <w:sz w:val="13"/>
                <w:szCs w:val="13"/>
                <w:color w:val="auto"/>
                <w:w w:val="85"/>
              </w:rPr>
              <w:t>EP1169838</w:t>
            </w:r>
          </w:p>
        </w:tc>
        <w:tc>
          <w:tcPr>
            <w:tcW w:w="4520" w:type="dxa"/>
            <w:vAlign w:val="bottom"/>
          </w:tcPr>
          <w:p>
            <w:pPr>
              <w:ind w:left="100"/>
              <w:spacing w:after="0"/>
              <w:rPr>
                <w:sz w:val="20"/>
                <w:szCs w:val="20"/>
                <w:color w:val="auto"/>
              </w:rPr>
            </w:pPr>
            <w:r>
              <w:rPr>
                <w:rFonts w:ascii="Arial" w:cs="Arial" w:eastAsia="Arial" w:hAnsi="Arial"/>
                <w:sz w:val="13"/>
                <w:szCs w:val="13"/>
                <w:color w:val="auto"/>
              </w:rPr>
              <w:t>Packet Length Classification</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90"/>
              </w:rPr>
              <w:t>3-Oct-01</w:t>
            </w:r>
          </w:p>
        </w:tc>
        <w:tc>
          <w:tcPr>
            <w:tcW w:w="880" w:type="dxa"/>
            <w:vAlign w:val="bottom"/>
          </w:tcPr>
          <w:p>
            <w:pPr>
              <w:jc w:val="center"/>
              <w:spacing w:after="0"/>
              <w:rPr>
                <w:sz w:val="20"/>
                <w:szCs w:val="20"/>
                <w:color w:val="auto"/>
              </w:rPr>
            </w:pPr>
            <w:r>
              <w:rPr>
                <w:rFonts w:ascii="Arial" w:cs="Arial" w:eastAsia="Arial" w:hAnsi="Arial"/>
                <w:sz w:val="13"/>
                <w:szCs w:val="13"/>
                <w:color w:val="auto"/>
                <w:w w:val="87"/>
              </w:rPr>
              <w:t>US7050403</w:t>
            </w:r>
          </w:p>
        </w:tc>
        <w:tc>
          <w:tcPr>
            <w:tcW w:w="4520" w:type="dxa"/>
            <w:vAlign w:val="bottom"/>
          </w:tcPr>
          <w:p>
            <w:pPr>
              <w:ind w:left="100"/>
              <w:spacing w:after="0"/>
              <w:rPr>
                <w:sz w:val="20"/>
                <w:szCs w:val="20"/>
                <w:color w:val="auto"/>
              </w:rPr>
            </w:pPr>
            <w:r>
              <w:rPr>
                <w:rFonts w:ascii="Arial" w:cs="Arial" w:eastAsia="Arial" w:hAnsi="Arial"/>
                <w:sz w:val="13"/>
                <w:szCs w:val="13"/>
                <w:color w:val="auto"/>
              </w:rPr>
              <w:t>Packet Length Classification</w:t>
            </w: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520" w:type="dxa"/>
            <w:vAlign w:val="bottom"/>
          </w:tcPr>
          <w:p>
            <w:pPr>
              <w:ind w:left="100"/>
              <w:spacing w:after="0"/>
              <w:rPr>
                <w:sz w:val="20"/>
                <w:szCs w:val="20"/>
                <w:color w:val="auto"/>
              </w:rPr>
            </w:pPr>
            <w:r>
              <w:rPr>
                <w:rFonts w:ascii="Arial" w:cs="Arial" w:eastAsia="Arial" w:hAnsi="Arial"/>
                <w:sz w:val="13"/>
                <w:szCs w:val="13"/>
                <w:color w:val="auto"/>
                <w:w w:val="99"/>
              </w:rPr>
              <w:t>Processo De Transmissão Para A Transmissão De Dados Em Uma Rede De</w:t>
            </w:r>
          </w:p>
        </w:tc>
        <w:tc>
          <w:tcPr>
            <w:tcW w:w="0" w:type="dxa"/>
            <w:vAlign w:val="bottom"/>
          </w:tcPr>
          <w:p>
            <w:pPr>
              <w:spacing w:after="0"/>
              <w:rPr>
                <w:sz w:val="1"/>
                <w:szCs w:val="1"/>
                <w:color w:val="auto"/>
              </w:rPr>
            </w:pPr>
          </w:p>
        </w:tc>
      </w:tr>
      <w:tr>
        <w:trPr>
          <w:trHeight w:val="135"/>
        </w:trPr>
        <w:tc>
          <w:tcPr>
            <w:tcW w:w="5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Pending</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0"/>
              </w:rPr>
              <w:t>31-May-99</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6"/>
              </w:rPr>
              <w:t>9917334</w:t>
            </w:r>
          </w:p>
        </w:tc>
        <w:tc>
          <w:tcPr>
            <w:tcW w:w="4520" w:type="dxa"/>
            <w:vAlign w:val="bottom"/>
          </w:tcPr>
          <w:p>
            <w:pPr>
              <w:ind w:left="100"/>
              <w:spacing w:after="0" w:line="135" w:lineRule="exact"/>
              <w:rPr>
                <w:sz w:val="20"/>
                <w:szCs w:val="20"/>
                <w:color w:val="auto"/>
              </w:rPr>
            </w:pPr>
            <w:r>
              <w:rPr>
                <w:rFonts w:ascii="Arial" w:cs="Arial" w:eastAsia="Arial" w:hAnsi="Arial"/>
                <w:sz w:val="13"/>
                <w:szCs w:val="13"/>
                <w:color w:val="auto"/>
              </w:rPr>
              <w:t>Telecomunicação,</w:t>
            </w: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520" w:type="dxa"/>
            <w:vAlign w:val="bottom"/>
          </w:tcPr>
          <w:p>
            <w:pPr>
              <w:ind w:left="100"/>
              <w:spacing w:after="0"/>
              <w:rPr>
                <w:sz w:val="20"/>
                <w:szCs w:val="20"/>
                <w:color w:val="auto"/>
              </w:rPr>
            </w:pPr>
            <w:r>
              <w:rPr>
                <w:rFonts w:ascii="Arial" w:cs="Arial" w:eastAsia="Arial" w:hAnsi="Arial"/>
                <w:sz w:val="13"/>
                <w:szCs w:val="13"/>
                <w:color w:val="auto"/>
                <w:w w:val="87"/>
              </w:rPr>
              <w:t>Rede De Telecomunicação, E, Elemento De Rede Em Uma Rede De Telecomunicação</w:t>
            </w:r>
          </w:p>
        </w:tc>
        <w:tc>
          <w:tcPr>
            <w:tcW w:w="0" w:type="dxa"/>
            <w:vAlign w:val="bottom"/>
          </w:tcPr>
          <w:p>
            <w:pPr>
              <w:spacing w:after="0"/>
              <w:rPr>
                <w:sz w:val="1"/>
                <w:szCs w:val="1"/>
                <w:color w:val="auto"/>
              </w:rPr>
            </w:pPr>
          </w:p>
        </w:tc>
      </w:tr>
      <w:tr>
        <w:trPr>
          <w:trHeight w:val="270"/>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90"/>
              </w:rPr>
              <w:t>31-May-99</w:t>
            </w:r>
          </w:p>
        </w:tc>
        <w:tc>
          <w:tcPr>
            <w:tcW w:w="880" w:type="dxa"/>
            <w:vAlign w:val="bottom"/>
          </w:tcPr>
          <w:p>
            <w:pPr>
              <w:jc w:val="center"/>
              <w:spacing w:after="0"/>
              <w:rPr>
                <w:sz w:val="20"/>
                <w:szCs w:val="20"/>
                <w:color w:val="auto"/>
              </w:rPr>
            </w:pPr>
            <w:r>
              <w:rPr>
                <w:rFonts w:ascii="Arial" w:cs="Arial" w:eastAsia="Arial" w:hAnsi="Arial"/>
                <w:sz w:val="13"/>
                <w:szCs w:val="13"/>
                <w:color w:val="auto"/>
                <w:w w:val="86"/>
              </w:rPr>
              <w:t>2374847</w:t>
            </w:r>
          </w:p>
        </w:tc>
        <w:tc>
          <w:tcPr>
            <w:tcW w:w="4520" w:type="dxa"/>
            <w:vAlign w:val="bottom"/>
          </w:tcPr>
          <w:p>
            <w:pPr>
              <w:ind w:left="100"/>
              <w:spacing w:after="0"/>
              <w:rPr>
                <w:sz w:val="20"/>
                <w:szCs w:val="20"/>
                <w:color w:val="auto"/>
              </w:rPr>
            </w:pPr>
            <w:r>
              <w:rPr>
                <w:rFonts w:ascii="Arial" w:cs="Arial" w:eastAsia="Arial" w:hAnsi="Arial"/>
                <w:sz w:val="13"/>
                <w:szCs w:val="13"/>
                <w:color w:val="auto"/>
              </w:rPr>
              <w:t>Transmission And Interconnection Method</w:t>
            </w:r>
          </w:p>
        </w:tc>
        <w:tc>
          <w:tcPr>
            <w:tcW w:w="0" w:type="dxa"/>
            <w:vAlign w:val="bottom"/>
          </w:tcPr>
          <w:p>
            <w:pPr>
              <w:spacing w:after="0"/>
              <w:rPr>
                <w:sz w:val="1"/>
                <w:szCs w:val="1"/>
                <w:color w:val="auto"/>
              </w:rPr>
            </w:pPr>
          </w:p>
        </w:tc>
      </w:tr>
      <w:tr>
        <w:trPr>
          <w:trHeight w:val="312"/>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0"/>
              </w:rPr>
              <w:t>31-May-99</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8"/>
              </w:rPr>
              <w:t>CN1144487C</w:t>
            </w:r>
          </w:p>
        </w:tc>
        <w:tc>
          <w:tcPr>
            <w:tcW w:w="4520" w:type="dxa"/>
            <w:vAlign w:val="bottom"/>
          </w:tcPr>
          <w:p>
            <w:pPr>
              <w:ind w:left="100"/>
              <w:spacing w:after="0"/>
              <w:rPr>
                <w:sz w:val="20"/>
                <w:szCs w:val="20"/>
                <w:color w:val="auto"/>
              </w:rPr>
            </w:pPr>
            <w:r>
              <w:rPr>
                <w:rFonts w:ascii="Arial" w:cs="Arial" w:eastAsia="Arial" w:hAnsi="Arial"/>
                <w:sz w:val="13"/>
                <w:szCs w:val="13"/>
                <w:color w:val="auto"/>
                <w:w w:val="95"/>
              </w:rPr>
              <w:t>Communication Network And Method For Data Transmission In Communication</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520" w:type="dxa"/>
            <w:vAlign w:val="bottom"/>
            <w:vMerge w:val="restart"/>
          </w:tcPr>
          <w:p>
            <w:pPr>
              <w:ind w:left="100"/>
              <w:spacing w:after="0"/>
              <w:rPr>
                <w:sz w:val="20"/>
                <w:szCs w:val="20"/>
                <w:color w:val="auto"/>
              </w:rPr>
            </w:pPr>
            <w:r>
              <w:rPr>
                <w:rFonts w:ascii="Arial" w:cs="Arial" w:eastAsia="Arial" w:hAnsi="Arial"/>
                <w:sz w:val="13"/>
                <w:szCs w:val="13"/>
                <w:color w:val="auto"/>
              </w:rPr>
              <w:t>Network</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-4422775</wp:posOffset>
            </wp:positionV>
            <wp:extent cx="724662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-4079875</wp:posOffset>
            </wp:positionV>
            <wp:extent cx="7246620" cy="257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-3565525</wp:posOffset>
            </wp:positionV>
            <wp:extent cx="7246620" cy="2571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-3050540</wp:posOffset>
            </wp:positionV>
            <wp:extent cx="7246620" cy="257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-2536190</wp:posOffset>
            </wp:positionV>
            <wp:extent cx="7246620" cy="2571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-2021840</wp:posOffset>
            </wp:positionV>
            <wp:extent cx="7246620" cy="2571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-1506855</wp:posOffset>
            </wp:positionV>
            <wp:extent cx="7246620" cy="2571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-992505</wp:posOffset>
            </wp:positionV>
            <wp:extent cx="7246620" cy="2571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-478155</wp:posOffset>
            </wp:positionV>
            <wp:extent cx="7246620" cy="2571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36195</wp:posOffset>
            </wp:positionV>
            <wp:extent cx="7246620" cy="2571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20"/>
                <w:szCs w:val="20"/>
                <w:color w:val="auto"/>
              </w:rPr>
            </w:pPr>
            <w:r>
              <w:rPr>
                <w:rFonts w:ascii="Arial" w:cs="Arial" w:eastAsia="Arial" w:hAnsi="Arial"/>
                <w:sz w:val="13"/>
                <w:szCs w:val="13"/>
                <w:color w:val="auto"/>
              </w:rPr>
              <w:t>Tuunanen Heikki [Fi] Krueger</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60" w:type="dxa"/>
            <w:vAlign w:val="bottom"/>
            <w:vMerge w:val="restart"/>
          </w:tcPr>
          <w:p>
            <w:pPr>
              <w:spacing w:after="0"/>
              <w:rPr>
                <w:sz w:val="20"/>
                <w:szCs w:val="20"/>
                <w:color w:val="auto"/>
              </w:rPr>
            </w:pPr>
            <w:r>
              <w:rPr>
                <w:rFonts w:ascii="Arial" w:cs="Arial" w:eastAsia="Arial" w:hAnsi="Arial"/>
                <w:sz w:val="13"/>
                <w:szCs w:val="13"/>
                <w:color w:val="auto"/>
              </w:rPr>
              <w:t>Andrei [Fi]</w:t>
            </w: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color w:val="auto"/>
              </w:rPr>
              <w:t>Tuunanen Heikki [Fi] Krueger</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60" w:type="dxa"/>
            <w:vAlign w:val="bottom"/>
            <w:vMerge w:val="restart"/>
          </w:tcPr>
          <w:p>
            <w:pPr>
              <w:spacing w:after="0"/>
              <w:rPr>
                <w:sz w:val="20"/>
                <w:szCs w:val="20"/>
                <w:color w:val="auto"/>
              </w:rPr>
            </w:pPr>
            <w:r>
              <w:rPr>
                <w:rFonts w:ascii="Arial" w:cs="Arial" w:eastAsia="Arial" w:hAnsi="Arial"/>
                <w:sz w:val="13"/>
                <w:szCs w:val="13"/>
                <w:color w:val="auto"/>
              </w:rPr>
              <w:t>Andrei [Fi]</w:t>
            </w: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color w:val="auto"/>
              </w:rPr>
              <w:t>Tuunanen Heikki [Fi] Krueger</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60" w:type="dxa"/>
            <w:vAlign w:val="bottom"/>
            <w:vMerge w:val="restart"/>
          </w:tcPr>
          <w:p>
            <w:pPr>
              <w:spacing w:after="0"/>
              <w:rPr>
                <w:sz w:val="20"/>
                <w:szCs w:val="20"/>
                <w:color w:val="auto"/>
              </w:rPr>
            </w:pPr>
            <w:r>
              <w:rPr>
                <w:rFonts w:ascii="Arial" w:cs="Arial" w:eastAsia="Arial" w:hAnsi="Arial"/>
                <w:sz w:val="13"/>
                <w:szCs w:val="13"/>
                <w:color w:val="auto"/>
              </w:rPr>
              <w:t>Andrei [Fi]</w:t>
            </w: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color w:val="auto"/>
              </w:rPr>
              <w:t>Tuunanen Heikki [Fi] Krueger</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60" w:type="dxa"/>
            <w:vAlign w:val="bottom"/>
            <w:vMerge w:val="restart"/>
          </w:tcPr>
          <w:p>
            <w:pPr>
              <w:spacing w:after="0"/>
              <w:rPr>
                <w:sz w:val="20"/>
                <w:szCs w:val="20"/>
                <w:color w:val="auto"/>
              </w:rPr>
            </w:pPr>
            <w:r>
              <w:rPr>
                <w:rFonts w:ascii="Arial" w:cs="Arial" w:eastAsia="Arial" w:hAnsi="Arial"/>
                <w:sz w:val="13"/>
                <w:szCs w:val="13"/>
                <w:color w:val="auto"/>
              </w:rPr>
              <w:t>Andrei [Fi]</w:t>
            </w: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color w:val="auto"/>
              </w:rPr>
              <w:t>Tuunanen Heikki [Fi] Krueger</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60" w:type="dxa"/>
            <w:vAlign w:val="bottom"/>
            <w:vMerge w:val="restart"/>
          </w:tcPr>
          <w:p>
            <w:pPr>
              <w:spacing w:after="0"/>
              <w:rPr>
                <w:sz w:val="20"/>
                <w:szCs w:val="20"/>
                <w:color w:val="auto"/>
              </w:rPr>
            </w:pPr>
            <w:r>
              <w:rPr>
                <w:rFonts w:ascii="Arial" w:cs="Arial" w:eastAsia="Arial" w:hAnsi="Arial"/>
                <w:sz w:val="13"/>
                <w:szCs w:val="13"/>
                <w:color w:val="auto"/>
              </w:rPr>
              <w:t>Andrei [Fi]</w:t>
            </w: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color w:val="auto"/>
              </w:rPr>
              <w:t>Tuunanen Heikki [Fi] Krueger</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60" w:type="dxa"/>
            <w:vAlign w:val="bottom"/>
            <w:vMerge w:val="restart"/>
          </w:tcPr>
          <w:p>
            <w:pPr>
              <w:spacing w:after="0"/>
              <w:rPr>
                <w:sz w:val="20"/>
                <w:szCs w:val="20"/>
                <w:color w:val="auto"/>
              </w:rPr>
            </w:pPr>
            <w:r>
              <w:rPr>
                <w:rFonts w:ascii="Arial" w:cs="Arial" w:eastAsia="Arial" w:hAnsi="Arial"/>
                <w:sz w:val="13"/>
                <w:szCs w:val="13"/>
                <w:color w:val="auto"/>
              </w:rPr>
              <w:t>Andrei [Fi]</w:t>
            </w: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color w:val="auto"/>
              </w:rPr>
              <w:t>Tuunanen Heikki [Fi] Krueger</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60" w:type="dxa"/>
            <w:vAlign w:val="bottom"/>
            <w:vMerge w:val="restart"/>
          </w:tcPr>
          <w:p>
            <w:pPr>
              <w:spacing w:after="0"/>
              <w:rPr>
                <w:sz w:val="20"/>
                <w:szCs w:val="20"/>
                <w:color w:val="auto"/>
              </w:rPr>
            </w:pPr>
            <w:r>
              <w:rPr>
                <w:rFonts w:ascii="Arial" w:cs="Arial" w:eastAsia="Arial" w:hAnsi="Arial"/>
                <w:sz w:val="13"/>
                <w:szCs w:val="13"/>
                <w:color w:val="auto"/>
              </w:rPr>
              <w:t>Andrei [Fi]</w:t>
            </w: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color w:val="auto"/>
              </w:rPr>
              <w:t>Wallenius Jukka [Fi] Ojala Erkki</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3"/>
                <w:szCs w:val="13"/>
                <w:color w:val="auto"/>
              </w:rPr>
              <w:t>[Fi]</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color w:val="auto"/>
              </w:rPr>
              <w:t>Olkkonen Mikko [Fi] Sengodan</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3"/>
                <w:szCs w:val="13"/>
                <w:color w:val="auto"/>
              </w:rPr>
              <w:t>Senthil [Us] (+3)</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60" w:type="dxa"/>
            <w:vAlign w:val="bottom"/>
          </w:tcPr>
          <w:p>
            <w:pPr>
              <w:spacing w:after="0"/>
              <w:rPr>
                <w:sz w:val="20"/>
                <w:szCs w:val="20"/>
                <w:color w:val="auto"/>
              </w:rPr>
            </w:pPr>
            <w:r>
              <w:rPr>
                <w:rFonts w:ascii="Arial" w:cs="Arial" w:eastAsia="Arial" w:hAnsi="Arial"/>
                <w:sz w:val="13"/>
                <w:szCs w:val="13"/>
                <w:color w:val="auto"/>
              </w:rPr>
              <w:t>Olkkonen Mikko [Fi] Sengodan</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3"/>
                <w:szCs w:val="13"/>
                <w:color w:val="auto"/>
              </w:rPr>
              <w:t>Senthil [Us] (+3)</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60" w:type="dxa"/>
            <w:vAlign w:val="bottom"/>
            <w:vMerge w:val="restart"/>
          </w:tcPr>
          <w:p>
            <w:pPr>
              <w:spacing w:after="0"/>
              <w:rPr>
                <w:sz w:val="20"/>
                <w:szCs w:val="20"/>
                <w:color w:val="auto"/>
              </w:rPr>
            </w:pPr>
            <w:r>
              <w:rPr>
                <w:rFonts w:ascii="Arial" w:cs="Arial" w:eastAsia="Arial" w:hAnsi="Arial"/>
                <w:sz w:val="13"/>
                <w:szCs w:val="13"/>
                <w:color w:val="auto"/>
                <w:w w:val="91"/>
              </w:rPr>
              <w:t>Haumont Serge Muhonen Ahti (+1)</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60" w:type="dxa"/>
            <w:vAlign w:val="bottom"/>
            <w:vMerge w:val="continue"/>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60" w:type="dxa"/>
            <w:vAlign w:val="bottom"/>
            <w:vMerge w:val="restart"/>
          </w:tcPr>
          <w:p>
            <w:pPr>
              <w:spacing w:after="0"/>
              <w:rPr>
                <w:sz w:val="20"/>
                <w:szCs w:val="20"/>
                <w:color w:val="auto"/>
              </w:rPr>
            </w:pPr>
            <w:r>
              <w:rPr>
                <w:rFonts w:ascii="Arial" w:cs="Arial" w:eastAsia="Arial" w:hAnsi="Arial"/>
                <w:sz w:val="13"/>
                <w:szCs w:val="13"/>
                <w:color w:val="auto"/>
              </w:rPr>
              <w:t>Kinnunen Matti</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60" w:type="dxa"/>
            <w:vAlign w:val="bottom"/>
            <w:vMerge w:val="continue"/>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60" w:type="dxa"/>
            <w:vAlign w:val="bottom"/>
            <w:vMerge w:val="restart"/>
          </w:tcPr>
          <w:p>
            <w:pPr>
              <w:spacing w:after="0"/>
              <w:rPr>
                <w:sz w:val="20"/>
                <w:szCs w:val="20"/>
                <w:color w:val="auto"/>
              </w:rPr>
            </w:pPr>
            <w:r>
              <w:rPr>
                <w:rFonts w:ascii="Arial" w:cs="Arial" w:eastAsia="Arial" w:hAnsi="Arial"/>
                <w:sz w:val="13"/>
                <w:szCs w:val="13"/>
                <w:color w:val="auto"/>
              </w:rPr>
              <w:t>Mononen Risto</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60" w:type="dxa"/>
            <w:vAlign w:val="bottom"/>
            <w:vMerge w:val="continue"/>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60" w:type="dxa"/>
            <w:vAlign w:val="bottom"/>
            <w:vMerge w:val="restart"/>
          </w:tcPr>
          <w:p>
            <w:pPr>
              <w:spacing w:after="0"/>
              <w:rPr>
                <w:sz w:val="20"/>
                <w:szCs w:val="20"/>
                <w:color w:val="auto"/>
              </w:rPr>
            </w:pPr>
            <w:r>
              <w:rPr>
                <w:rFonts w:ascii="Arial" w:cs="Arial" w:eastAsia="Arial" w:hAnsi="Arial"/>
                <w:sz w:val="13"/>
                <w:szCs w:val="13"/>
                <w:color w:val="auto"/>
              </w:rPr>
              <w:t>Mononen Risto</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60" w:type="dxa"/>
            <w:vAlign w:val="bottom"/>
            <w:vMerge w:val="continue"/>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860" w:type="dxa"/>
            <w:vAlign w:val="bottom"/>
          </w:tcPr>
          <w:p>
            <w:pPr>
              <w:spacing w:after="0"/>
              <w:rPr>
                <w:sz w:val="20"/>
                <w:szCs w:val="20"/>
                <w:color w:val="auto"/>
              </w:rPr>
            </w:pPr>
            <w:r>
              <w:rPr>
                <w:rFonts w:ascii="Arial" w:cs="Arial" w:eastAsia="Arial" w:hAnsi="Arial"/>
                <w:sz w:val="13"/>
                <w:szCs w:val="13"/>
                <w:color w:val="auto"/>
              </w:rPr>
              <w:t>Suvanen Jyri</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60" w:type="dxa"/>
            <w:vAlign w:val="bottom"/>
          </w:tcPr>
          <w:p>
            <w:pPr>
              <w:spacing w:after="0"/>
              <w:rPr>
                <w:sz w:val="20"/>
                <w:szCs w:val="20"/>
                <w:color w:val="auto"/>
              </w:rPr>
            </w:pPr>
            <w:r>
              <w:rPr>
                <w:rFonts w:ascii="Arial" w:cs="Arial" w:eastAsia="Arial" w:hAnsi="Arial"/>
                <w:sz w:val="13"/>
                <w:szCs w:val="13"/>
                <w:color w:val="auto"/>
              </w:rPr>
              <w:t>Suvanen Jyri</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60" w:type="dxa"/>
            <w:vAlign w:val="bottom"/>
          </w:tcPr>
          <w:p>
            <w:pPr>
              <w:spacing w:after="0"/>
              <w:rPr>
                <w:sz w:val="20"/>
                <w:szCs w:val="20"/>
                <w:color w:val="auto"/>
              </w:rPr>
            </w:pPr>
            <w:r>
              <w:rPr>
                <w:rFonts w:ascii="Arial" w:cs="Arial" w:eastAsia="Arial" w:hAnsi="Arial"/>
                <w:sz w:val="13"/>
                <w:szCs w:val="13"/>
                <w:color w:val="auto"/>
              </w:rPr>
              <w:t>Suvanen Jyri</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bl>
    <w:p>
      <w:pPr>
        <w:spacing w:after="0" w:line="271" w:lineRule="exact"/>
        <w:rPr>
          <w:sz w:val="20"/>
          <w:szCs w:val="20"/>
          <w:color w:val="auto"/>
        </w:rPr>
      </w:pPr>
    </w:p>
    <w:p>
      <w:pPr>
        <w:sectPr>
          <w:pgSz w:w="11900" w:h="16838" w:orient="portrait"/>
          <w:cols w:equalWidth="0" w:num="3">
            <w:col w:w="1800" w:space="300"/>
            <w:col w:w="6760" w:space="80"/>
            <w:col w:w="2380"/>
          </w:cols>
          <w:pgMar w:left="280" w:top="111" w:right="299" w:bottom="0" w:gutter="0" w:footer="0" w:header="0"/>
        </w:sectPr>
      </w:pPr>
    </w:p>
    <w:tbl>
      <w:tblPr>
        <w:tblLayout w:type="fixed"/>
        <w:tblInd w:w="0" w:type="dxa"/>
        <w:tblCellMar>
          <w:top w:w="0" w:type="dxa"/>
          <w:left w:w="0" w:type="dxa"/>
          <w:bottom w:w="0" w:type="dxa"/>
          <w:right w:w="0" w:type="dxa"/>
        </w:tblCellMar>
      </w:tblPr>
      <w:tr>
        <w:trPr>
          <w:trHeight w:val="12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25"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5"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A14734VI-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KR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KR01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A14734VI-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A14777VI-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A14777VI-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A14777VI-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A14777VI-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A14777VI-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A14786VI-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A14786VI-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A14786VI-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A14926VI-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CA</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CA01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A14926VI-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A14926VI-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A15038VI-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BR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BR01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A15038VI-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CA</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CA01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A15038VI-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A15038VI-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A15038VI-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A15038VI-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A15038VI-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A15038VI-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A15038VI-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KR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KR01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40" w:type="dxa"/>
            <w:vAlign w:val="bottom"/>
          </w:tcPr>
          <w:p>
            <w:pPr>
              <w:jc w:val="center"/>
              <w:spacing w:after="0"/>
              <w:rPr>
                <w:sz w:val="20"/>
                <w:szCs w:val="20"/>
                <w:color w:val="auto"/>
              </w:rPr>
            </w:pPr>
            <w:r>
              <w:rPr>
                <w:rFonts w:ascii="Arial" w:cs="Arial" w:eastAsia="Arial" w:hAnsi="Arial"/>
                <w:sz w:val="13"/>
                <w:szCs w:val="13"/>
                <w:color w:val="auto"/>
                <w:w w:val="94"/>
              </w:rPr>
              <w:t>A15038VI-</w:t>
            </w:r>
          </w:p>
        </w:tc>
        <w:tc>
          <w:tcPr>
            <w:tcW w:w="880" w:type="dxa"/>
            <w:vAlign w:val="bottom"/>
          </w:tcPr>
          <w:p>
            <w:pPr>
              <w:jc w:val="center"/>
              <w:spacing w:after="0"/>
              <w:rPr>
                <w:sz w:val="20"/>
                <w:szCs w:val="20"/>
                <w:color w:val="auto"/>
              </w:rPr>
            </w:pPr>
            <w:r>
              <w:rPr>
                <w:rFonts w:ascii="Arial" w:cs="Arial" w:eastAsia="Arial" w:hAnsi="Arial"/>
                <w:sz w:val="13"/>
                <w:szCs w:val="13"/>
                <w:color w:val="auto"/>
                <w:w w:val="90"/>
              </w:rPr>
              <w:t>Vringo</w:t>
            </w:r>
          </w:p>
        </w:tc>
        <w:tc>
          <w:tcPr>
            <w:tcW w:w="280" w:type="dxa"/>
            <w:vAlign w:val="bottom"/>
          </w:tcPr>
          <w:p>
            <w:pPr>
              <w:jc w:val="center"/>
              <w:ind w:left="57"/>
              <w:spacing w:after="0"/>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90"/>
              </w:rPr>
              <w:t>31-May-99</w:t>
            </w:r>
          </w:p>
        </w:tc>
        <w:tc>
          <w:tcPr>
            <w:tcW w:w="960" w:type="dxa"/>
            <w:vAlign w:val="bottom"/>
          </w:tcPr>
          <w:p>
            <w:pPr>
              <w:jc w:val="center"/>
              <w:spacing w:after="0"/>
              <w:rPr>
                <w:sz w:val="20"/>
                <w:szCs w:val="20"/>
                <w:color w:val="auto"/>
              </w:rPr>
            </w:pPr>
            <w:r>
              <w:rPr>
                <w:rFonts w:ascii="Arial" w:cs="Arial" w:eastAsia="Arial" w:hAnsi="Arial"/>
                <w:sz w:val="13"/>
                <w:szCs w:val="13"/>
                <w:color w:val="auto"/>
                <w:w w:val="85"/>
              </w:rPr>
              <w:t>JP3782348</w:t>
            </w:r>
          </w:p>
        </w:tc>
        <w:tc>
          <w:tcPr>
            <w:tcW w:w="4380" w:type="dxa"/>
            <w:vAlign w:val="bottom"/>
          </w:tcPr>
          <w:p>
            <w:pPr>
              <w:ind w:left="60"/>
              <w:spacing w:after="0"/>
              <w:rPr>
                <w:sz w:val="20"/>
                <w:szCs w:val="20"/>
                <w:color w:val="auto"/>
              </w:rPr>
            </w:pPr>
            <w:r>
              <w:rPr>
                <w:rFonts w:ascii="Arial" w:cs="Arial" w:eastAsia="Arial" w:hAnsi="Arial"/>
                <w:sz w:val="13"/>
                <w:szCs w:val="13"/>
                <w:color w:val="auto"/>
              </w:rPr>
              <w:t>Transmission And Interconnection Method</w:t>
            </w:r>
          </w:p>
        </w:tc>
        <w:tc>
          <w:tcPr>
            <w:tcW w:w="2040" w:type="dxa"/>
            <w:vAlign w:val="bottom"/>
          </w:tcPr>
          <w:p>
            <w:pPr>
              <w:ind w:left="180"/>
              <w:spacing w:after="0"/>
              <w:rPr>
                <w:sz w:val="20"/>
                <w:szCs w:val="20"/>
                <w:color w:val="auto"/>
              </w:rPr>
            </w:pPr>
            <w:r>
              <w:rPr>
                <w:rFonts w:ascii="Arial" w:cs="Arial" w:eastAsia="Arial" w:hAnsi="Arial"/>
                <w:sz w:val="13"/>
                <w:szCs w:val="13"/>
                <w:color w:val="auto"/>
              </w:rPr>
              <w:t>Suvanen Jyri</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80"/>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90"/>
              </w:rPr>
              <w:t>31-May-99</w:t>
            </w:r>
          </w:p>
        </w:tc>
        <w:tc>
          <w:tcPr>
            <w:tcW w:w="960" w:type="dxa"/>
            <w:vAlign w:val="bottom"/>
          </w:tcPr>
          <w:p>
            <w:pPr>
              <w:jc w:val="center"/>
              <w:spacing w:after="0"/>
              <w:rPr>
                <w:sz w:val="20"/>
                <w:szCs w:val="20"/>
                <w:color w:val="auto"/>
              </w:rPr>
            </w:pPr>
            <w:r>
              <w:rPr>
                <w:rFonts w:ascii="Arial" w:cs="Arial" w:eastAsia="Arial" w:hAnsi="Arial"/>
                <w:sz w:val="13"/>
                <w:szCs w:val="13"/>
                <w:color w:val="auto"/>
                <w:w w:val="87"/>
              </w:rPr>
              <w:t>KR700080</w:t>
            </w:r>
          </w:p>
        </w:tc>
        <w:tc>
          <w:tcPr>
            <w:tcW w:w="4380" w:type="dxa"/>
            <w:vAlign w:val="bottom"/>
          </w:tcPr>
          <w:p>
            <w:pPr>
              <w:ind w:left="60"/>
              <w:spacing w:after="0"/>
              <w:rPr>
                <w:sz w:val="20"/>
                <w:szCs w:val="20"/>
                <w:color w:val="auto"/>
              </w:rPr>
            </w:pPr>
            <w:r>
              <w:rPr>
                <w:rFonts w:ascii="Arial" w:cs="Arial" w:eastAsia="Arial" w:hAnsi="Arial"/>
                <w:sz w:val="13"/>
                <w:szCs w:val="13"/>
                <w:color w:val="auto"/>
              </w:rPr>
              <w:t>Transmission And Interconnection Method</w:t>
            </w:r>
          </w:p>
        </w:tc>
        <w:tc>
          <w:tcPr>
            <w:tcW w:w="2040" w:type="dxa"/>
            <w:vAlign w:val="bottom"/>
          </w:tcPr>
          <w:p>
            <w:pPr>
              <w:ind w:left="180"/>
              <w:spacing w:after="0"/>
              <w:rPr>
                <w:sz w:val="20"/>
                <w:szCs w:val="20"/>
                <w:color w:val="auto"/>
              </w:rPr>
            </w:pPr>
            <w:r>
              <w:rPr>
                <w:rFonts w:ascii="Arial" w:cs="Arial" w:eastAsia="Arial" w:hAnsi="Arial"/>
                <w:sz w:val="13"/>
                <w:szCs w:val="13"/>
                <w:color w:val="auto"/>
              </w:rPr>
              <w:t>Suvanen Jyri</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28-Nov-01</w:t>
            </w:r>
          </w:p>
        </w:tc>
        <w:tc>
          <w:tcPr>
            <w:tcW w:w="960" w:type="dxa"/>
            <w:vAlign w:val="bottom"/>
          </w:tcPr>
          <w:p>
            <w:pPr>
              <w:jc w:val="center"/>
              <w:spacing w:after="0"/>
              <w:rPr>
                <w:sz w:val="20"/>
                <w:szCs w:val="20"/>
                <w:color w:val="auto"/>
              </w:rPr>
            </w:pPr>
            <w:r>
              <w:rPr>
                <w:rFonts w:ascii="Arial" w:cs="Arial" w:eastAsia="Arial" w:hAnsi="Arial"/>
                <w:sz w:val="13"/>
                <w:szCs w:val="13"/>
                <w:color w:val="auto"/>
                <w:w w:val="87"/>
              </w:rPr>
              <w:t>US7072358</w:t>
            </w:r>
          </w:p>
        </w:tc>
        <w:tc>
          <w:tcPr>
            <w:tcW w:w="4380" w:type="dxa"/>
            <w:vAlign w:val="bottom"/>
          </w:tcPr>
          <w:p>
            <w:pPr>
              <w:ind w:left="60"/>
              <w:spacing w:after="0"/>
              <w:rPr>
                <w:sz w:val="20"/>
                <w:szCs w:val="20"/>
                <w:color w:val="auto"/>
              </w:rPr>
            </w:pPr>
            <w:r>
              <w:rPr>
                <w:rFonts w:ascii="Arial" w:cs="Arial" w:eastAsia="Arial" w:hAnsi="Arial"/>
                <w:sz w:val="13"/>
                <w:szCs w:val="13"/>
                <w:color w:val="auto"/>
              </w:rPr>
              <w:t>Transmission And Interconnection Method</w:t>
            </w:r>
          </w:p>
        </w:tc>
        <w:tc>
          <w:tcPr>
            <w:tcW w:w="2040" w:type="dxa"/>
            <w:vAlign w:val="bottom"/>
          </w:tcPr>
          <w:p>
            <w:pPr>
              <w:ind w:left="180"/>
              <w:spacing w:after="0"/>
              <w:rPr>
                <w:sz w:val="20"/>
                <w:szCs w:val="20"/>
                <w:color w:val="auto"/>
              </w:rPr>
            </w:pPr>
            <w:r>
              <w:rPr>
                <w:rFonts w:ascii="Arial" w:cs="Arial" w:eastAsia="Arial" w:hAnsi="Arial"/>
                <w:sz w:val="13"/>
                <w:szCs w:val="13"/>
                <w:color w:val="auto"/>
              </w:rPr>
              <w:t>Suvanen Jyri</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12"/>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0"/>
              </w:rPr>
              <w:t>14-May-99</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DE69940526.2</w:t>
            </w: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rPr>
              <w:t>IP Telephony Gateway For Solution For Telecom Switches (j)</w:t>
            </w:r>
          </w:p>
        </w:tc>
        <w:tc>
          <w:tcPr>
            <w:tcW w:w="2040" w:type="dxa"/>
            <w:vAlign w:val="bottom"/>
            <w:vMerge w:val="restart"/>
          </w:tcPr>
          <w:p>
            <w:pPr>
              <w:ind w:left="180"/>
              <w:spacing w:after="0"/>
              <w:rPr>
                <w:sz w:val="20"/>
                <w:szCs w:val="20"/>
                <w:color w:val="auto"/>
              </w:rPr>
            </w:pPr>
            <w:r>
              <w:rPr>
                <w:rFonts w:ascii="Arial" w:cs="Arial" w:eastAsia="Arial" w:hAnsi="Arial"/>
                <w:sz w:val="13"/>
                <w:szCs w:val="13"/>
                <w:color w:val="auto"/>
              </w:rPr>
              <w:t>Vesterinen Timo</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380" w:type="dxa"/>
            <w:vAlign w:val="bottom"/>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0"/>
              </w:rPr>
              <w:t>14-May-99</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EP1179266</w:t>
            </w: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rPr>
              <w:t>IP Telephony Gateway</w:t>
            </w:r>
          </w:p>
        </w:tc>
        <w:tc>
          <w:tcPr>
            <w:tcW w:w="2040" w:type="dxa"/>
            <w:vAlign w:val="bottom"/>
            <w:vMerge w:val="restart"/>
          </w:tcPr>
          <w:p>
            <w:pPr>
              <w:ind w:left="180"/>
              <w:spacing w:after="0"/>
              <w:rPr>
                <w:sz w:val="20"/>
                <w:szCs w:val="20"/>
                <w:color w:val="auto"/>
              </w:rPr>
            </w:pPr>
            <w:r>
              <w:rPr>
                <w:rFonts w:ascii="Arial" w:cs="Arial" w:eastAsia="Arial" w:hAnsi="Arial"/>
                <w:sz w:val="13"/>
                <w:szCs w:val="13"/>
                <w:color w:val="auto"/>
              </w:rPr>
              <w:t>Vesterinen Timo</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380" w:type="dxa"/>
            <w:vAlign w:val="bottom"/>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0"/>
              </w:rPr>
              <w:t>14-May-99</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FR1179266</w:t>
            </w: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rPr>
              <w:t>IP Telephony Gateway For Solution For Telecom Switches (j)</w:t>
            </w:r>
          </w:p>
        </w:tc>
        <w:tc>
          <w:tcPr>
            <w:tcW w:w="2040" w:type="dxa"/>
            <w:vAlign w:val="bottom"/>
            <w:vMerge w:val="restart"/>
          </w:tcPr>
          <w:p>
            <w:pPr>
              <w:ind w:left="180"/>
              <w:spacing w:after="0"/>
              <w:rPr>
                <w:sz w:val="20"/>
                <w:szCs w:val="20"/>
                <w:color w:val="auto"/>
              </w:rPr>
            </w:pPr>
            <w:r>
              <w:rPr>
                <w:rFonts w:ascii="Arial" w:cs="Arial" w:eastAsia="Arial" w:hAnsi="Arial"/>
                <w:sz w:val="13"/>
                <w:szCs w:val="13"/>
                <w:color w:val="auto"/>
              </w:rPr>
              <w:t>Vesterinen Timo</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380" w:type="dxa"/>
            <w:vAlign w:val="bottom"/>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0"/>
              </w:rPr>
              <w:t>14-May-99</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GB1179266</w:t>
            </w: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rPr>
              <w:t>IP Telephony Gateway For Solution For Telecom Switches (j)</w:t>
            </w:r>
          </w:p>
        </w:tc>
        <w:tc>
          <w:tcPr>
            <w:tcW w:w="2040" w:type="dxa"/>
            <w:vAlign w:val="bottom"/>
            <w:vMerge w:val="restart"/>
          </w:tcPr>
          <w:p>
            <w:pPr>
              <w:ind w:left="180"/>
              <w:spacing w:after="0"/>
              <w:rPr>
                <w:sz w:val="20"/>
                <w:szCs w:val="20"/>
                <w:color w:val="auto"/>
              </w:rPr>
            </w:pPr>
            <w:r>
              <w:rPr>
                <w:rFonts w:ascii="Arial" w:cs="Arial" w:eastAsia="Arial" w:hAnsi="Arial"/>
                <w:sz w:val="13"/>
                <w:szCs w:val="13"/>
                <w:color w:val="auto"/>
              </w:rPr>
              <w:t>Vesterinen Timo</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380" w:type="dxa"/>
            <w:vAlign w:val="bottom"/>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23-Oct-01</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US7075923</w:t>
            </w: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rPr>
              <w:t>IP Telephony Gateway - Solution For Telecom Switches</w:t>
            </w:r>
          </w:p>
        </w:tc>
        <w:tc>
          <w:tcPr>
            <w:tcW w:w="2040" w:type="dxa"/>
            <w:vAlign w:val="bottom"/>
            <w:vMerge w:val="restart"/>
          </w:tcPr>
          <w:p>
            <w:pPr>
              <w:ind w:left="180"/>
              <w:spacing w:after="0"/>
              <w:rPr>
                <w:sz w:val="20"/>
                <w:szCs w:val="20"/>
                <w:color w:val="auto"/>
              </w:rPr>
            </w:pPr>
            <w:r>
              <w:rPr>
                <w:rFonts w:ascii="Arial" w:cs="Arial" w:eastAsia="Arial" w:hAnsi="Arial"/>
                <w:sz w:val="13"/>
                <w:szCs w:val="13"/>
                <w:color w:val="auto"/>
              </w:rPr>
              <w:t>Vesterinen Timo</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380" w:type="dxa"/>
            <w:vAlign w:val="bottom"/>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8"/>
              </w:rPr>
              <w:t>23-Dec-99</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DE69917686.7</w:t>
            </w: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w w:val="92"/>
              </w:rPr>
              <w:t>Connection Management in ATM Based Network And In ATM Network Elements</w:t>
            </w:r>
          </w:p>
        </w:tc>
        <w:tc>
          <w:tcPr>
            <w:tcW w:w="2040" w:type="dxa"/>
            <w:vAlign w:val="bottom"/>
          </w:tcPr>
          <w:p>
            <w:pPr>
              <w:ind w:left="180"/>
              <w:spacing w:after="0"/>
              <w:rPr>
                <w:sz w:val="20"/>
                <w:szCs w:val="20"/>
                <w:color w:val="auto"/>
              </w:rPr>
            </w:pPr>
            <w:r>
              <w:rPr>
                <w:rFonts w:ascii="Arial" w:cs="Arial" w:eastAsia="Arial" w:hAnsi="Arial"/>
                <w:sz w:val="13"/>
                <w:szCs w:val="13"/>
                <w:color w:val="auto"/>
                <w:w w:val="94"/>
              </w:rPr>
              <w:t>Jormanainen Rainer [Fi] Harjunen</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380" w:type="dxa"/>
            <w:vAlign w:val="bottom"/>
            <w:vMerge w:val="continue"/>
          </w:tcPr>
          <w:p>
            <w:pPr>
              <w:spacing w:after="0"/>
              <w:rPr>
                <w:sz w:val="8"/>
                <w:szCs w:val="8"/>
                <w:color w:val="auto"/>
              </w:rPr>
            </w:pPr>
          </w:p>
        </w:tc>
        <w:tc>
          <w:tcPr>
            <w:tcW w:w="2040" w:type="dxa"/>
            <w:vAlign w:val="bottom"/>
            <w:vMerge w:val="restart"/>
          </w:tcPr>
          <w:p>
            <w:pPr>
              <w:ind w:left="180"/>
              <w:spacing w:after="0"/>
              <w:rPr>
                <w:sz w:val="20"/>
                <w:szCs w:val="20"/>
                <w:color w:val="auto"/>
              </w:rPr>
            </w:pPr>
            <w:r>
              <w:rPr>
                <w:rFonts w:ascii="Arial" w:cs="Arial" w:eastAsia="Arial" w:hAnsi="Arial"/>
                <w:sz w:val="13"/>
                <w:szCs w:val="13"/>
                <w:color w:val="auto"/>
              </w:rPr>
              <w:t>Timo [Fi]</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8"/>
              </w:rPr>
              <w:t>23-Dec-99</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EP1245130</w:t>
            </w: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w w:val="92"/>
              </w:rPr>
              <w:t>Connection Management in ATM Based Network And In ATM Network Elements</w:t>
            </w:r>
          </w:p>
        </w:tc>
        <w:tc>
          <w:tcPr>
            <w:tcW w:w="2040" w:type="dxa"/>
            <w:vAlign w:val="bottom"/>
          </w:tcPr>
          <w:p>
            <w:pPr>
              <w:ind w:left="180"/>
              <w:spacing w:after="0"/>
              <w:rPr>
                <w:sz w:val="20"/>
                <w:szCs w:val="20"/>
                <w:color w:val="auto"/>
              </w:rPr>
            </w:pPr>
            <w:r>
              <w:rPr>
                <w:rFonts w:ascii="Arial" w:cs="Arial" w:eastAsia="Arial" w:hAnsi="Arial"/>
                <w:sz w:val="13"/>
                <w:szCs w:val="13"/>
                <w:color w:val="auto"/>
                <w:w w:val="94"/>
              </w:rPr>
              <w:t>Jormanainen Rainer [Fi] Harjunen</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380" w:type="dxa"/>
            <w:vAlign w:val="bottom"/>
            <w:vMerge w:val="continue"/>
          </w:tcPr>
          <w:p>
            <w:pPr>
              <w:spacing w:after="0"/>
              <w:rPr>
                <w:sz w:val="8"/>
                <w:szCs w:val="8"/>
                <w:color w:val="auto"/>
              </w:rPr>
            </w:pPr>
          </w:p>
        </w:tc>
        <w:tc>
          <w:tcPr>
            <w:tcW w:w="2040" w:type="dxa"/>
            <w:vAlign w:val="bottom"/>
            <w:vMerge w:val="restart"/>
          </w:tcPr>
          <w:p>
            <w:pPr>
              <w:ind w:left="180"/>
              <w:spacing w:after="0"/>
              <w:rPr>
                <w:sz w:val="20"/>
                <w:szCs w:val="20"/>
                <w:color w:val="auto"/>
              </w:rPr>
            </w:pPr>
            <w:r>
              <w:rPr>
                <w:rFonts w:ascii="Arial" w:cs="Arial" w:eastAsia="Arial" w:hAnsi="Arial"/>
                <w:sz w:val="13"/>
                <w:szCs w:val="13"/>
                <w:color w:val="auto"/>
              </w:rPr>
              <w:t>Timo [Fi]</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19-Sep-02</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US7467209</w:t>
            </w: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w w:val="92"/>
              </w:rPr>
              <w:t>Connection Management in ATM Based Network And In ATM Network Elements</w:t>
            </w:r>
          </w:p>
        </w:tc>
        <w:tc>
          <w:tcPr>
            <w:tcW w:w="2040" w:type="dxa"/>
            <w:vAlign w:val="bottom"/>
          </w:tcPr>
          <w:p>
            <w:pPr>
              <w:ind w:left="180"/>
              <w:spacing w:after="0"/>
              <w:rPr>
                <w:sz w:val="20"/>
                <w:szCs w:val="20"/>
                <w:color w:val="auto"/>
              </w:rPr>
            </w:pPr>
            <w:r>
              <w:rPr>
                <w:rFonts w:ascii="Arial" w:cs="Arial" w:eastAsia="Arial" w:hAnsi="Arial"/>
                <w:sz w:val="13"/>
                <w:szCs w:val="13"/>
                <w:color w:val="auto"/>
                <w:w w:val="94"/>
              </w:rPr>
              <w:t>Jormanainen Rainer [Fi] Harjunen</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380" w:type="dxa"/>
            <w:vAlign w:val="bottom"/>
            <w:vMerge w:val="continue"/>
          </w:tcPr>
          <w:p>
            <w:pPr>
              <w:spacing w:after="0"/>
              <w:rPr>
                <w:sz w:val="8"/>
                <w:szCs w:val="8"/>
                <w:color w:val="auto"/>
              </w:rPr>
            </w:pPr>
          </w:p>
        </w:tc>
        <w:tc>
          <w:tcPr>
            <w:tcW w:w="2040" w:type="dxa"/>
            <w:vAlign w:val="bottom"/>
            <w:vMerge w:val="restart"/>
          </w:tcPr>
          <w:p>
            <w:pPr>
              <w:ind w:left="180"/>
              <w:spacing w:after="0"/>
              <w:rPr>
                <w:sz w:val="20"/>
                <w:szCs w:val="20"/>
                <w:color w:val="auto"/>
              </w:rPr>
            </w:pPr>
            <w:r>
              <w:rPr>
                <w:rFonts w:ascii="Arial" w:cs="Arial" w:eastAsia="Arial" w:hAnsi="Arial"/>
                <w:sz w:val="13"/>
                <w:szCs w:val="13"/>
                <w:color w:val="auto"/>
              </w:rPr>
              <w:t>Timo [Fi]</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12-Jun-00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6"/>
              </w:rPr>
              <w:t>2375995</w:t>
            </w: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rPr>
              <w:t>Mobility Within A Packet-Switched Telephony Network</w:t>
            </w:r>
          </w:p>
        </w:tc>
        <w:tc>
          <w:tcPr>
            <w:tcW w:w="2040" w:type="dxa"/>
            <w:vAlign w:val="bottom"/>
          </w:tcPr>
          <w:p>
            <w:pPr>
              <w:ind w:left="180"/>
              <w:spacing w:after="0"/>
              <w:rPr>
                <w:sz w:val="20"/>
                <w:szCs w:val="20"/>
                <w:color w:val="auto"/>
              </w:rPr>
            </w:pPr>
            <w:r>
              <w:rPr>
                <w:rFonts w:ascii="Arial" w:cs="Arial" w:eastAsia="Arial" w:hAnsi="Arial"/>
                <w:sz w:val="13"/>
                <w:szCs w:val="13"/>
                <w:color w:val="auto"/>
                <w:w w:val="95"/>
              </w:rPr>
              <w:t>Einola Heiiki Juhani [Fi] Suoknutti</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380" w:type="dxa"/>
            <w:vAlign w:val="bottom"/>
            <w:vMerge w:val="continue"/>
          </w:tcPr>
          <w:p>
            <w:pPr>
              <w:spacing w:after="0"/>
              <w:rPr>
                <w:sz w:val="8"/>
                <w:szCs w:val="8"/>
                <w:color w:val="auto"/>
              </w:rPr>
            </w:pPr>
          </w:p>
        </w:tc>
        <w:tc>
          <w:tcPr>
            <w:tcW w:w="2040" w:type="dxa"/>
            <w:vAlign w:val="bottom"/>
            <w:vMerge w:val="restart"/>
          </w:tcPr>
          <w:p>
            <w:pPr>
              <w:ind w:left="180"/>
              <w:spacing w:after="0"/>
              <w:rPr>
                <w:sz w:val="20"/>
                <w:szCs w:val="20"/>
                <w:color w:val="auto"/>
              </w:rPr>
            </w:pPr>
            <w:r>
              <w:rPr>
                <w:rFonts w:ascii="Arial" w:cs="Arial" w:eastAsia="Arial" w:hAnsi="Arial"/>
                <w:sz w:val="13"/>
                <w:szCs w:val="13"/>
                <w:color w:val="auto"/>
              </w:rPr>
              <w:t>Marko Juhani [Fi]</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12-Jun-00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CN100377555C</w:t>
            </w: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rPr>
              <w:t>Mobility Within A Packet-Switched Telephony Network</w:t>
            </w:r>
          </w:p>
        </w:tc>
        <w:tc>
          <w:tcPr>
            <w:tcW w:w="2040" w:type="dxa"/>
            <w:vAlign w:val="bottom"/>
          </w:tcPr>
          <w:p>
            <w:pPr>
              <w:ind w:left="180"/>
              <w:spacing w:after="0"/>
              <w:rPr>
                <w:sz w:val="20"/>
                <w:szCs w:val="20"/>
                <w:color w:val="auto"/>
              </w:rPr>
            </w:pPr>
            <w:r>
              <w:rPr>
                <w:rFonts w:ascii="Arial" w:cs="Arial" w:eastAsia="Arial" w:hAnsi="Arial"/>
                <w:sz w:val="13"/>
                <w:szCs w:val="13"/>
                <w:color w:val="auto"/>
                <w:w w:val="95"/>
              </w:rPr>
              <w:t>Einola Heiiki Juhani [Fi] Suoknutti</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380" w:type="dxa"/>
            <w:vAlign w:val="bottom"/>
            <w:vMerge w:val="continue"/>
          </w:tcPr>
          <w:p>
            <w:pPr>
              <w:spacing w:after="0"/>
              <w:rPr>
                <w:sz w:val="8"/>
                <w:szCs w:val="8"/>
                <w:color w:val="auto"/>
              </w:rPr>
            </w:pPr>
          </w:p>
        </w:tc>
        <w:tc>
          <w:tcPr>
            <w:tcW w:w="2040" w:type="dxa"/>
            <w:vAlign w:val="bottom"/>
            <w:vMerge w:val="restart"/>
          </w:tcPr>
          <w:p>
            <w:pPr>
              <w:ind w:left="180"/>
              <w:spacing w:after="0"/>
              <w:rPr>
                <w:sz w:val="20"/>
                <w:szCs w:val="20"/>
                <w:color w:val="auto"/>
              </w:rPr>
            </w:pPr>
            <w:r>
              <w:rPr>
                <w:rFonts w:ascii="Arial" w:cs="Arial" w:eastAsia="Arial" w:hAnsi="Arial"/>
                <w:sz w:val="13"/>
                <w:szCs w:val="13"/>
                <w:color w:val="auto"/>
              </w:rPr>
              <w:t>Marko Juhani [Fi]</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21-Jun-99</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US7502339</w:t>
            </w: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rPr>
              <w:t>Mobility Within A Packet-Switched Telephony Network</w:t>
            </w:r>
          </w:p>
        </w:tc>
        <w:tc>
          <w:tcPr>
            <w:tcW w:w="2040" w:type="dxa"/>
            <w:vAlign w:val="bottom"/>
          </w:tcPr>
          <w:p>
            <w:pPr>
              <w:ind w:left="180"/>
              <w:spacing w:after="0"/>
              <w:rPr>
                <w:sz w:val="20"/>
                <w:szCs w:val="20"/>
                <w:color w:val="auto"/>
              </w:rPr>
            </w:pPr>
            <w:r>
              <w:rPr>
                <w:rFonts w:ascii="Arial" w:cs="Arial" w:eastAsia="Arial" w:hAnsi="Arial"/>
                <w:sz w:val="13"/>
                <w:szCs w:val="13"/>
                <w:color w:val="auto"/>
              </w:rPr>
              <w:t>Pirkola Juha Mattil [Fi] Einola</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380" w:type="dxa"/>
            <w:vAlign w:val="bottom"/>
            <w:vMerge w:val="continue"/>
          </w:tcPr>
          <w:p>
            <w:pPr>
              <w:spacing w:after="0"/>
              <w:rPr>
                <w:sz w:val="8"/>
                <w:szCs w:val="8"/>
                <w:color w:val="auto"/>
              </w:rPr>
            </w:pPr>
          </w:p>
        </w:tc>
        <w:tc>
          <w:tcPr>
            <w:tcW w:w="2040" w:type="dxa"/>
            <w:vAlign w:val="bottom"/>
            <w:vMerge w:val="restart"/>
          </w:tcPr>
          <w:p>
            <w:pPr>
              <w:ind w:left="180"/>
              <w:spacing w:after="0"/>
              <w:rPr>
                <w:sz w:val="20"/>
                <w:szCs w:val="20"/>
                <w:color w:val="auto"/>
              </w:rPr>
            </w:pPr>
            <w:r>
              <w:rPr>
                <w:rFonts w:ascii="Arial" w:cs="Arial" w:eastAsia="Arial" w:hAnsi="Arial"/>
                <w:sz w:val="13"/>
                <w:szCs w:val="13"/>
                <w:color w:val="auto"/>
              </w:rPr>
              <w:t>Heikki Juhani [Fi]</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13-Sep-00</w:t>
            </w:r>
          </w:p>
        </w:tc>
        <w:tc>
          <w:tcPr>
            <w:tcW w:w="960" w:type="dxa"/>
            <w:vAlign w:val="bottom"/>
          </w:tcPr>
          <w:p>
            <w:pPr>
              <w:jc w:val="center"/>
              <w:spacing w:after="0"/>
              <w:rPr>
                <w:sz w:val="20"/>
                <w:szCs w:val="20"/>
                <w:color w:val="auto"/>
              </w:rPr>
            </w:pPr>
            <w:r>
              <w:rPr>
                <w:rFonts w:ascii="Arial" w:cs="Arial" w:eastAsia="Arial" w:hAnsi="Arial"/>
                <w:sz w:val="13"/>
                <w:szCs w:val="13"/>
                <w:color w:val="auto"/>
                <w:w w:val="90"/>
              </w:rPr>
              <w:t>BR0013975</w:t>
            </w:r>
          </w:p>
        </w:tc>
        <w:tc>
          <w:tcPr>
            <w:tcW w:w="4380" w:type="dxa"/>
            <w:vAlign w:val="bottom"/>
          </w:tcPr>
          <w:p>
            <w:pPr>
              <w:ind w:left="60"/>
              <w:spacing w:after="0"/>
              <w:rPr>
                <w:sz w:val="20"/>
                <w:szCs w:val="20"/>
                <w:color w:val="auto"/>
              </w:rPr>
            </w:pPr>
            <w:r>
              <w:rPr>
                <w:rFonts w:ascii="Arial" w:cs="Arial" w:eastAsia="Arial" w:hAnsi="Arial"/>
                <w:sz w:val="13"/>
                <w:szCs w:val="13"/>
                <w:color w:val="auto"/>
              </w:rPr>
              <w:t>Relocation In A Communication System</w:t>
            </w:r>
          </w:p>
        </w:tc>
        <w:tc>
          <w:tcPr>
            <w:tcW w:w="2040" w:type="dxa"/>
            <w:vAlign w:val="bottom"/>
          </w:tcPr>
          <w:p>
            <w:pPr>
              <w:ind w:left="180"/>
              <w:spacing w:after="0"/>
              <w:rPr>
                <w:sz w:val="20"/>
                <w:szCs w:val="20"/>
                <w:color w:val="auto"/>
              </w:rPr>
            </w:pPr>
            <w:r>
              <w:rPr>
                <w:rFonts w:ascii="Arial" w:cs="Arial" w:eastAsia="Arial" w:hAnsi="Arial"/>
                <w:sz w:val="13"/>
                <w:szCs w:val="13"/>
                <w:color w:val="auto"/>
              </w:rPr>
              <w:t>Ahmavaara Kalle</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13-Sep-00</w:t>
            </w:r>
          </w:p>
        </w:tc>
        <w:tc>
          <w:tcPr>
            <w:tcW w:w="960" w:type="dxa"/>
            <w:vAlign w:val="bottom"/>
          </w:tcPr>
          <w:p>
            <w:pPr>
              <w:jc w:val="center"/>
              <w:spacing w:after="0"/>
              <w:rPr>
                <w:sz w:val="20"/>
                <w:szCs w:val="20"/>
                <w:color w:val="auto"/>
              </w:rPr>
            </w:pPr>
            <w:r>
              <w:rPr>
                <w:rFonts w:ascii="Arial" w:cs="Arial" w:eastAsia="Arial" w:hAnsi="Arial"/>
                <w:sz w:val="13"/>
                <w:szCs w:val="13"/>
                <w:color w:val="auto"/>
                <w:w w:val="86"/>
              </w:rPr>
              <w:t>2384290</w:t>
            </w:r>
          </w:p>
        </w:tc>
        <w:tc>
          <w:tcPr>
            <w:tcW w:w="4380" w:type="dxa"/>
            <w:vAlign w:val="bottom"/>
          </w:tcPr>
          <w:p>
            <w:pPr>
              <w:ind w:left="60"/>
              <w:spacing w:after="0"/>
              <w:rPr>
                <w:sz w:val="20"/>
                <w:szCs w:val="20"/>
                <w:color w:val="auto"/>
              </w:rPr>
            </w:pPr>
            <w:r>
              <w:rPr>
                <w:rFonts w:ascii="Arial" w:cs="Arial" w:eastAsia="Arial" w:hAnsi="Arial"/>
                <w:sz w:val="13"/>
                <w:szCs w:val="13"/>
                <w:color w:val="auto"/>
              </w:rPr>
              <w:t>Relocation In A Communication System</w:t>
            </w:r>
          </w:p>
        </w:tc>
        <w:tc>
          <w:tcPr>
            <w:tcW w:w="2040" w:type="dxa"/>
            <w:vAlign w:val="bottom"/>
          </w:tcPr>
          <w:p>
            <w:pPr>
              <w:ind w:left="180"/>
              <w:spacing w:after="0"/>
              <w:rPr>
                <w:sz w:val="20"/>
                <w:szCs w:val="20"/>
                <w:color w:val="auto"/>
              </w:rPr>
            </w:pPr>
            <w:r>
              <w:rPr>
                <w:rFonts w:ascii="Arial" w:cs="Arial" w:eastAsia="Arial" w:hAnsi="Arial"/>
                <w:sz w:val="13"/>
                <w:szCs w:val="13"/>
                <w:color w:val="auto"/>
              </w:rPr>
              <w:t>Ahmavaara Kalle</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13-Sep-00</w:t>
            </w:r>
          </w:p>
        </w:tc>
        <w:tc>
          <w:tcPr>
            <w:tcW w:w="960" w:type="dxa"/>
            <w:vAlign w:val="bottom"/>
          </w:tcPr>
          <w:p>
            <w:pPr>
              <w:jc w:val="center"/>
              <w:spacing w:after="0"/>
              <w:rPr>
                <w:sz w:val="20"/>
                <w:szCs w:val="20"/>
                <w:color w:val="auto"/>
              </w:rPr>
            </w:pPr>
            <w:r>
              <w:rPr>
                <w:rFonts w:ascii="Arial" w:cs="Arial" w:eastAsia="Arial" w:hAnsi="Arial"/>
                <w:sz w:val="13"/>
                <w:szCs w:val="13"/>
                <w:color w:val="auto"/>
                <w:w w:val="89"/>
              </w:rPr>
              <w:t>CN1373979</w:t>
            </w:r>
          </w:p>
        </w:tc>
        <w:tc>
          <w:tcPr>
            <w:tcW w:w="4380" w:type="dxa"/>
            <w:vAlign w:val="bottom"/>
          </w:tcPr>
          <w:p>
            <w:pPr>
              <w:ind w:left="60"/>
              <w:spacing w:after="0"/>
              <w:rPr>
                <w:sz w:val="20"/>
                <w:szCs w:val="20"/>
                <w:color w:val="auto"/>
              </w:rPr>
            </w:pPr>
            <w:r>
              <w:rPr>
                <w:rFonts w:ascii="Arial" w:cs="Arial" w:eastAsia="Arial" w:hAnsi="Arial"/>
                <w:sz w:val="13"/>
                <w:szCs w:val="13"/>
                <w:color w:val="auto"/>
              </w:rPr>
              <w:t>Relocation In Communication System</w:t>
            </w:r>
          </w:p>
        </w:tc>
        <w:tc>
          <w:tcPr>
            <w:tcW w:w="2040" w:type="dxa"/>
            <w:vAlign w:val="bottom"/>
          </w:tcPr>
          <w:p>
            <w:pPr>
              <w:ind w:left="180"/>
              <w:spacing w:after="0"/>
              <w:rPr>
                <w:sz w:val="20"/>
                <w:szCs w:val="20"/>
                <w:color w:val="auto"/>
              </w:rPr>
            </w:pPr>
            <w:r>
              <w:rPr>
                <w:rFonts w:ascii="Arial" w:cs="Arial" w:eastAsia="Arial" w:hAnsi="Arial"/>
                <w:sz w:val="13"/>
                <w:szCs w:val="13"/>
                <w:color w:val="auto"/>
              </w:rPr>
              <w:t>Ahmavaara Kalle</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13-Sep-00</w:t>
            </w:r>
          </w:p>
        </w:tc>
        <w:tc>
          <w:tcPr>
            <w:tcW w:w="960" w:type="dxa"/>
            <w:vAlign w:val="bottom"/>
          </w:tcPr>
          <w:p>
            <w:pPr>
              <w:jc w:val="center"/>
              <w:spacing w:after="0"/>
              <w:rPr>
                <w:sz w:val="20"/>
                <w:szCs w:val="20"/>
                <w:color w:val="auto"/>
              </w:rPr>
            </w:pPr>
            <w:r>
              <w:rPr>
                <w:rFonts w:ascii="Arial" w:cs="Arial" w:eastAsia="Arial" w:hAnsi="Arial"/>
                <w:sz w:val="13"/>
                <w:szCs w:val="13"/>
                <w:color w:val="auto"/>
                <w:w w:val="89"/>
              </w:rPr>
              <w:t>DE60044939.4</w:t>
            </w:r>
          </w:p>
        </w:tc>
        <w:tc>
          <w:tcPr>
            <w:tcW w:w="4380" w:type="dxa"/>
            <w:vAlign w:val="bottom"/>
          </w:tcPr>
          <w:p>
            <w:pPr>
              <w:ind w:left="60"/>
              <w:spacing w:after="0"/>
              <w:rPr>
                <w:sz w:val="20"/>
                <w:szCs w:val="20"/>
                <w:color w:val="auto"/>
              </w:rPr>
            </w:pPr>
            <w:r>
              <w:rPr>
                <w:rFonts w:ascii="Arial" w:cs="Arial" w:eastAsia="Arial" w:hAnsi="Arial"/>
                <w:sz w:val="13"/>
                <w:szCs w:val="13"/>
                <w:color w:val="auto"/>
              </w:rPr>
              <w:t>Relocation of RRC Protocol In SRNS Relocation (j)</w:t>
            </w:r>
          </w:p>
        </w:tc>
        <w:tc>
          <w:tcPr>
            <w:tcW w:w="2040" w:type="dxa"/>
            <w:vAlign w:val="bottom"/>
          </w:tcPr>
          <w:p>
            <w:pPr>
              <w:ind w:left="180"/>
              <w:spacing w:after="0"/>
              <w:rPr>
                <w:sz w:val="20"/>
                <w:szCs w:val="20"/>
                <w:color w:val="auto"/>
              </w:rPr>
            </w:pPr>
            <w:r>
              <w:rPr>
                <w:rFonts w:ascii="Arial" w:cs="Arial" w:eastAsia="Arial" w:hAnsi="Arial"/>
                <w:sz w:val="13"/>
                <w:szCs w:val="13"/>
                <w:color w:val="auto"/>
              </w:rPr>
              <w:t>Ahmavaara Kalle</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12"/>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13-Sep-00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EP1212919</w:t>
            </w: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rPr>
              <w:t>Relocation In A Communication System</w:t>
            </w:r>
          </w:p>
        </w:tc>
        <w:tc>
          <w:tcPr>
            <w:tcW w:w="2040" w:type="dxa"/>
            <w:vAlign w:val="bottom"/>
            <w:vMerge w:val="restart"/>
          </w:tcPr>
          <w:p>
            <w:pPr>
              <w:ind w:left="180"/>
              <w:spacing w:after="0"/>
              <w:rPr>
                <w:sz w:val="20"/>
                <w:szCs w:val="20"/>
                <w:color w:val="auto"/>
              </w:rPr>
            </w:pPr>
            <w:r>
              <w:rPr>
                <w:rFonts w:ascii="Arial" w:cs="Arial" w:eastAsia="Arial" w:hAnsi="Arial"/>
                <w:sz w:val="13"/>
                <w:szCs w:val="13"/>
                <w:color w:val="auto"/>
              </w:rPr>
              <w:t>Ahmavaara Kalle</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380" w:type="dxa"/>
            <w:vAlign w:val="bottom"/>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13-Sep-00</w:t>
            </w:r>
          </w:p>
        </w:tc>
        <w:tc>
          <w:tcPr>
            <w:tcW w:w="960" w:type="dxa"/>
            <w:vAlign w:val="bottom"/>
          </w:tcPr>
          <w:p>
            <w:pPr>
              <w:jc w:val="center"/>
              <w:spacing w:after="0"/>
              <w:rPr>
                <w:sz w:val="20"/>
                <w:szCs w:val="20"/>
                <w:color w:val="auto"/>
              </w:rPr>
            </w:pPr>
            <w:r>
              <w:rPr>
                <w:rFonts w:ascii="Arial" w:cs="Arial" w:eastAsia="Arial" w:hAnsi="Arial"/>
                <w:sz w:val="13"/>
                <w:szCs w:val="13"/>
                <w:color w:val="auto"/>
                <w:w w:val="85"/>
              </w:rPr>
              <w:t>ES2348709</w:t>
            </w:r>
          </w:p>
        </w:tc>
        <w:tc>
          <w:tcPr>
            <w:tcW w:w="4380" w:type="dxa"/>
            <w:vAlign w:val="bottom"/>
          </w:tcPr>
          <w:p>
            <w:pPr>
              <w:ind w:left="60"/>
              <w:spacing w:after="0"/>
              <w:rPr>
                <w:sz w:val="20"/>
                <w:szCs w:val="20"/>
                <w:color w:val="auto"/>
              </w:rPr>
            </w:pPr>
            <w:r>
              <w:rPr>
                <w:rFonts w:ascii="Arial" w:cs="Arial" w:eastAsia="Arial" w:hAnsi="Arial"/>
                <w:sz w:val="13"/>
                <w:szCs w:val="13"/>
                <w:color w:val="auto"/>
              </w:rPr>
              <w:t>Relocation In A Communication System</w:t>
            </w:r>
          </w:p>
        </w:tc>
        <w:tc>
          <w:tcPr>
            <w:tcW w:w="2040" w:type="dxa"/>
            <w:vAlign w:val="bottom"/>
          </w:tcPr>
          <w:p>
            <w:pPr>
              <w:ind w:left="180"/>
              <w:spacing w:after="0"/>
              <w:rPr>
                <w:sz w:val="20"/>
                <w:szCs w:val="20"/>
                <w:color w:val="auto"/>
              </w:rPr>
            </w:pPr>
            <w:r>
              <w:rPr>
                <w:rFonts w:ascii="Arial" w:cs="Arial" w:eastAsia="Arial" w:hAnsi="Arial"/>
                <w:sz w:val="13"/>
                <w:szCs w:val="13"/>
                <w:color w:val="auto"/>
              </w:rPr>
              <w:t>Ahmavaara Kalle</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13-Sep-00</w:t>
            </w:r>
          </w:p>
        </w:tc>
        <w:tc>
          <w:tcPr>
            <w:tcW w:w="960" w:type="dxa"/>
            <w:vAlign w:val="bottom"/>
          </w:tcPr>
          <w:p>
            <w:pPr>
              <w:jc w:val="center"/>
              <w:spacing w:after="0"/>
              <w:rPr>
                <w:sz w:val="20"/>
                <w:szCs w:val="20"/>
                <w:color w:val="auto"/>
              </w:rPr>
            </w:pPr>
            <w:r>
              <w:rPr>
                <w:rFonts w:ascii="Arial" w:cs="Arial" w:eastAsia="Arial" w:hAnsi="Arial"/>
                <w:sz w:val="13"/>
                <w:szCs w:val="13"/>
                <w:color w:val="auto"/>
                <w:w w:val="89"/>
              </w:rPr>
              <w:t>GB1212919</w:t>
            </w:r>
          </w:p>
        </w:tc>
        <w:tc>
          <w:tcPr>
            <w:tcW w:w="4380" w:type="dxa"/>
            <w:vAlign w:val="bottom"/>
          </w:tcPr>
          <w:p>
            <w:pPr>
              <w:ind w:left="60"/>
              <w:spacing w:after="0"/>
              <w:rPr>
                <w:sz w:val="20"/>
                <w:szCs w:val="20"/>
                <w:color w:val="auto"/>
              </w:rPr>
            </w:pPr>
            <w:r>
              <w:rPr>
                <w:rFonts w:ascii="Arial" w:cs="Arial" w:eastAsia="Arial" w:hAnsi="Arial"/>
                <w:sz w:val="13"/>
                <w:szCs w:val="13"/>
                <w:color w:val="auto"/>
              </w:rPr>
              <w:t>Relocation of RRC Protocol In SRNS Relocation (j)</w:t>
            </w:r>
          </w:p>
        </w:tc>
        <w:tc>
          <w:tcPr>
            <w:tcW w:w="2040" w:type="dxa"/>
            <w:vAlign w:val="bottom"/>
          </w:tcPr>
          <w:p>
            <w:pPr>
              <w:ind w:left="180"/>
              <w:spacing w:after="0"/>
              <w:rPr>
                <w:sz w:val="20"/>
                <w:szCs w:val="20"/>
                <w:color w:val="auto"/>
              </w:rPr>
            </w:pPr>
            <w:r>
              <w:rPr>
                <w:rFonts w:ascii="Arial" w:cs="Arial" w:eastAsia="Arial" w:hAnsi="Arial"/>
                <w:sz w:val="13"/>
                <w:szCs w:val="13"/>
                <w:color w:val="auto"/>
              </w:rPr>
              <w:t>Ahmavaara Kalle</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13-Sep-00</w:t>
            </w:r>
          </w:p>
        </w:tc>
        <w:tc>
          <w:tcPr>
            <w:tcW w:w="960" w:type="dxa"/>
            <w:vAlign w:val="bottom"/>
          </w:tcPr>
          <w:p>
            <w:pPr>
              <w:jc w:val="center"/>
              <w:spacing w:after="0"/>
              <w:rPr>
                <w:sz w:val="20"/>
                <w:szCs w:val="20"/>
                <w:color w:val="auto"/>
              </w:rPr>
            </w:pPr>
            <w:r>
              <w:rPr>
                <w:rFonts w:ascii="Arial" w:cs="Arial" w:eastAsia="Arial" w:hAnsi="Arial"/>
                <w:sz w:val="13"/>
                <w:szCs w:val="13"/>
                <w:color w:val="auto"/>
                <w:w w:val="85"/>
              </w:rPr>
              <w:t>JP3602501</w:t>
            </w:r>
          </w:p>
        </w:tc>
        <w:tc>
          <w:tcPr>
            <w:tcW w:w="4380" w:type="dxa"/>
            <w:vAlign w:val="bottom"/>
          </w:tcPr>
          <w:p>
            <w:pPr>
              <w:ind w:left="60"/>
              <w:spacing w:after="0"/>
              <w:rPr>
                <w:sz w:val="20"/>
                <w:szCs w:val="20"/>
                <w:color w:val="auto"/>
              </w:rPr>
            </w:pPr>
            <w:r>
              <w:rPr>
                <w:rFonts w:ascii="Arial" w:cs="Arial" w:eastAsia="Arial" w:hAnsi="Arial"/>
                <w:sz w:val="13"/>
                <w:szCs w:val="13"/>
                <w:color w:val="auto"/>
              </w:rPr>
              <w:t>Relocation In A Communication System</w:t>
            </w:r>
          </w:p>
        </w:tc>
        <w:tc>
          <w:tcPr>
            <w:tcW w:w="2040" w:type="dxa"/>
            <w:vAlign w:val="bottom"/>
          </w:tcPr>
          <w:p>
            <w:pPr>
              <w:ind w:left="180"/>
              <w:spacing w:after="0"/>
              <w:rPr>
                <w:sz w:val="20"/>
                <w:szCs w:val="20"/>
                <w:color w:val="auto"/>
              </w:rPr>
            </w:pPr>
            <w:r>
              <w:rPr>
                <w:rFonts w:ascii="Arial" w:cs="Arial" w:eastAsia="Arial" w:hAnsi="Arial"/>
                <w:sz w:val="13"/>
                <w:szCs w:val="13"/>
                <w:color w:val="auto"/>
              </w:rPr>
              <w:t>Ahmavaara Kalle</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13-Sep-00</w:t>
            </w:r>
          </w:p>
        </w:tc>
        <w:tc>
          <w:tcPr>
            <w:tcW w:w="960" w:type="dxa"/>
            <w:vAlign w:val="bottom"/>
          </w:tcPr>
          <w:p>
            <w:pPr>
              <w:jc w:val="center"/>
              <w:spacing w:after="0"/>
              <w:rPr>
                <w:sz w:val="20"/>
                <w:szCs w:val="20"/>
                <w:color w:val="auto"/>
              </w:rPr>
            </w:pPr>
            <w:r>
              <w:rPr>
                <w:rFonts w:ascii="Arial" w:cs="Arial" w:eastAsia="Arial" w:hAnsi="Arial"/>
                <w:sz w:val="13"/>
                <w:szCs w:val="13"/>
                <w:color w:val="auto"/>
                <w:w w:val="87"/>
              </w:rPr>
              <w:t>KR531144</w:t>
            </w:r>
          </w:p>
        </w:tc>
        <w:tc>
          <w:tcPr>
            <w:tcW w:w="4380" w:type="dxa"/>
            <w:vAlign w:val="bottom"/>
          </w:tcPr>
          <w:p>
            <w:pPr>
              <w:ind w:left="60"/>
              <w:spacing w:after="0"/>
              <w:rPr>
                <w:sz w:val="20"/>
                <w:szCs w:val="20"/>
                <w:color w:val="auto"/>
              </w:rPr>
            </w:pPr>
            <w:r>
              <w:rPr>
                <w:rFonts w:ascii="Arial" w:cs="Arial" w:eastAsia="Arial" w:hAnsi="Arial"/>
                <w:sz w:val="13"/>
                <w:szCs w:val="13"/>
                <w:color w:val="auto"/>
              </w:rPr>
              <w:t>Relocation In A Communication System</w:t>
            </w:r>
          </w:p>
        </w:tc>
        <w:tc>
          <w:tcPr>
            <w:tcW w:w="2040" w:type="dxa"/>
            <w:vAlign w:val="bottom"/>
          </w:tcPr>
          <w:p>
            <w:pPr>
              <w:ind w:left="180"/>
              <w:spacing w:after="0"/>
              <w:rPr>
                <w:sz w:val="20"/>
                <w:szCs w:val="20"/>
                <w:color w:val="auto"/>
              </w:rPr>
            </w:pPr>
            <w:r>
              <w:rPr>
                <w:rFonts w:ascii="Arial" w:cs="Arial" w:eastAsia="Arial" w:hAnsi="Arial"/>
                <w:sz w:val="13"/>
                <w:szCs w:val="13"/>
                <w:color w:val="auto"/>
              </w:rPr>
              <w:t>Ahmavaara Kalle</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5-Jun-02</w:t>
            </w:r>
          </w:p>
        </w:tc>
        <w:tc>
          <w:tcPr>
            <w:tcW w:w="960" w:type="dxa"/>
            <w:vAlign w:val="bottom"/>
          </w:tcPr>
          <w:p>
            <w:pPr>
              <w:jc w:val="center"/>
              <w:spacing w:after="0"/>
              <w:rPr>
                <w:sz w:val="20"/>
                <w:szCs w:val="20"/>
                <w:color w:val="auto"/>
              </w:rPr>
            </w:pPr>
            <w:r>
              <w:rPr>
                <w:rFonts w:ascii="Arial" w:cs="Arial" w:eastAsia="Arial" w:hAnsi="Arial"/>
                <w:sz w:val="13"/>
                <w:szCs w:val="13"/>
                <w:color w:val="auto"/>
                <w:w w:val="87"/>
              </w:rPr>
              <w:t>US7242933</w:t>
            </w:r>
          </w:p>
        </w:tc>
        <w:tc>
          <w:tcPr>
            <w:tcW w:w="4380" w:type="dxa"/>
            <w:vAlign w:val="bottom"/>
          </w:tcPr>
          <w:p>
            <w:pPr>
              <w:ind w:left="60"/>
              <w:spacing w:after="0"/>
              <w:rPr>
                <w:sz w:val="20"/>
                <w:szCs w:val="20"/>
                <w:color w:val="auto"/>
              </w:rPr>
            </w:pPr>
            <w:r>
              <w:rPr>
                <w:rFonts w:ascii="Arial" w:cs="Arial" w:eastAsia="Arial" w:hAnsi="Arial"/>
                <w:sz w:val="13"/>
                <w:szCs w:val="13"/>
                <w:color w:val="auto"/>
              </w:rPr>
              <w:t>Relocation In A Communication System</w:t>
            </w:r>
          </w:p>
        </w:tc>
        <w:tc>
          <w:tcPr>
            <w:tcW w:w="2040" w:type="dxa"/>
            <w:vAlign w:val="bottom"/>
          </w:tcPr>
          <w:p>
            <w:pPr>
              <w:ind w:left="180"/>
              <w:spacing w:after="0"/>
              <w:rPr>
                <w:sz w:val="20"/>
                <w:szCs w:val="20"/>
                <w:color w:val="auto"/>
              </w:rPr>
            </w:pPr>
            <w:r>
              <w:rPr>
                <w:rFonts w:ascii="Arial" w:cs="Arial" w:eastAsia="Arial" w:hAnsi="Arial"/>
                <w:sz w:val="13"/>
                <w:szCs w:val="13"/>
                <w:color w:val="auto"/>
              </w:rPr>
              <w:t>Ahmavaara Kalle</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-5494655</wp:posOffset>
            </wp:positionV>
            <wp:extent cx="7246620" cy="2571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-4980305</wp:posOffset>
            </wp:positionV>
            <wp:extent cx="7254875" cy="48882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4888230"/>
                    </a:xfrm>
                    <a:prstGeom prst="rect">
                      <a:avLst/>
                    </a:prstGeom>
                    <a:noFill/>
                  </pic:spPr>
                </pic:pic>
              </a:graphicData>
            </a:graphic>
          </wp:anchor>
        </w:drawing>
      </w:r>
    </w:p>
    <w:p>
      <w:pPr>
        <w:sectPr>
          <w:pgSz w:w="11900" w:h="16838" w:orient="portrait"/>
          <w:cols w:equalWidth="0" w:num="2">
            <w:col w:w="1800" w:space="320"/>
            <w:col w:w="9200"/>
          </w:cols>
          <w:pgMar w:left="280" w:top="111" w:right="299" w:bottom="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49"/>
        </w:trPr>
        <w:tc>
          <w:tcPr>
            <w:tcW w:w="640" w:type="dxa"/>
            <w:vAlign w:val="bottom"/>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Infrastructure,</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AU</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AU01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BE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BE01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CA</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CA01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CH</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CH01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KR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KR01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6"/>
              </w:rPr>
              <w:t>NL</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NL01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A15081VI-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SE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SE01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A15251VI-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A15483VI-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A15483VI-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JP02</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A15483VI-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A15513VI-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A15513VI-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A15513VI-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A15513VI-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A15513VI-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A15513VI-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A15513VI-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A16675VI-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A16712VI-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A16712VI-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640" w:type="dxa"/>
            <w:vAlign w:val="bottom"/>
          </w:tcPr>
          <w:p>
            <w:pPr>
              <w:spacing w:after="0"/>
              <w:rPr>
                <w:sz w:val="6"/>
                <w:szCs w:val="6"/>
                <w:color w:val="auto"/>
              </w:rPr>
            </w:pPr>
          </w:p>
        </w:tc>
        <w:tc>
          <w:tcPr>
            <w:tcW w:w="880" w:type="dxa"/>
            <w:vAlign w:val="bottom"/>
          </w:tcPr>
          <w:p>
            <w:pPr>
              <w:jc w:val="center"/>
              <w:spacing w:after="0" w:line="78" w:lineRule="exact"/>
              <w:rPr>
                <w:sz w:val="20"/>
                <w:szCs w:val="20"/>
                <w:color w:val="auto"/>
              </w:rPr>
            </w:pPr>
            <w:r>
              <w:rPr>
                <w:rFonts w:ascii="Arial" w:cs="Arial" w:eastAsia="Arial" w:hAnsi="Arial"/>
                <w:sz w:val="8"/>
                <w:szCs w:val="8"/>
                <w:color w:val="auto"/>
              </w:rPr>
              <w:t>Vringo</w:t>
            </w: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91"/>
              </w:rPr>
              <w:t>AU773182</w:t>
            </w:r>
          </w:p>
        </w:tc>
        <w:tc>
          <w:tcPr>
            <w:tcW w:w="4300" w:type="dxa"/>
            <w:vAlign w:val="bottom"/>
          </w:tcPr>
          <w:p>
            <w:pPr>
              <w:ind w:left="80"/>
              <w:spacing w:after="0"/>
              <w:rPr>
                <w:sz w:val="20"/>
                <w:szCs w:val="20"/>
                <w:color w:val="auto"/>
              </w:rPr>
            </w:pPr>
            <w:r>
              <w:rPr>
                <w:rFonts w:ascii="Arial" w:cs="Arial" w:eastAsia="Arial" w:hAnsi="Arial"/>
                <w:sz w:val="13"/>
                <w:szCs w:val="13"/>
                <w:color w:val="auto"/>
              </w:rPr>
              <w:t>Synchronization Method And Apparatus</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88"/>
              </w:rPr>
              <w:t>BE1221212</w:t>
            </w:r>
          </w:p>
        </w:tc>
        <w:tc>
          <w:tcPr>
            <w:tcW w:w="4300" w:type="dxa"/>
            <w:vAlign w:val="bottom"/>
          </w:tcPr>
          <w:p>
            <w:pPr>
              <w:ind w:left="80"/>
              <w:spacing w:after="0"/>
              <w:rPr>
                <w:sz w:val="20"/>
                <w:szCs w:val="20"/>
                <w:color w:val="auto"/>
              </w:rPr>
            </w:pPr>
            <w:r>
              <w:rPr>
                <w:rFonts w:ascii="Arial" w:cs="Arial" w:eastAsia="Arial" w:hAnsi="Arial"/>
                <w:sz w:val="13"/>
                <w:szCs w:val="13"/>
                <w:color w:val="auto"/>
              </w:rPr>
              <w:t>Synchronization of Protocol Remapping (j)</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86"/>
              </w:rPr>
              <w:t>2385914</w:t>
            </w:r>
          </w:p>
        </w:tc>
        <w:tc>
          <w:tcPr>
            <w:tcW w:w="4300" w:type="dxa"/>
            <w:vAlign w:val="bottom"/>
          </w:tcPr>
          <w:p>
            <w:pPr>
              <w:ind w:left="80"/>
              <w:spacing w:after="0"/>
              <w:rPr>
                <w:sz w:val="20"/>
                <w:szCs w:val="20"/>
                <w:color w:val="auto"/>
              </w:rPr>
            </w:pPr>
            <w:r>
              <w:rPr>
                <w:rFonts w:ascii="Arial" w:cs="Arial" w:eastAsia="Arial" w:hAnsi="Arial"/>
                <w:sz w:val="13"/>
                <w:szCs w:val="13"/>
                <w:color w:val="auto"/>
              </w:rPr>
              <w:t>Synchronization Method And Apparatus</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89"/>
              </w:rPr>
              <w:t>CH1221212</w:t>
            </w:r>
          </w:p>
        </w:tc>
        <w:tc>
          <w:tcPr>
            <w:tcW w:w="4300" w:type="dxa"/>
            <w:vAlign w:val="bottom"/>
          </w:tcPr>
          <w:p>
            <w:pPr>
              <w:ind w:left="80"/>
              <w:spacing w:after="0"/>
              <w:rPr>
                <w:sz w:val="20"/>
                <w:szCs w:val="20"/>
                <w:color w:val="auto"/>
              </w:rPr>
            </w:pPr>
            <w:r>
              <w:rPr>
                <w:rFonts w:ascii="Arial" w:cs="Arial" w:eastAsia="Arial" w:hAnsi="Arial"/>
                <w:sz w:val="13"/>
                <w:szCs w:val="13"/>
                <w:color w:val="auto"/>
                <w:w w:val="89"/>
              </w:rPr>
              <w:t>Verfahren Und Vorrichtung Zur Synchronisierung In Einem Kommunikationsystem</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88"/>
              </w:rPr>
              <w:t>CN1172462C</w:t>
            </w:r>
          </w:p>
        </w:tc>
        <w:tc>
          <w:tcPr>
            <w:tcW w:w="4300" w:type="dxa"/>
            <w:vAlign w:val="bottom"/>
          </w:tcPr>
          <w:p>
            <w:pPr>
              <w:ind w:left="80"/>
              <w:spacing w:after="0"/>
              <w:rPr>
                <w:sz w:val="20"/>
                <w:szCs w:val="20"/>
                <w:color w:val="auto"/>
              </w:rPr>
            </w:pPr>
            <w:r>
              <w:rPr>
                <w:rFonts w:ascii="Arial" w:cs="Arial" w:eastAsia="Arial" w:hAnsi="Arial"/>
                <w:sz w:val="13"/>
                <w:szCs w:val="13"/>
                <w:color w:val="auto"/>
              </w:rPr>
              <w:t>Synchronization Method And Apparatus</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87"/>
              </w:rPr>
              <w:t>DE69923611.8</w:t>
            </w:r>
          </w:p>
        </w:tc>
        <w:tc>
          <w:tcPr>
            <w:tcW w:w="4300" w:type="dxa"/>
            <w:vAlign w:val="bottom"/>
          </w:tcPr>
          <w:p>
            <w:pPr>
              <w:ind w:left="80"/>
              <w:spacing w:after="0"/>
              <w:rPr>
                <w:sz w:val="20"/>
                <w:szCs w:val="20"/>
                <w:color w:val="auto"/>
              </w:rPr>
            </w:pPr>
            <w:r>
              <w:rPr>
                <w:rFonts w:ascii="Arial" w:cs="Arial" w:eastAsia="Arial" w:hAnsi="Arial"/>
                <w:sz w:val="13"/>
                <w:szCs w:val="13"/>
                <w:color w:val="auto"/>
              </w:rPr>
              <w:t>Synchronization Method And Apparatus</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85"/>
              </w:rPr>
              <w:t>EP1221212</w:t>
            </w:r>
          </w:p>
        </w:tc>
        <w:tc>
          <w:tcPr>
            <w:tcW w:w="4300" w:type="dxa"/>
            <w:vAlign w:val="bottom"/>
          </w:tcPr>
          <w:p>
            <w:pPr>
              <w:ind w:left="80"/>
              <w:spacing w:after="0"/>
              <w:rPr>
                <w:sz w:val="20"/>
                <w:szCs w:val="20"/>
                <w:color w:val="auto"/>
              </w:rPr>
            </w:pPr>
            <w:r>
              <w:rPr>
                <w:rFonts w:ascii="Arial" w:cs="Arial" w:eastAsia="Arial" w:hAnsi="Arial"/>
                <w:sz w:val="13"/>
                <w:szCs w:val="13"/>
                <w:color w:val="auto"/>
                <w:w w:val="99"/>
              </w:rPr>
              <w:t>Method And Apparatus For Synchronization Of A Communication System</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85"/>
              </w:rPr>
              <w:t>ES2235526</w:t>
            </w:r>
          </w:p>
        </w:tc>
        <w:tc>
          <w:tcPr>
            <w:tcW w:w="4300" w:type="dxa"/>
            <w:vAlign w:val="bottom"/>
          </w:tcPr>
          <w:p>
            <w:pPr>
              <w:ind w:left="80"/>
              <w:spacing w:after="0"/>
              <w:rPr>
                <w:sz w:val="20"/>
                <w:szCs w:val="20"/>
                <w:color w:val="auto"/>
              </w:rPr>
            </w:pPr>
            <w:r>
              <w:rPr>
                <w:rFonts w:ascii="Arial" w:cs="Arial" w:eastAsia="Arial" w:hAnsi="Arial"/>
                <w:sz w:val="13"/>
                <w:szCs w:val="13"/>
                <w:color w:val="auto"/>
              </w:rPr>
              <w:t>Synchronization Method And Apparatus</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85"/>
              </w:rPr>
              <w:t>FR1221212</w:t>
            </w:r>
          </w:p>
        </w:tc>
        <w:tc>
          <w:tcPr>
            <w:tcW w:w="4300" w:type="dxa"/>
            <w:vAlign w:val="bottom"/>
          </w:tcPr>
          <w:p>
            <w:pPr>
              <w:ind w:left="80"/>
              <w:spacing w:after="0"/>
              <w:rPr>
                <w:sz w:val="20"/>
                <w:szCs w:val="20"/>
                <w:color w:val="auto"/>
              </w:rPr>
            </w:pPr>
            <w:r>
              <w:rPr>
                <w:rFonts w:ascii="Arial" w:cs="Arial" w:eastAsia="Arial" w:hAnsi="Arial"/>
                <w:sz w:val="13"/>
                <w:szCs w:val="13"/>
                <w:color w:val="auto"/>
              </w:rPr>
              <w:t>Synchronization of Protocol Remapping (j)</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89"/>
              </w:rPr>
              <w:t>GB1221212</w:t>
            </w:r>
          </w:p>
        </w:tc>
        <w:tc>
          <w:tcPr>
            <w:tcW w:w="4300" w:type="dxa"/>
            <w:vAlign w:val="bottom"/>
          </w:tcPr>
          <w:p>
            <w:pPr>
              <w:ind w:left="80"/>
              <w:spacing w:after="0"/>
              <w:rPr>
                <w:sz w:val="20"/>
                <w:szCs w:val="20"/>
                <w:color w:val="auto"/>
              </w:rPr>
            </w:pPr>
            <w:r>
              <w:rPr>
                <w:rFonts w:ascii="Arial" w:cs="Arial" w:eastAsia="Arial" w:hAnsi="Arial"/>
                <w:sz w:val="13"/>
                <w:szCs w:val="13"/>
                <w:color w:val="auto"/>
              </w:rPr>
              <w:t>Synchronization of Protocol Remapping</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IT1221212</w:t>
            </w:r>
          </w:p>
        </w:tc>
        <w:tc>
          <w:tcPr>
            <w:tcW w:w="4300" w:type="dxa"/>
            <w:vAlign w:val="bottom"/>
          </w:tcPr>
          <w:p>
            <w:pPr>
              <w:ind w:left="80"/>
              <w:spacing w:after="0"/>
              <w:rPr>
                <w:sz w:val="20"/>
                <w:szCs w:val="20"/>
                <w:color w:val="auto"/>
              </w:rPr>
            </w:pPr>
            <w:r>
              <w:rPr>
                <w:rFonts w:ascii="Arial" w:cs="Arial" w:eastAsia="Arial" w:hAnsi="Arial"/>
                <w:sz w:val="13"/>
                <w:szCs w:val="13"/>
                <w:color w:val="auto"/>
              </w:rPr>
              <w:t>Synchronization of Protocol Remapping</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85"/>
              </w:rPr>
              <w:t>JP3694266</w:t>
            </w:r>
          </w:p>
        </w:tc>
        <w:tc>
          <w:tcPr>
            <w:tcW w:w="4300" w:type="dxa"/>
            <w:vAlign w:val="bottom"/>
          </w:tcPr>
          <w:p>
            <w:pPr>
              <w:ind w:left="80"/>
              <w:spacing w:after="0"/>
              <w:rPr>
                <w:sz w:val="20"/>
                <w:szCs w:val="20"/>
                <w:color w:val="auto"/>
              </w:rPr>
            </w:pPr>
            <w:r>
              <w:rPr>
                <w:rFonts w:ascii="Arial" w:cs="Arial" w:eastAsia="Arial" w:hAnsi="Arial"/>
                <w:sz w:val="13"/>
                <w:szCs w:val="13"/>
                <w:color w:val="auto"/>
              </w:rPr>
              <w:t>Synchronization Method And Apparatus</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87"/>
              </w:rPr>
              <w:t>KR621232</w:t>
            </w:r>
          </w:p>
        </w:tc>
        <w:tc>
          <w:tcPr>
            <w:tcW w:w="4300" w:type="dxa"/>
            <w:vAlign w:val="bottom"/>
          </w:tcPr>
          <w:p>
            <w:pPr>
              <w:ind w:left="80"/>
              <w:spacing w:after="0"/>
              <w:rPr>
                <w:sz w:val="20"/>
                <w:szCs w:val="20"/>
                <w:color w:val="auto"/>
              </w:rPr>
            </w:pPr>
            <w:r>
              <w:rPr>
                <w:rFonts w:ascii="Arial" w:cs="Arial" w:eastAsia="Arial" w:hAnsi="Arial"/>
                <w:sz w:val="13"/>
                <w:szCs w:val="13"/>
                <w:color w:val="auto"/>
              </w:rPr>
              <w:t>Synchronization Method And Apparatus</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NL1221212</w:t>
            </w:r>
          </w:p>
        </w:tc>
        <w:tc>
          <w:tcPr>
            <w:tcW w:w="4300" w:type="dxa"/>
            <w:vAlign w:val="bottom"/>
          </w:tcPr>
          <w:p>
            <w:pPr>
              <w:ind w:left="80"/>
              <w:spacing w:after="0"/>
              <w:rPr>
                <w:sz w:val="20"/>
                <w:szCs w:val="20"/>
                <w:color w:val="auto"/>
              </w:rPr>
            </w:pPr>
            <w:r>
              <w:rPr>
                <w:rFonts w:ascii="Arial" w:cs="Arial" w:eastAsia="Arial" w:hAnsi="Arial"/>
                <w:sz w:val="13"/>
                <w:szCs w:val="13"/>
                <w:color w:val="auto"/>
              </w:rPr>
              <w:t>Synchronization of Protocol Remapping</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11-Oct-99</w:t>
            </w:r>
          </w:p>
        </w:tc>
        <w:tc>
          <w:tcPr>
            <w:tcW w:w="940" w:type="dxa"/>
            <w:vAlign w:val="bottom"/>
          </w:tcPr>
          <w:p>
            <w:pPr>
              <w:jc w:val="center"/>
              <w:spacing w:after="0"/>
              <w:rPr>
                <w:sz w:val="20"/>
                <w:szCs w:val="20"/>
                <w:color w:val="auto"/>
              </w:rPr>
            </w:pPr>
            <w:r>
              <w:rPr>
                <w:rFonts w:ascii="Arial" w:cs="Arial" w:eastAsia="Arial" w:hAnsi="Arial"/>
                <w:sz w:val="13"/>
                <w:szCs w:val="13"/>
                <w:color w:val="auto"/>
                <w:w w:val="85"/>
              </w:rPr>
              <w:t>SE1221212</w:t>
            </w:r>
          </w:p>
        </w:tc>
        <w:tc>
          <w:tcPr>
            <w:tcW w:w="4300" w:type="dxa"/>
            <w:vAlign w:val="bottom"/>
          </w:tcPr>
          <w:p>
            <w:pPr>
              <w:ind w:left="80"/>
              <w:spacing w:after="0"/>
              <w:rPr>
                <w:sz w:val="20"/>
                <w:szCs w:val="20"/>
                <w:color w:val="auto"/>
              </w:rPr>
            </w:pPr>
            <w:r>
              <w:rPr>
                <w:rFonts w:ascii="Arial" w:cs="Arial" w:eastAsia="Arial" w:hAnsi="Arial"/>
                <w:sz w:val="13"/>
                <w:szCs w:val="13"/>
                <w:color w:val="auto"/>
              </w:rPr>
              <w:t>Synchronization of Protocol Remapping</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8"/>
              </w:rPr>
              <w:t>17-Jul-03</w:t>
            </w:r>
          </w:p>
        </w:tc>
        <w:tc>
          <w:tcPr>
            <w:tcW w:w="940" w:type="dxa"/>
            <w:vAlign w:val="bottom"/>
          </w:tcPr>
          <w:p>
            <w:pPr>
              <w:jc w:val="center"/>
              <w:spacing w:after="0"/>
              <w:rPr>
                <w:sz w:val="20"/>
                <w:szCs w:val="20"/>
                <w:color w:val="auto"/>
              </w:rPr>
            </w:pPr>
            <w:r>
              <w:rPr>
                <w:rFonts w:ascii="Arial" w:cs="Arial" w:eastAsia="Arial" w:hAnsi="Arial"/>
                <w:sz w:val="13"/>
                <w:szCs w:val="13"/>
                <w:color w:val="auto"/>
                <w:w w:val="87"/>
              </w:rPr>
              <w:t>US7720048</w:t>
            </w:r>
          </w:p>
        </w:tc>
        <w:tc>
          <w:tcPr>
            <w:tcW w:w="4300" w:type="dxa"/>
            <w:vAlign w:val="bottom"/>
          </w:tcPr>
          <w:p>
            <w:pPr>
              <w:ind w:left="80"/>
              <w:spacing w:after="0"/>
              <w:rPr>
                <w:sz w:val="20"/>
                <w:szCs w:val="20"/>
                <w:color w:val="auto"/>
              </w:rPr>
            </w:pPr>
            <w:r>
              <w:rPr>
                <w:rFonts w:ascii="Arial" w:cs="Arial" w:eastAsia="Arial" w:hAnsi="Arial"/>
                <w:sz w:val="13"/>
                <w:szCs w:val="13"/>
                <w:color w:val="auto"/>
                <w:w w:val="97"/>
              </w:rPr>
              <w:t>Channel Allocation In A Network Element Between At Least Two Networks</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4-Jan-02</w:t>
            </w:r>
          </w:p>
        </w:tc>
        <w:tc>
          <w:tcPr>
            <w:tcW w:w="940" w:type="dxa"/>
            <w:vAlign w:val="bottom"/>
          </w:tcPr>
          <w:p>
            <w:pPr>
              <w:jc w:val="center"/>
              <w:spacing w:after="0"/>
              <w:rPr>
                <w:sz w:val="20"/>
                <w:szCs w:val="20"/>
                <w:color w:val="auto"/>
              </w:rPr>
            </w:pPr>
            <w:r>
              <w:rPr>
                <w:rFonts w:ascii="Arial" w:cs="Arial" w:eastAsia="Arial" w:hAnsi="Arial"/>
                <w:sz w:val="13"/>
                <w:szCs w:val="13"/>
                <w:color w:val="auto"/>
                <w:w w:val="85"/>
              </w:rPr>
              <w:t>JP4357835</w:t>
            </w:r>
          </w:p>
        </w:tc>
        <w:tc>
          <w:tcPr>
            <w:tcW w:w="4300" w:type="dxa"/>
            <w:vAlign w:val="bottom"/>
          </w:tcPr>
          <w:p>
            <w:pPr>
              <w:ind w:left="80"/>
              <w:spacing w:after="0"/>
              <w:rPr>
                <w:sz w:val="20"/>
                <w:szCs w:val="20"/>
                <w:color w:val="auto"/>
              </w:rPr>
            </w:pPr>
            <w:r>
              <w:rPr>
                <w:rFonts w:ascii="Arial" w:cs="Arial" w:eastAsia="Arial" w:hAnsi="Arial"/>
                <w:sz w:val="13"/>
                <w:szCs w:val="13"/>
                <w:color w:val="auto"/>
              </w:rPr>
              <w:t>Routing Of Call Made To Subscriber</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6-Aug-08</w:t>
            </w:r>
          </w:p>
        </w:tc>
        <w:tc>
          <w:tcPr>
            <w:tcW w:w="940" w:type="dxa"/>
            <w:vAlign w:val="bottom"/>
          </w:tcPr>
          <w:p>
            <w:pPr>
              <w:jc w:val="center"/>
              <w:spacing w:after="0"/>
              <w:rPr>
                <w:sz w:val="20"/>
                <w:szCs w:val="20"/>
                <w:color w:val="auto"/>
              </w:rPr>
            </w:pPr>
            <w:r>
              <w:rPr>
                <w:rFonts w:ascii="Arial" w:cs="Arial" w:eastAsia="Arial" w:hAnsi="Arial"/>
                <w:sz w:val="13"/>
                <w:szCs w:val="13"/>
                <w:color w:val="auto"/>
                <w:w w:val="85"/>
              </w:rPr>
              <w:t>JP4929248</w:t>
            </w:r>
          </w:p>
        </w:tc>
        <w:tc>
          <w:tcPr>
            <w:tcW w:w="4300" w:type="dxa"/>
            <w:vAlign w:val="bottom"/>
          </w:tcPr>
          <w:p>
            <w:pPr>
              <w:ind w:left="80"/>
              <w:spacing w:after="0"/>
              <w:rPr>
                <w:sz w:val="20"/>
                <w:szCs w:val="20"/>
                <w:color w:val="auto"/>
              </w:rPr>
            </w:pPr>
            <w:r>
              <w:rPr>
                <w:rFonts w:ascii="Arial" w:cs="Arial" w:eastAsia="Arial" w:hAnsi="Arial"/>
                <w:sz w:val="13"/>
                <w:szCs w:val="13"/>
                <w:color w:val="auto"/>
              </w:rPr>
              <w:t>Routing Of Call Given To Subscriber</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4-Jan-02</w:t>
            </w:r>
          </w:p>
        </w:tc>
        <w:tc>
          <w:tcPr>
            <w:tcW w:w="940" w:type="dxa"/>
            <w:vAlign w:val="bottom"/>
          </w:tcPr>
          <w:p>
            <w:pPr>
              <w:jc w:val="center"/>
              <w:spacing w:after="0"/>
              <w:rPr>
                <w:sz w:val="20"/>
                <w:szCs w:val="20"/>
                <w:color w:val="auto"/>
              </w:rPr>
            </w:pPr>
            <w:r>
              <w:rPr>
                <w:rFonts w:ascii="Arial" w:cs="Arial" w:eastAsia="Arial" w:hAnsi="Arial"/>
                <w:sz w:val="13"/>
                <w:szCs w:val="13"/>
                <w:color w:val="auto"/>
                <w:w w:val="87"/>
              </w:rPr>
              <w:t>US7043246</w:t>
            </w:r>
          </w:p>
        </w:tc>
        <w:tc>
          <w:tcPr>
            <w:tcW w:w="4300" w:type="dxa"/>
            <w:vAlign w:val="bottom"/>
          </w:tcPr>
          <w:p>
            <w:pPr>
              <w:ind w:left="80"/>
              <w:spacing w:after="0"/>
              <w:rPr>
                <w:sz w:val="20"/>
                <w:szCs w:val="20"/>
                <w:color w:val="auto"/>
              </w:rPr>
            </w:pPr>
            <w:r>
              <w:rPr>
                <w:rFonts w:ascii="Arial" w:cs="Arial" w:eastAsia="Arial" w:hAnsi="Arial"/>
                <w:sz w:val="13"/>
                <w:szCs w:val="13"/>
                <w:color w:val="auto"/>
              </w:rPr>
              <w:t>Routing Of Call Made To Subscriber</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16-Jun-00</w:t>
            </w:r>
          </w:p>
        </w:tc>
        <w:tc>
          <w:tcPr>
            <w:tcW w:w="940" w:type="dxa"/>
            <w:vAlign w:val="bottom"/>
          </w:tcPr>
          <w:p>
            <w:pPr>
              <w:jc w:val="center"/>
              <w:spacing w:after="0"/>
              <w:rPr>
                <w:sz w:val="20"/>
                <w:szCs w:val="20"/>
                <w:color w:val="auto"/>
              </w:rPr>
            </w:pPr>
            <w:r>
              <w:rPr>
                <w:rFonts w:ascii="Arial" w:cs="Arial" w:eastAsia="Arial" w:hAnsi="Arial"/>
                <w:sz w:val="13"/>
                <w:szCs w:val="13"/>
                <w:color w:val="auto"/>
                <w:w w:val="88"/>
              </w:rPr>
              <w:t>CN1213591C</w:t>
            </w:r>
          </w:p>
        </w:tc>
        <w:tc>
          <w:tcPr>
            <w:tcW w:w="4300" w:type="dxa"/>
            <w:vAlign w:val="bottom"/>
          </w:tcPr>
          <w:p>
            <w:pPr>
              <w:ind w:left="80"/>
              <w:spacing w:after="0"/>
              <w:rPr>
                <w:sz w:val="20"/>
                <w:szCs w:val="20"/>
                <w:color w:val="auto"/>
              </w:rPr>
            </w:pPr>
            <w:r>
              <w:rPr>
                <w:rFonts w:ascii="Arial" w:cs="Arial" w:eastAsia="Arial" w:hAnsi="Arial"/>
                <w:sz w:val="13"/>
                <w:szCs w:val="13"/>
                <w:color w:val="auto"/>
                <w:w w:val="98"/>
              </w:rPr>
              <w:t>Messaging Service System And Method To Be Performed In Such System</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16-Jun-00</w:t>
            </w:r>
          </w:p>
        </w:tc>
        <w:tc>
          <w:tcPr>
            <w:tcW w:w="940" w:type="dxa"/>
            <w:vAlign w:val="bottom"/>
          </w:tcPr>
          <w:p>
            <w:pPr>
              <w:jc w:val="center"/>
              <w:spacing w:after="0"/>
              <w:rPr>
                <w:sz w:val="20"/>
                <w:szCs w:val="20"/>
                <w:color w:val="auto"/>
              </w:rPr>
            </w:pPr>
            <w:r>
              <w:rPr>
                <w:rFonts w:ascii="Arial" w:cs="Arial" w:eastAsia="Arial" w:hAnsi="Arial"/>
                <w:sz w:val="13"/>
                <w:szCs w:val="13"/>
                <w:color w:val="auto"/>
                <w:w w:val="89"/>
              </w:rPr>
              <w:t>DE60010529.6</w:t>
            </w:r>
          </w:p>
        </w:tc>
        <w:tc>
          <w:tcPr>
            <w:tcW w:w="4300" w:type="dxa"/>
            <w:vAlign w:val="bottom"/>
          </w:tcPr>
          <w:p>
            <w:pPr>
              <w:ind w:left="80"/>
              <w:spacing w:after="0"/>
              <w:rPr>
                <w:sz w:val="20"/>
                <w:szCs w:val="20"/>
                <w:color w:val="auto"/>
              </w:rPr>
            </w:pPr>
            <w:r>
              <w:rPr>
                <w:rFonts w:ascii="Arial" w:cs="Arial" w:eastAsia="Arial" w:hAnsi="Arial"/>
                <w:sz w:val="13"/>
                <w:szCs w:val="13"/>
                <w:color w:val="auto"/>
                <w:w w:val="95"/>
              </w:rPr>
              <w:t>Messaging Service System And Method To Be Performed In Such A System</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16-Jun-00</w:t>
            </w:r>
          </w:p>
        </w:tc>
        <w:tc>
          <w:tcPr>
            <w:tcW w:w="940" w:type="dxa"/>
            <w:vAlign w:val="bottom"/>
          </w:tcPr>
          <w:p>
            <w:pPr>
              <w:jc w:val="center"/>
              <w:spacing w:after="0"/>
              <w:rPr>
                <w:sz w:val="20"/>
                <w:szCs w:val="20"/>
                <w:color w:val="auto"/>
              </w:rPr>
            </w:pPr>
            <w:r>
              <w:rPr>
                <w:rFonts w:ascii="Arial" w:cs="Arial" w:eastAsia="Arial" w:hAnsi="Arial"/>
                <w:sz w:val="13"/>
                <w:szCs w:val="13"/>
                <w:color w:val="auto"/>
                <w:w w:val="85"/>
              </w:rPr>
              <w:t>EP1295465</w:t>
            </w:r>
          </w:p>
        </w:tc>
        <w:tc>
          <w:tcPr>
            <w:tcW w:w="4300" w:type="dxa"/>
            <w:vAlign w:val="bottom"/>
          </w:tcPr>
          <w:p>
            <w:pPr>
              <w:ind w:left="80"/>
              <w:spacing w:after="0"/>
              <w:rPr>
                <w:sz w:val="20"/>
                <w:szCs w:val="20"/>
                <w:color w:val="auto"/>
              </w:rPr>
            </w:pPr>
            <w:r>
              <w:rPr>
                <w:rFonts w:ascii="Arial" w:cs="Arial" w:eastAsia="Arial" w:hAnsi="Arial"/>
                <w:sz w:val="13"/>
                <w:szCs w:val="13"/>
                <w:color w:val="auto"/>
                <w:w w:val="95"/>
              </w:rPr>
              <w:t>Messaging Service System And Method To Be Performed In Such A System</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16-Jun-00</w:t>
            </w:r>
          </w:p>
        </w:tc>
        <w:tc>
          <w:tcPr>
            <w:tcW w:w="940" w:type="dxa"/>
            <w:vAlign w:val="bottom"/>
          </w:tcPr>
          <w:p>
            <w:pPr>
              <w:jc w:val="center"/>
              <w:spacing w:after="0"/>
              <w:rPr>
                <w:sz w:val="20"/>
                <w:szCs w:val="20"/>
                <w:color w:val="auto"/>
              </w:rPr>
            </w:pPr>
            <w:r>
              <w:rPr>
                <w:rFonts w:ascii="Arial" w:cs="Arial" w:eastAsia="Arial" w:hAnsi="Arial"/>
                <w:sz w:val="13"/>
                <w:szCs w:val="13"/>
                <w:color w:val="auto"/>
                <w:w w:val="85"/>
              </w:rPr>
              <w:t>FR1295465</w:t>
            </w:r>
          </w:p>
        </w:tc>
        <w:tc>
          <w:tcPr>
            <w:tcW w:w="4300" w:type="dxa"/>
            <w:vAlign w:val="bottom"/>
          </w:tcPr>
          <w:p>
            <w:pPr>
              <w:ind w:left="80"/>
              <w:spacing w:after="0"/>
              <w:rPr>
                <w:sz w:val="20"/>
                <w:szCs w:val="20"/>
                <w:color w:val="auto"/>
              </w:rPr>
            </w:pPr>
            <w:r>
              <w:rPr>
                <w:rFonts w:ascii="Arial" w:cs="Arial" w:eastAsia="Arial" w:hAnsi="Arial"/>
                <w:sz w:val="13"/>
                <w:szCs w:val="13"/>
                <w:color w:val="auto"/>
              </w:rPr>
              <w:t>Multimedia Messaging Digital Print Designation Format</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16-Jun-00</w:t>
            </w:r>
          </w:p>
        </w:tc>
        <w:tc>
          <w:tcPr>
            <w:tcW w:w="940" w:type="dxa"/>
            <w:vAlign w:val="bottom"/>
          </w:tcPr>
          <w:p>
            <w:pPr>
              <w:jc w:val="center"/>
              <w:spacing w:after="0"/>
              <w:rPr>
                <w:sz w:val="20"/>
                <w:szCs w:val="20"/>
                <w:color w:val="auto"/>
              </w:rPr>
            </w:pPr>
            <w:r>
              <w:rPr>
                <w:rFonts w:ascii="Arial" w:cs="Arial" w:eastAsia="Arial" w:hAnsi="Arial"/>
                <w:sz w:val="13"/>
                <w:szCs w:val="13"/>
                <w:color w:val="auto"/>
                <w:w w:val="89"/>
              </w:rPr>
              <w:t>GB1295465</w:t>
            </w:r>
          </w:p>
        </w:tc>
        <w:tc>
          <w:tcPr>
            <w:tcW w:w="4300" w:type="dxa"/>
            <w:vAlign w:val="bottom"/>
          </w:tcPr>
          <w:p>
            <w:pPr>
              <w:ind w:left="80"/>
              <w:spacing w:after="0"/>
              <w:rPr>
                <w:sz w:val="20"/>
                <w:szCs w:val="20"/>
                <w:color w:val="auto"/>
              </w:rPr>
            </w:pPr>
            <w:r>
              <w:rPr>
                <w:rFonts w:ascii="Arial" w:cs="Arial" w:eastAsia="Arial" w:hAnsi="Arial"/>
                <w:sz w:val="13"/>
                <w:szCs w:val="13"/>
                <w:color w:val="auto"/>
              </w:rPr>
              <w:t>Multimedia Messaging Digital Print Designation Format</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7"/>
              </w:rPr>
              <w:t>Pending</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16-Jun-00</w:t>
            </w:r>
          </w:p>
        </w:tc>
        <w:tc>
          <w:tcPr>
            <w:tcW w:w="940" w:type="dxa"/>
            <w:vAlign w:val="bottom"/>
          </w:tcPr>
          <w:p>
            <w:pPr>
              <w:jc w:val="center"/>
              <w:spacing w:after="0"/>
              <w:rPr>
                <w:sz w:val="20"/>
                <w:szCs w:val="20"/>
                <w:color w:val="auto"/>
              </w:rPr>
            </w:pPr>
            <w:r>
              <w:rPr>
                <w:rFonts w:ascii="Arial" w:cs="Arial" w:eastAsia="Arial" w:hAnsi="Arial"/>
                <w:sz w:val="13"/>
                <w:szCs w:val="13"/>
                <w:color w:val="auto"/>
                <w:w w:val="87"/>
              </w:rPr>
              <w:t>US7986422</w:t>
            </w:r>
          </w:p>
        </w:tc>
        <w:tc>
          <w:tcPr>
            <w:tcW w:w="4300" w:type="dxa"/>
            <w:vAlign w:val="bottom"/>
          </w:tcPr>
          <w:p>
            <w:pPr>
              <w:ind w:left="80"/>
              <w:spacing w:after="0"/>
              <w:rPr>
                <w:sz w:val="20"/>
                <w:szCs w:val="20"/>
                <w:color w:val="auto"/>
              </w:rPr>
            </w:pPr>
            <w:r>
              <w:rPr>
                <w:rFonts w:ascii="Arial" w:cs="Arial" w:eastAsia="Arial" w:hAnsi="Arial"/>
                <w:sz w:val="13"/>
                <w:szCs w:val="13"/>
                <w:color w:val="auto"/>
                <w:w w:val="95"/>
              </w:rPr>
              <w:t>Messaging Service System And Method To Be Performed In Such A System</w:t>
            </w:r>
          </w:p>
        </w:tc>
      </w:tr>
      <w:tr>
        <w:trPr>
          <w:trHeight w:val="405"/>
        </w:trPr>
        <w:tc>
          <w:tcPr>
            <w:tcW w:w="560" w:type="dxa"/>
            <w:vAlign w:val="bottom"/>
          </w:tcPr>
          <w:p>
            <w:pPr>
              <w:jc w:val="center"/>
              <w:ind w:right="77"/>
              <w:spacing w:after="0"/>
              <w:rPr>
                <w:sz w:val="20"/>
                <w:szCs w:val="20"/>
                <w:color w:val="auto"/>
              </w:rPr>
            </w:pPr>
            <w:r>
              <w:rPr>
                <w:rFonts w:ascii="Arial" w:cs="Arial" w:eastAsia="Arial" w:hAnsi="Arial"/>
                <w:sz w:val="13"/>
                <w:szCs w:val="13"/>
                <w:color w:val="auto"/>
                <w:w w:val="87"/>
              </w:rPr>
              <w:t>Pending</w:t>
            </w:r>
          </w:p>
        </w:tc>
        <w:tc>
          <w:tcPr>
            <w:tcW w:w="760" w:type="dxa"/>
            <w:vAlign w:val="bottom"/>
          </w:tcPr>
          <w:p>
            <w:pPr>
              <w:jc w:val="center"/>
              <w:spacing w:after="0"/>
              <w:rPr>
                <w:sz w:val="20"/>
                <w:szCs w:val="20"/>
                <w:color w:val="auto"/>
              </w:rPr>
            </w:pPr>
            <w:r>
              <w:rPr>
                <w:rFonts w:ascii="Arial" w:cs="Arial" w:eastAsia="Arial" w:hAnsi="Arial"/>
                <w:sz w:val="13"/>
                <w:szCs w:val="13"/>
                <w:color w:val="auto"/>
                <w:w w:val="88"/>
              </w:rPr>
              <w:t>26-Jul-13</w:t>
            </w:r>
          </w:p>
        </w:tc>
        <w:tc>
          <w:tcPr>
            <w:tcW w:w="940" w:type="dxa"/>
            <w:vAlign w:val="bottom"/>
          </w:tcPr>
          <w:p>
            <w:pPr>
              <w:spacing w:after="0"/>
              <w:rPr>
                <w:sz w:val="24"/>
                <w:szCs w:val="24"/>
                <w:color w:val="auto"/>
              </w:rPr>
            </w:pPr>
          </w:p>
        </w:tc>
        <w:tc>
          <w:tcPr>
            <w:tcW w:w="4300" w:type="dxa"/>
            <w:vAlign w:val="bottom"/>
          </w:tcPr>
          <w:p>
            <w:pPr>
              <w:ind w:left="80"/>
              <w:spacing w:after="0"/>
              <w:rPr>
                <w:sz w:val="20"/>
                <w:szCs w:val="20"/>
                <w:color w:val="auto"/>
              </w:rPr>
            </w:pPr>
            <w:r>
              <w:rPr>
                <w:rFonts w:ascii="Arial" w:cs="Arial" w:eastAsia="Arial" w:hAnsi="Arial"/>
                <w:sz w:val="13"/>
                <w:szCs w:val="13"/>
                <w:color w:val="auto"/>
                <w:w w:val="95"/>
              </w:rPr>
              <w:t>Messaging Service System And Method To Be Performed In Such A System</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90"/>
              </w:rPr>
              <w:t>4-May-00</w:t>
            </w:r>
          </w:p>
        </w:tc>
        <w:tc>
          <w:tcPr>
            <w:tcW w:w="940" w:type="dxa"/>
            <w:vAlign w:val="bottom"/>
          </w:tcPr>
          <w:p>
            <w:pPr>
              <w:jc w:val="center"/>
              <w:spacing w:after="0"/>
              <w:rPr>
                <w:sz w:val="20"/>
                <w:szCs w:val="20"/>
                <w:color w:val="auto"/>
              </w:rPr>
            </w:pPr>
            <w:r>
              <w:rPr>
                <w:rFonts w:ascii="Arial" w:cs="Arial" w:eastAsia="Arial" w:hAnsi="Arial"/>
                <w:sz w:val="13"/>
                <w:szCs w:val="13"/>
                <w:color w:val="auto"/>
                <w:w w:val="87"/>
              </w:rPr>
              <w:t>US6934280</w:t>
            </w:r>
          </w:p>
        </w:tc>
        <w:tc>
          <w:tcPr>
            <w:tcW w:w="4300" w:type="dxa"/>
            <w:vAlign w:val="bottom"/>
          </w:tcPr>
          <w:p>
            <w:pPr>
              <w:ind w:left="80"/>
              <w:spacing w:after="0"/>
              <w:rPr>
                <w:sz w:val="20"/>
                <w:szCs w:val="20"/>
                <w:color w:val="auto"/>
              </w:rPr>
            </w:pPr>
            <w:r>
              <w:rPr>
                <w:rFonts w:ascii="Arial" w:cs="Arial" w:eastAsia="Arial" w:hAnsi="Arial"/>
                <w:sz w:val="13"/>
                <w:szCs w:val="13"/>
                <w:color w:val="auto"/>
              </w:rPr>
              <w:t>Multiple Services Emulation Over A Single Network Service</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4-Jun-03</w:t>
            </w:r>
          </w:p>
        </w:tc>
        <w:tc>
          <w:tcPr>
            <w:tcW w:w="940" w:type="dxa"/>
            <w:vAlign w:val="bottom"/>
          </w:tcPr>
          <w:p>
            <w:pPr>
              <w:jc w:val="center"/>
              <w:spacing w:after="0"/>
              <w:rPr>
                <w:sz w:val="20"/>
                <w:szCs w:val="20"/>
                <w:color w:val="auto"/>
              </w:rPr>
            </w:pPr>
            <w:r>
              <w:rPr>
                <w:rFonts w:ascii="Arial" w:cs="Arial" w:eastAsia="Arial" w:hAnsi="Arial"/>
                <w:sz w:val="13"/>
                <w:szCs w:val="13"/>
                <w:color w:val="auto"/>
                <w:w w:val="85"/>
              </w:rPr>
              <w:t>EP1514432</w:t>
            </w:r>
          </w:p>
        </w:tc>
        <w:tc>
          <w:tcPr>
            <w:tcW w:w="4300" w:type="dxa"/>
            <w:vAlign w:val="bottom"/>
          </w:tcPr>
          <w:p>
            <w:pPr>
              <w:ind w:left="80"/>
              <w:spacing w:after="0"/>
              <w:rPr>
                <w:sz w:val="20"/>
                <w:szCs w:val="20"/>
                <w:color w:val="auto"/>
              </w:rPr>
            </w:pPr>
            <w:r>
              <w:rPr>
                <w:rFonts w:ascii="Arial" w:cs="Arial" w:eastAsia="Arial" w:hAnsi="Arial"/>
                <w:sz w:val="13"/>
                <w:szCs w:val="13"/>
                <w:color w:val="auto"/>
              </w:rPr>
              <w:t>A System And Method For Event Notifications In A Multimedia Network</w:t>
            </w: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8"/>
              </w:rPr>
              <w:t>13-Dec-04</w:t>
            </w:r>
          </w:p>
        </w:tc>
        <w:tc>
          <w:tcPr>
            <w:tcW w:w="940" w:type="dxa"/>
            <w:vAlign w:val="bottom"/>
          </w:tcPr>
          <w:p>
            <w:pPr>
              <w:jc w:val="center"/>
              <w:spacing w:after="0"/>
              <w:rPr>
                <w:sz w:val="20"/>
                <w:szCs w:val="20"/>
                <w:color w:val="auto"/>
              </w:rPr>
            </w:pPr>
            <w:r>
              <w:rPr>
                <w:rFonts w:ascii="Arial" w:cs="Arial" w:eastAsia="Arial" w:hAnsi="Arial"/>
                <w:sz w:val="13"/>
                <w:szCs w:val="13"/>
                <w:color w:val="auto"/>
                <w:w w:val="87"/>
              </w:rPr>
              <w:t>US7353278</w:t>
            </w:r>
          </w:p>
        </w:tc>
        <w:tc>
          <w:tcPr>
            <w:tcW w:w="4300" w:type="dxa"/>
            <w:vAlign w:val="bottom"/>
          </w:tcPr>
          <w:p>
            <w:pPr>
              <w:ind w:left="80"/>
              <w:spacing w:after="0"/>
              <w:rPr>
                <w:sz w:val="20"/>
                <w:szCs w:val="20"/>
                <w:color w:val="auto"/>
              </w:rPr>
            </w:pPr>
            <w:r>
              <w:rPr>
                <w:rFonts w:ascii="Arial" w:cs="Arial" w:eastAsia="Arial" w:hAnsi="Arial"/>
                <w:sz w:val="13"/>
                <w:szCs w:val="13"/>
                <w:color w:val="auto"/>
              </w:rPr>
              <w:t>System And Method For Event Notifications In A Multimedia Network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-7381240</wp:posOffset>
            </wp:positionV>
            <wp:extent cx="7246620" cy="257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-6866890</wp:posOffset>
            </wp:positionV>
            <wp:extent cx="7246620" cy="2571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-6352540</wp:posOffset>
            </wp:positionV>
            <wp:extent cx="7246620"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-5838190</wp:posOffset>
            </wp:positionV>
            <wp:extent cx="7246620"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-5323205</wp:posOffset>
            </wp:positionV>
            <wp:extent cx="7246620" cy="257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-4808855</wp:posOffset>
            </wp:positionV>
            <wp:extent cx="7246620" cy="257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-4294505</wp:posOffset>
            </wp:positionV>
            <wp:extent cx="7246620" cy="257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-3779520</wp:posOffset>
            </wp:positionV>
            <wp:extent cx="7246620" cy="2571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-3265170</wp:posOffset>
            </wp:positionV>
            <wp:extent cx="7246620" cy="2571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-2750820</wp:posOffset>
            </wp:positionV>
            <wp:extent cx="7246620" cy="2571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-2235835</wp:posOffset>
            </wp:positionV>
            <wp:extent cx="7246620" cy="2571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-1721485</wp:posOffset>
            </wp:positionV>
            <wp:extent cx="7246620" cy="2571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-1207135</wp:posOffset>
            </wp:positionV>
            <wp:extent cx="7246620" cy="2571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-692150</wp:posOffset>
            </wp:positionV>
            <wp:extent cx="7246620" cy="2571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-177800</wp:posOffset>
            </wp:positionV>
            <wp:extent cx="7246620" cy="2571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12"/>
        </w:trPr>
        <w:tc>
          <w:tcPr>
            <w:tcW w:w="1880" w:type="dxa"/>
            <w:vAlign w:val="bottom"/>
            <w:vMerge w:val="restart"/>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880" w:type="dxa"/>
            <w:vAlign w:val="bottom"/>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0"/>
                <w:szCs w:val="20"/>
                <w:color w:val="auto"/>
              </w:rPr>
            </w:pPr>
            <w:r>
              <w:rPr>
                <w:rFonts w:ascii="Arial" w:cs="Arial" w:eastAsia="Arial" w:hAnsi="Arial"/>
                <w:sz w:val="13"/>
                <w:szCs w:val="13"/>
                <w:color w:val="auto"/>
              </w:rPr>
              <w:t>Raesaenen Juha</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12"/>
        </w:trPr>
        <w:tc>
          <w:tcPr>
            <w:tcW w:w="1880" w:type="dxa"/>
            <w:vAlign w:val="bottom"/>
            <w:vMerge w:val="restart"/>
          </w:tcPr>
          <w:p>
            <w:pPr>
              <w:spacing w:after="0"/>
              <w:rPr>
                <w:sz w:val="20"/>
                <w:szCs w:val="20"/>
                <w:color w:val="auto"/>
              </w:rPr>
            </w:pPr>
            <w:r>
              <w:rPr>
                <w:rFonts w:ascii="Arial" w:cs="Arial" w:eastAsia="Arial" w:hAnsi="Arial"/>
                <w:sz w:val="13"/>
                <w:szCs w:val="13"/>
                <w:color w:val="auto"/>
              </w:rPr>
              <w:t>Pulkka Pekka</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vMerge w:val="restart"/>
          </w:tcPr>
          <w:p>
            <w:pPr>
              <w:spacing w:after="0"/>
              <w:rPr>
                <w:sz w:val="20"/>
                <w:szCs w:val="20"/>
                <w:color w:val="auto"/>
              </w:rPr>
            </w:pPr>
            <w:r>
              <w:rPr>
                <w:rFonts w:ascii="Arial" w:cs="Arial" w:eastAsia="Arial" w:hAnsi="Arial"/>
                <w:sz w:val="13"/>
                <w:szCs w:val="13"/>
                <w:color w:val="auto"/>
              </w:rPr>
              <w:t>Uskela Sami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88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880" w:type="dxa"/>
            <w:vAlign w:val="bottom"/>
          </w:tcPr>
          <w:p>
            <w:pPr>
              <w:spacing w:after="0"/>
              <w:rPr>
                <w:sz w:val="20"/>
                <w:szCs w:val="20"/>
                <w:color w:val="auto"/>
              </w:rPr>
            </w:pPr>
            <w:r>
              <w:rPr>
                <w:rFonts w:ascii="Arial" w:cs="Arial" w:eastAsia="Arial" w:hAnsi="Arial"/>
                <w:sz w:val="13"/>
                <w:szCs w:val="13"/>
                <w:color w:val="auto"/>
              </w:rPr>
              <w:t>Uskela Sami [Fi]</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880" w:type="dxa"/>
            <w:vAlign w:val="bottom"/>
          </w:tcPr>
          <w:p>
            <w:pPr>
              <w:spacing w:after="0"/>
              <w:rPr>
                <w:sz w:val="20"/>
                <w:szCs w:val="20"/>
                <w:color w:val="auto"/>
              </w:rPr>
            </w:pPr>
            <w:r>
              <w:rPr>
                <w:rFonts w:ascii="Arial" w:cs="Arial" w:eastAsia="Arial" w:hAnsi="Arial"/>
                <w:sz w:val="13"/>
                <w:szCs w:val="13"/>
                <w:color w:val="auto"/>
              </w:rPr>
              <w:t>Uskela Sami [Fi]</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12"/>
        </w:trPr>
        <w:tc>
          <w:tcPr>
            <w:tcW w:w="1880" w:type="dxa"/>
            <w:vAlign w:val="bottom"/>
          </w:tcPr>
          <w:p>
            <w:pPr>
              <w:spacing w:after="0"/>
              <w:rPr>
                <w:sz w:val="20"/>
                <w:szCs w:val="20"/>
                <w:color w:val="auto"/>
              </w:rPr>
            </w:pPr>
            <w:r>
              <w:rPr>
                <w:rFonts w:ascii="Arial" w:cs="Arial" w:eastAsia="Arial" w:hAnsi="Arial"/>
                <w:sz w:val="13"/>
                <w:szCs w:val="13"/>
                <w:color w:val="auto"/>
              </w:rPr>
              <w:t>Hallikainen Aaro [Fi] Rooke</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Michael [Fi] (+2)</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rPr>
              <w:t>Hallikainen Aaro [Fi] Rooke</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Michael [Fi] (+2)</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rPr>
              <w:t>Hallikainen Aaro [Fi] Rooke</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Michael [Fi] (+2)</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rPr>
              <w:t>Hallikainen Aaro [Fi] Rooke</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Michael [Fi] (+2)</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rPr>
              <w:t>Hallikainen Aaro [Fi] Rooke</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Michael [Fi] (+2)</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rPr>
              <w:t>Hallikainen Aaro [Fi] Rooke</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Michael [Fi] (+2)</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rPr>
              <w:t>Hallikainen Aaro [Fi] Rooke</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Michael [Fi] (+2)</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Ho Chi Fai [Us] Merchant Shashank</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[Us] (+4)</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rPr>
              <w:t>Tuunanen Heikki [Fi] Heerman</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Mikael [Fi]</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rPr>
              <w:t>Tuunanen Heikki [Fi] Heerman</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Mikael [Fi]</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3">
            <w:col w:w="1800" w:space="300"/>
            <w:col w:w="6560" w:space="280"/>
            <w:col w:w="2380"/>
          </w:cols>
          <w:pgMar w:left="280" w:top="111" w:right="299" w:bottom="0" w:gutter="0" w:footer="0" w:header="0"/>
        </w:sectPr>
      </w:pPr>
    </w:p>
    <w:tbl>
      <w:tblPr>
        <w:tblLayout w:type="fixed"/>
        <w:tblInd w:w="0" w:type="dxa"/>
        <w:tblCellMar>
          <w:top w:w="0" w:type="dxa"/>
          <w:left w:w="0" w:type="dxa"/>
          <w:bottom w:w="0" w:type="dxa"/>
          <w:right w:w="0" w:type="dxa"/>
        </w:tblCellMar>
      </w:tblPr>
      <w:tr>
        <w:trPr>
          <w:trHeight w:val="125"/>
        </w:trPr>
        <w:tc>
          <w:tcPr>
            <w:tcW w:w="640" w:type="dxa"/>
            <w:vAlign w:val="bottom"/>
          </w:tcPr>
          <w:p>
            <w:pPr>
              <w:jc w:val="center"/>
              <w:spacing w:after="0" w:line="125" w:lineRule="exact"/>
              <w:rPr>
                <w:sz w:val="20"/>
                <w:szCs w:val="20"/>
                <w:color w:val="auto"/>
              </w:rPr>
            </w:pPr>
            <w:r>
              <w:rPr>
                <w:rFonts w:ascii="Arial" w:cs="Arial" w:eastAsia="Arial" w:hAnsi="Arial"/>
                <w:sz w:val="13"/>
                <w:szCs w:val="13"/>
                <w:color w:val="auto"/>
                <w:w w:val="94"/>
              </w:rPr>
              <w:t>A16875I-</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37"/>
              <w:spacing w:after="0"/>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0"/>
              </w:rPr>
              <w:t>CN01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A16875VI-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A16875VI-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A16875VI-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A17007VI-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A17007VI-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A17007VI-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A17007VI-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A17007VI-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A17122VI-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CH</w:t>
            </w:r>
          </w:p>
        </w:tc>
        <w:tc>
          <w:tcPr>
            <w:tcW w:w="0" w:type="dxa"/>
            <w:vAlign w:val="bottom"/>
          </w:tcPr>
          <w:p>
            <w:pPr>
              <w:spacing w:after="0"/>
              <w:rPr>
                <w:sz w:val="1"/>
                <w:szCs w:val="1"/>
                <w:color w:val="auto"/>
              </w:rPr>
            </w:pPr>
          </w:p>
        </w:tc>
      </w:tr>
      <w:tr>
        <w:trPr>
          <w:trHeight w:val="135"/>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CH01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0"/>
              </w:rPr>
              <w:t>24-May-04</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9"/>
              </w:rPr>
              <w:t>CN1795446</w:t>
            </w:r>
          </w:p>
        </w:tc>
        <w:tc>
          <w:tcPr>
            <w:tcW w:w="4520" w:type="dxa"/>
            <w:vAlign w:val="bottom"/>
          </w:tcPr>
          <w:p>
            <w:pPr>
              <w:ind w:left="80"/>
              <w:spacing w:after="0" w:line="125" w:lineRule="exact"/>
              <w:rPr>
                <w:sz w:val="20"/>
                <w:szCs w:val="20"/>
                <w:color w:val="auto"/>
              </w:rPr>
            </w:pPr>
            <w:r>
              <w:rPr>
                <w:rFonts w:ascii="Arial" w:cs="Arial" w:eastAsia="Arial" w:hAnsi="Arial"/>
                <w:sz w:val="13"/>
                <w:szCs w:val="13"/>
                <w:color w:val="auto"/>
                <w:w w:val="89"/>
              </w:rPr>
              <w:t>Computer Cluster, Computer Node In The Cluster And State Information Transmission</w:t>
            </w:r>
          </w:p>
        </w:tc>
        <w:tc>
          <w:tcPr>
            <w:tcW w:w="1860" w:type="dxa"/>
            <w:vAlign w:val="bottom"/>
          </w:tcPr>
          <w:p>
            <w:pPr>
              <w:ind w:left="60"/>
              <w:spacing w:after="0" w:line="125" w:lineRule="exact"/>
              <w:rPr>
                <w:sz w:val="20"/>
                <w:szCs w:val="20"/>
                <w:color w:val="auto"/>
              </w:rPr>
            </w:pPr>
            <w:r>
              <w:rPr>
                <w:rFonts w:ascii="Arial" w:cs="Arial" w:eastAsia="Arial" w:hAnsi="Arial"/>
                <w:sz w:val="13"/>
                <w:szCs w:val="13"/>
                <w:color w:val="auto"/>
                <w:w w:val="92"/>
              </w:rPr>
              <w:t>Vainio Jukka A Jalonen Teemu V</w:t>
            </w:r>
          </w:p>
        </w:tc>
        <w:tc>
          <w:tcPr>
            <w:tcW w:w="580" w:type="dxa"/>
            <w:vAlign w:val="bottom"/>
          </w:tcPr>
          <w:p>
            <w:pPr>
              <w:jc w:val="center"/>
              <w:ind w:left="77"/>
              <w:spacing w:after="0" w:line="125" w:lineRule="exact"/>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Method</w:t>
            </w:r>
          </w:p>
        </w:tc>
        <w:tc>
          <w:tcPr>
            <w:tcW w:w="18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580" w:type="dxa"/>
            <w:vAlign w:val="bottom"/>
            <w:vMerge w:val="restart"/>
          </w:tcPr>
          <w:p>
            <w:pPr>
              <w:jc w:val="center"/>
              <w:ind w:left="57"/>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8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77"/>
              <w:spacing w:after="0"/>
              <w:rPr>
                <w:sz w:val="20"/>
                <w:szCs w:val="20"/>
                <w:color w:val="auto"/>
              </w:rPr>
            </w:pPr>
            <w:r>
              <w:rPr>
                <w:rFonts w:ascii="Arial" w:cs="Arial" w:eastAsia="Arial" w:hAnsi="Arial"/>
                <w:sz w:val="13"/>
                <w:szCs w:val="13"/>
                <w:color w:val="auto"/>
                <w:w w:val="87"/>
              </w:rPr>
              <w:t>Pending</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0"/>
              </w:rPr>
              <w:t>24-May-04</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EP1627316</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Data Collection In A Computer Cluster</w:t>
            </w:r>
          </w:p>
        </w:tc>
        <w:tc>
          <w:tcPr>
            <w:tcW w:w="1860" w:type="dxa"/>
            <w:vAlign w:val="bottom"/>
          </w:tcPr>
          <w:p>
            <w:pPr>
              <w:ind w:left="60"/>
              <w:spacing w:after="0"/>
              <w:rPr>
                <w:sz w:val="20"/>
                <w:szCs w:val="20"/>
                <w:color w:val="auto"/>
              </w:rPr>
            </w:pPr>
            <w:r>
              <w:rPr>
                <w:rFonts w:ascii="Arial" w:cs="Arial" w:eastAsia="Arial" w:hAnsi="Arial"/>
                <w:sz w:val="13"/>
                <w:szCs w:val="13"/>
                <w:color w:val="auto"/>
                <w:w w:val="92"/>
              </w:rPr>
              <w:t>Vainio Jukka A Jalonen Teemu V</w:t>
            </w:r>
          </w:p>
        </w:tc>
        <w:tc>
          <w:tcPr>
            <w:tcW w:w="580" w:type="dxa"/>
            <w:vAlign w:val="bottom"/>
          </w:tcPr>
          <w:p>
            <w:pPr>
              <w:jc w:val="center"/>
              <w:ind w:left="7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8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580" w:type="dxa"/>
            <w:vAlign w:val="bottom"/>
            <w:vMerge w:val="restart"/>
          </w:tcPr>
          <w:p>
            <w:pPr>
              <w:jc w:val="center"/>
              <w:ind w:left="57"/>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0"/>
              </w:rPr>
              <w:t>24-May-04</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JP4129473</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Data Collection In A Computer Cluster</w:t>
            </w:r>
          </w:p>
        </w:tc>
        <w:tc>
          <w:tcPr>
            <w:tcW w:w="1860" w:type="dxa"/>
            <w:vAlign w:val="bottom"/>
          </w:tcPr>
          <w:p>
            <w:pPr>
              <w:ind w:left="60"/>
              <w:spacing w:after="0"/>
              <w:rPr>
                <w:sz w:val="20"/>
                <w:szCs w:val="20"/>
                <w:color w:val="auto"/>
              </w:rPr>
            </w:pPr>
            <w:r>
              <w:rPr>
                <w:rFonts w:ascii="Arial" w:cs="Arial" w:eastAsia="Arial" w:hAnsi="Arial"/>
                <w:sz w:val="13"/>
                <w:szCs w:val="13"/>
                <w:color w:val="auto"/>
                <w:w w:val="92"/>
              </w:rPr>
              <w:t>Vainio Jukka A Jalonen Teemu V</w:t>
            </w:r>
          </w:p>
        </w:tc>
        <w:tc>
          <w:tcPr>
            <w:tcW w:w="580" w:type="dxa"/>
            <w:vAlign w:val="bottom"/>
          </w:tcPr>
          <w:p>
            <w:pPr>
              <w:jc w:val="center"/>
              <w:ind w:left="7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8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580" w:type="dxa"/>
            <w:vAlign w:val="bottom"/>
            <w:vMerge w:val="restart"/>
          </w:tcPr>
          <w:p>
            <w:pPr>
              <w:jc w:val="center"/>
              <w:ind w:left="57"/>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8"/>
              </w:rPr>
              <w:t>31-Jul-03</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US7546366</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Data Collection In A Computer Cluster</w:t>
            </w:r>
          </w:p>
        </w:tc>
        <w:tc>
          <w:tcPr>
            <w:tcW w:w="1860" w:type="dxa"/>
            <w:vAlign w:val="bottom"/>
          </w:tcPr>
          <w:p>
            <w:pPr>
              <w:ind w:left="60"/>
              <w:spacing w:after="0"/>
              <w:rPr>
                <w:sz w:val="20"/>
                <w:szCs w:val="20"/>
                <w:color w:val="auto"/>
              </w:rPr>
            </w:pPr>
            <w:r>
              <w:rPr>
                <w:rFonts w:ascii="Arial" w:cs="Arial" w:eastAsia="Arial" w:hAnsi="Arial"/>
                <w:sz w:val="13"/>
                <w:szCs w:val="13"/>
                <w:color w:val="auto"/>
                <w:w w:val="92"/>
              </w:rPr>
              <w:t>Vainio Jukka A Jalonen Teemu V</w:t>
            </w:r>
          </w:p>
        </w:tc>
        <w:tc>
          <w:tcPr>
            <w:tcW w:w="580" w:type="dxa"/>
            <w:vAlign w:val="bottom"/>
          </w:tcPr>
          <w:p>
            <w:pPr>
              <w:jc w:val="center"/>
              <w:ind w:left="7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8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580" w:type="dxa"/>
            <w:vAlign w:val="bottom"/>
            <w:vMerge w:val="restart"/>
          </w:tcPr>
          <w:p>
            <w:pPr>
              <w:jc w:val="center"/>
              <w:ind w:left="57"/>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3"/>
              </w:rPr>
              <w:t>4-Nov-97</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9"/>
              </w:rPr>
              <w:t>DE69727641.4</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Method For Sending A Secure Message In A Telecommunications System</w:t>
            </w:r>
          </w:p>
        </w:tc>
        <w:tc>
          <w:tcPr>
            <w:tcW w:w="1860" w:type="dxa"/>
            <w:vAlign w:val="bottom"/>
            <w:vMerge w:val="restart"/>
          </w:tcPr>
          <w:p>
            <w:pPr>
              <w:ind w:left="60"/>
              <w:spacing w:after="0"/>
              <w:rPr>
                <w:sz w:val="20"/>
                <w:szCs w:val="20"/>
                <w:color w:val="auto"/>
              </w:rPr>
            </w:pPr>
            <w:r>
              <w:rPr>
                <w:rFonts w:ascii="Arial" w:cs="Arial" w:eastAsia="Arial" w:hAnsi="Arial"/>
                <w:sz w:val="13"/>
                <w:szCs w:val="13"/>
                <w:color w:val="auto"/>
              </w:rPr>
              <w:t>Luo Tie</w:t>
            </w:r>
          </w:p>
        </w:tc>
        <w:tc>
          <w:tcPr>
            <w:tcW w:w="580" w:type="dxa"/>
            <w:vAlign w:val="bottom"/>
          </w:tcPr>
          <w:p>
            <w:pPr>
              <w:jc w:val="center"/>
              <w:ind w:left="7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580" w:type="dxa"/>
            <w:vAlign w:val="bottom"/>
            <w:vMerge w:val="restart"/>
          </w:tcPr>
          <w:p>
            <w:pPr>
              <w:jc w:val="center"/>
              <w:ind w:left="57"/>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3"/>
              </w:rPr>
              <w:t>4-Nov-97</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8"/>
              </w:rPr>
              <w:t>EP841770</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Method For Sending A Secure Message In A Telecommunications System</w:t>
            </w:r>
          </w:p>
        </w:tc>
        <w:tc>
          <w:tcPr>
            <w:tcW w:w="1860" w:type="dxa"/>
            <w:vAlign w:val="bottom"/>
            <w:vMerge w:val="restart"/>
          </w:tcPr>
          <w:p>
            <w:pPr>
              <w:ind w:left="60"/>
              <w:spacing w:after="0"/>
              <w:rPr>
                <w:sz w:val="20"/>
                <w:szCs w:val="20"/>
                <w:color w:val="auto"/>
              </w:rPr>
            </w:pPr>
            <w:r>
              <w:rPr>
                <w:rFonts w:ascii="Arial" w:cs="Arial" w:eastAsia="Arial" w:hAnsi="Arial"/>
                <w:sz w:val="13"/>
                <w:szCs w:val="13"/>
                <w:color w:val="auto"/>
              </w:rPr>
              <w:t>Luo Tie</w:t>
            </w:r>
          </w:p>
        </w:tc>
        <w:tc>
          <w:tcPr>
            <w:tcW w:w="580" w:type="dxa"/>
            <w:vAlign w:val="bottom"/>
          </w:tcPr>
          <w:p>
            <w:pPr>
              <w:jc w:val="center"/>
              <w:ind w:left="7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580" w:type="dxa"/>
            <w:vAlign w:val="bottom"/>
            <w:vMerge w:val="restart"/>
          </w:tcPr>
          <w:p>
            <w:pPr>
              <w:jc w:val="center"/>
              <w:ind w:left="57"/>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3"/>
              </w:rPr>
              <w:t>4-Nov-97</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8"/>
              </w:rPr>
              <w:t>FR841770</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Method For Sending A Secure Message In A Telecommunications System</w:t>
            </w:r>
          </w:p>
        </w:tc>
        <w:tc>
          <w:tcPr>
            <w:tcW w:w="1860" w:type="dxa"/>
            <w:vAlign w:val="bottom"/>
            <w:vMerge w:val="restart"/>
          </w:tcPr>
          <w:p>
            <w:pPr>
              <w:ind w:left="60"/>
              <w:spacing w:after="0"/>
              <w:rPr>
                <w:sz w:val="20"/>
                <w:szCs w:val="20"/>
                <w:color w:val="auto"/>
              </w:rPr>
            </w:pPr>
            <w:r>
              <w:rPr>
                <w:rFonts w:ascii="Arial" w:cs="Arial" w:eastAsia="Arial" w:hAnsi="Arial"/>
                <w:sz w:val="13"/>
                <w:szCs w:val="13"/>
                <w:color w:val="auto"/>
              </w:rPr>
              <w:t>Luo Tie</w:t>
            </w:r>
          </w:p>
        </w:tc>
        <w:tc>
          <w:tcPr>
            <w:tcW w:w="580" w:type="dxa"/>
            <w:vAlign w:val="bottom"/>
          </w:tcPr>
          <w:p>
            <w:pPr>
              <w:jc w:val="center"/>
              <w:ind w:left="7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580" w:type="dxa"/>
            <w:vAlign w:val="bottom"/>
            <w:vMerge w:val="restart"/>
          </w:tcPr>
          <w:p>
            <w:pPr>
              <w:jc w:val="center"/>
              <w:ind w:left="57"/>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3"/>
              </w:rPr>
              <w:t>4-Nov-97</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6"/>
              </w:rPr>
              <w:t>GB841770</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Method For Sending A Secure Message In A Telecommunications System</w:t>
            </w:r>
          </w:p>
        </w:tc>
        <w:tc>
          <w:tcPr>
            <w:tcW w:w="1860" w:type="dxa"/>
            <w:vAlign w:val="bottom"/>
            <w:vMerge w:val="restart"/>
          </w:tcPr>
          <w:p>
            <w:pPr>
              <w:ind w:left="60"/>
              <w:spacing w:after="0"/>
              <w:rPr>
                <w:sz w:val="20"/>
                <w:szCs w:val="20"/>
                <w:color w:val="auto"/>
              </w:rPr>
            </w:pPr>
            <w:r>
              <w:rPr>
                <w:rFonts w:ascii="Arial" w:cs="Arial" w:eastAsia="Arial" w:hAnsi="Arial"/>
                <w:sz w:val="13"/>
                <w:szCs w:val="13"/>
                <w:color w:val="auto"/>
              </w:rPr>
              <w:t>Luo Tie</w:t>
            </w:r>
          </w:p>
        </w:tc>
        <w:tc>
          <w:tcPr>
            <w:tcW w:w="580" w:type="dxa"/>
            <w:vAlign w:val="bottom"/>
          </w:tcPr>
          <w:p>
            <w:pPr>
              <w:jc w:val="center"/>
              <w:ind w:left="7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580" w:type="dxa"/>
            <w:vAlign w:val="bottom"/>
            <w:vMerge w:val="restart"/>
          </w:tcPr>
          <w:p>
            <w:pPr>
              <w:jc w:val="center"/>
              <w:ind w:left="57"/>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3"/>
              </w:rPr>
              <w:t>6-Nov-96</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US5909491</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Method For Sending A Secure Message In A Telecommunications System</w:t>
            </w:r>
          </w:p>
        </w:tc>
        <w:tc>
          <w:tcPr>
            <w:tcW w:w="1860" w:type="dxa"/>
            <w:vAlign w:val="bottom"/>
            <w:vMerge w:val="restart"/>
          </w:tcPr>
          <w:p>
            <w:pPr>
              <w:ind w:left="60"/>
              <w:spacing w:after="0"/>
              <w:rPr>
                <w:sz w:val="20"/>
                <w:szCs w:val="20"/>
                <w:color w:val="auto"/>
              </w:rPr>
            </w:pPr>
            <w:r>
              <w:rPr>
                <w:rFonts w:ascii="Arial" w:cs="Arial" w:eastAsia="Arial" w:hAnsi="Arial"/>
                <w:sz w:val="13"/>
                <w:szCs w:val="13"/>
                <w:color w:val="auto"/>
              </w:rPr>
              <w:t>Luo Tie</w:t>
            </w:r>
          </w:p>
        </w:tc>
        <w:tc>
          <w:tcPr>
            <w:tcW w:w="580" w:type="dxa"/>
            <w:vAlign w:val="bottom"/>
          </w:tcPr>
          <w:p>
            <w:pPr>
              <w:jc w:val="center"/>
              <w:ind w:left="7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580" w:type="dxa"/>
            <w:vAlign w:val="bottom"/>
            <w:vMerge w:val="restart"/>
          </w:tcPr>
          <w:p>
            <w:pPr>
              <w:jc w:val="center"/>
              <w:ind w:left="57"/>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8"/>
              </w:rPr>
              <w:t>21-Dec-00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US6996195</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Channel Estimation In A Communication System</w:t>
            </w:r>
          </w:p>
        </w:tc>
        <w:tc>
          <w:tcPr>
            <w:tcW w:w="1860" w:type="dxa"/>
            <w:vAlign w:val="bottom"/>
            <w:vMerge w:val="restart"/>
          </w:tcPr>
          <w:p>
            <w:pPr>
              <w:ind w:left="60"/>
              <w:spacing w:after="0"/>
              <w:rPr>
                <w:sz w:val="20"/>
                <w:szCs w:val="20"/>
                <w:color w:val="auto"/>
              </w:rPr>
            </w:pPr>
            <w:r>
              <w:rPr>
                <w:rFonts w:ascii="Arial" w:cs="Arial" w:eastAsia="Arial" w:hAnsi="Arial"/>
                <w:sz w:val="13"/>
                <w:szCs w:val="13"/>
                <w:color w:val="auto"/>
              </w:rPr>
              <w:t>Kadous Tamer</w:t>
            </w:r>
          </w:p>
        </w:tc>
        <w:tc>
          <w:tcPr>
            <w:tcW w:w="580" w:type="dxa"/>
            <w:vAlign w:val="bottom"/>
          </w:tcPr>
          <w:p>
            <w:pPr>
              <w:jc w:val="center"/>
              <w:ind w:left="7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580" w:type="dxa"/>
            <w:vAlign w:val="bottom"/>
            <w:vMerge w:val="restart"/>
          </w:tcPr>
          <w:p>
            <w:pPr>
              <w:jc w:val="center"/>
              <w:ind w:left="57"/>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11-Mar-02</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8"/>
              </w:rPr>
              <w:t>CH01378064</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Method And System For Providing A Context For Message Compression</w:t>
            </w:r>
          </w:p>
        </w:tc>
        <w:tc>
          <w:tcPr>
            <w:tcW w:w="1860" w:type="dxa"/>
            <w:vAlign w:val="bottom"/>
          </w:tcPr>
          <w:p>
            <w:pPr>
              <w:ind w:left="60"/>
              <w:spacing w:after="0"/>
              <w:rPr>
                <w:sz w:val="20"/>
                <w:szCs w:val="20"/>
                <w:color w:val="auto"/>
              </w:rPr>
            </w:pPr>
            <w:r>
              <w:rPr>
                <w:rFonts w:ascii="Arial" w:cs="Arial" w:eastAsia="Arial" w:hAnsi="Arial"/>
                <w:sz w:val="13"/>
                <w:szCs w:val="13"/>
                <w:color w:val="auto"/>
                <w:w w:val="96"/>
              </w:rPr>
              <w:t>Cheong Leung Ka [Fi] Le Khiem</w:t>
            </w:r>
          </w:p>
        </w:tc>
        <w:tc>
          <w:tcPr>
            <w:tcW w:w="580" w:type="dxa"/>
            <w:vAlign w:val="bottom"/>
          </w:tcPr>
          <w:p>
            <w:pPr>
              <w:jc w:val="center"/>
              <w:ind w:left="7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860" w:type="dxa"/>
            <w:vAlign w:val="bottom"/>
            <w:vMerge w:val="restart"/>
          </w:tcPr>
          <w:p>
            <w:pPr>
              <w:ind w:left="60"/>
              <w:spacing w:after="0"/>
              <w:rPr>
                <w:sz w:val="20"/>
                <w:szCs w:val="20"/>
                <w:color w:val="auto"/>
              </w:rPr>
            </w:pPr>
            <w:r>
              <w:rPr>
                <w:rFonts w:ascii="Arial" w:cs="Arial" w:eastAsia="Arial" w:hAnsi="Arial"/>
                <w:sz w:val="13"/>
                <w:szCs w:val="13"/>
                <w:color w:val="auto"/>
              </w:rPr>
              <w:t>[Fi] (+1)</w:t>
            </w:r>
          </w:p>
        </w:tc>
        <w:tc>
          <w:tcPr>
            <w:tcW w:w="580" w:type="dxa"/>
            <w:vAlign w:val="bottom"/>
            <w:vMerge w:val="restart"/>
          </w:tcPr>
          <w:p>
            <w:pPr>
              <w:jc w:val="center"/>
              <w:ind w:left="57"/>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-2536190</wp:posOffset>
            </wp:positionV>
            <wp:extent cx="7246620" cy="2571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-2021840</wp:posOffset>
            </wp:positionV>
            <wp:extent cx="7246620" cy="2571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-1506855</wp:posOffset>
            </wp:positionV>
            <wp:extent cx="7246620" cy="257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-992505</wp:posOffset>
            </wp:positionV>
            <wp:extent cx="7246620" cy="2571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-478155</wp:posOffset>
            </wp:positionV>
            <wp:extent cx="7246620" cy="2571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36195</wp:posOffset>
            </wp:positionV>
            <wp:extent cx="7246620" cy="53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53340"/>
                    </a:xfrm>
                    <a:prstGeom prst="rect">
                      <a:avLst/>
                    </a:prstGeom>
                    <a:noFill/>
                  </pic:spPr>
                </pic:pic>
              </a:graphicData>
            </a:graphic>
          </wp:anchor>
        </w:drawing>
      </w:r>
    </w:p>
    <w:p>
      <w:pPr>
        <w:sectPr>
          <w:pgSz w:w="11900" w:h="16838" w:orient="portrait"/>
          <w:cols w:equalWidth="0" w:num="2">
            <w:col w:w="1800" w:space="300"/>
            <w:col w:w="9220"/>
          </w:cols>
          <w:pgMar w:left="280" w:top="111" w:right="299" w:bottom="0" w:gutter="0" w:footer="0" w:header="0"/>
          <w:type w:val="continuous"/>
        </w:sectPr>
      </w:pPr>
    </w:p>
    <w:bookmarkStart w:id="100" w:name="page101"/>
    <w:bookmarkEnd w:id="100"/>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40" w:type="dxa"/>
            <w:vAlign w:val="bottom"/>
          </w:tcPr>
          <w:p>
            <w:pPr>
              <w:jc w:val="center"/>
              <w:spacing w:after="0"/>
              <w:rPr>
                <w:sz w:val="20"/>
                <w:szCs w:val="20"/>
                <w:color w:val="auto"/>
              </w:rPr>
            </w:pPr>
            <w:r>
              <w:rPr>
                <w:rFonts w:ascii="Arial" w:cs="Arial" w:eastAsia="Arial" w:hAnsi="Arial"/>
                <w:sz w:val="13"/>
                <w:szCs w:val="13"/>
                <w:color w:val="auto"/>
                <w:w w:val="94"/>
              </w:rPr>
              <w:t>A17233VI-</w:t>
            </w:r>
          </w:p>
        </w:tc>
        <w:tc>
          <w:tcPr>
            <w:tcW w:w="880" w:type="dxa"/>
            <w:vAlign w:val="bottom"/>
          </w:tcPr>
          <w:p>
            <w:pPr>
              <w:jc w:val="center"/>
              <w:ind w:right="2"/>
              <w:spacing w:after="0"/>
              <w:rPr>
                <w:sz w:val="20"/>
                <w:szCs w:val="20"/>
                <w:color w:val="auto"/>
              </w:rPr>
            </w:pPr>
            <w:r>
              <w:rPr>
                <w:rFonts w:ascii="Arial" w:cs="Arial" w:eastAsia="Arial" w:hAnsi="Arial"/>
                <w:sz w:val="13"/>
                <w:szCs w:val="13"/>
                <w:color w:val="auto"/>
                <w:w w:val="90"/>
              </w:rPr>
              <w:t>Vringo</w:t>
            </w:r>
          </w:p>
        </w:tc>
        <w:tc>
          <w:tcPr>
            <w:tcW w:w="280" w:type="dxa"/>
            <w:vAlign w:val="bottom"/>
          </w:tcPr>
          <w:p>
            <w:pPr>
              <w:ind w:left="100"/>
              <w:spacing w:after="0"/>
              <w:rPr>
                <w:sz w:val="20"/>
                <w:szCs w:val="20"/>
                <w:color w:val="auto"/>
              </w:rPr>
            </w:pPr>
            <w:r>
              <w:rPr>
                <w:rFonts w:ascii="Arial" w:cs="Arial" w:eastAsia="Arial" w:hAnsi="Arial"/>
                <w:sz w:val="13"/>
                <w:szCs w:val="13"/>
                <w:color w:val="auto"/>
                <w:w w:val="84"/>
              </w:rPr>
              <w:t>CN</w:t>
            </w:r>
          </w:p>
        </w:tc>
      </w:tr>
      <w:tr>
        <w:trPr>
          <w:trHeight w:val="135"/>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spacing w:after="0"/>
              <w:rPr>
                <w:sz w:val="11"/>
                <w:szCs w:val="11"/>
                <w:color w:val="auto"/>
              </w:rPr>
            </w:pPr>
          </w:p>
        </w:tc>
      </w:tr>
      <w:tr>
        <w:trPr>
          <w:trHeight w:val="135"/>
        </w:trPr>
        <w:tc>
          <w:tcPr>
            <w:tcW w:w="6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1"/>
                <w:szCs w:val="11"/>
                <w:color w:val="auto"/>
              </w:rPr>
            </w:pPr>
          </w:p>
        </w:tc>
      </w:tr>
      <w:tr>
        <w:trPr>
          <w:trHeight w:val="78"/>
        </w:trPr>
        <w:tc>
          <w:tcPr>
            <w:tcW w:w="640" w:type="dxa"/>
            <w:vAlign w:val="bottom"/>
          </w:tcPr>
          <w:p>
            <w:pPr>
              <w:spacing w:after="0"/>
              <w:rPr>
                <w:sz w:val="6"/>
                <w:szCs w:val="6"/>
                <w:color w:val="auto"/>
              </w:rPr>
            </w:pPr>
          </w:p>
        </w:tc>
        <w:tc>
          <w:tcPr>
            <w:tcW w:w="880" w:type="dxa"/>
            <w:vAlign w:val="bottom"/>
          </w:tcPr>
          <w:p>
            <w:pPr>
              <w:jc w:val="center"/>
              <w:ind w:right="2"/>
              <w:spacing w:after="0" w:line="78" w:lineRule="exact"/>
              <w:rPr>
                <w:sz w:val="20"/>
                <w:szCs w:val="20"/>
                <w:color w:val="auto"/>
              </w:rPr>
            </w:pPr>
            <w:r>
              <w:rPr>
                <w:rFonts w:ascii="Arial" w:cs="Arial" w:eastAsia="Arial" w:hAnsi="Arial"/>
                <w:sz w:val="8"/>
                <w:szCs w:val="8"/>
                <w:color w:val="auto"/>
              </w:rPr>
              <w:t>Vringo</w:t>
            </w:r>
          </w:p>
        </w:tc>
        <w:tc>
          <w:tcPr>
            <w:tcW w:w="2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800" w:type="dxa"/>
            <w:vAlign w:val="bottom"/>
          </w:tcPr>
          <w:p>
            <w:pPr>
              <w:ind w:left="120"/>
              <w:spacing w:after="0"/>
              <w:rPr>
                <w:sz w:val="20"/>
                <w:szCs w:val="20"/>
                <w:color w:val="auto"/>
              </w:rPr>
            </w:pPr>
            <w:r>
              <w:rPr>
                <w:rFonts w:ascii="Arial" w:cs="Arial" w:eastAsia="Arial" w:hAnsi="Arial"/>
                <w:sz w:val="13"/>
                <w:szCs w:val="13"/>
                <w:color w:val="auto"/>
              </w:rPr>
              <w:t>11-Mar-02</w:t>
            </w:r>
          </w:p>
        </w:tc>
        <w:tc>
          <w:tcPr>
            <w:tcW w:w="860" w:type="dxa"/>
            <w:vAlign w:val="bottom"/>
          </w:tcPr>
          <w:p>
            <w:pPr>
              <w:ind w:left="140"/>
              <w:spacing w:after="0"/>
              <w:rPr>
                <w:sz w:val="20"/>
                <w:szCs w:val="20"/>
                <w:color w:val="auto"/>
              </w:rPr>
            </w:pPr>
            <w:r>
              <w:rPr>
                <w:rFonts w:ascii="Arial" w:cs="Arial" w:eastAsia="Arial" w:hAnsi="Arial"/>
                <w:sz w:val="13"/>
                <w:szCs w:val="13"/>
                <w:color w:val="auto"/>
              </w:rPr>
              <w:t>CN1528052</w:t>
            </w:r>
          </w:p>
        </w:tc>
        <w:tc>
          <w:tcPr>
            <w:tcW w:w="4220" w:type="dxa"/>
            <w:vAlign w:val="bottom"/>
          </w:tcPr>
          <w:p>
            <w:pPr>
              <w:ind w:left="120"/>
              <w:spacing w:after="0"/>
              <w:rPr>
                <w:sz w:val="20"/>
                <w:szCs w:val="20"/>
                <w:color w:val="auto"/>
              </w:rPr>
            </w:pPr>
            <w:r>
              <w:rPr>
                <w:rFonts w:ascii="Arial" w:cs="Arial" w:eastAsia="Arial" w:hAnsi="Arial"/>
                <w:sz w:val="13"/>
                <w:szCs w:val="13"/>
                <w:color w:val="auto"/>
                <w:w w:val="97"/>
              </w:rPr>
              <w:t>Method And System For Providing A Context For Message Compression</w:t>
            </w:r>
          </w:p>
        </w:tc>
        <w:tc>
          <w:tcPr>
            <w:tcW w:w="2200" w:type="dxa"/>
            <w:vAlign w:val="bottom"/>
          </w:tcPr>
          <w:p>
            <w:pPr>
              <w:ind w:left="400"/>
              <w:spacing w:after="0"/>
              <w:rPr>
                <w:sz w:val="20"/>
                <w:szCs w:val="20"/>
                <w:color w:val="auto"/>
              </w:rPr>
            </w:pPr>
            <w:r>
              <w:rPr>
                <w:rFonts w:ascii="Arial" w:cs="Arial" w:eastAsia="Arial" w:hAnsi="Arial"/>
                <w:sz w:val="13"/>
                <w:szCs w:val="13"/>
                <w:color w:val="auto"/>
                <w:w w:val="96"/>
              </w:rPr>
              <w:t>Cheong Leung Ka [Fi] Le Khiem</w:t>
            </w:r>
          </w:p>
        </w:tc>
        <w:tc>
          <w:tcPr>
            <w:tcW w:w="580" w:type="dxa"/>
            <w:vAlign w:val="bottom"/>
          </w:tcPr>
          <w:p>
            <w:pPr>
              <w:jc w:val="center"/>
              <w:ind w:left="77"/>
              <w:spacing w:after="0"/>
              <w:rPr>
                <w:sz w:val="20"/>
                <w:szCs w:val="20"/>
                <w:color w:val="auto"/>
              </w:rPr>
            </w:pPr>
            <w:r>
              <w:rPr>
                <w:rFonts w:ascii="Arial" w:cs="Arial" w:eastAsia="Arial" w:hAnsi="Arial"/>
                <w:sz w:val="13"/>
                <w:szCs w:val="13"/>
                <w:color w:val="auto"/>
                <w:w w:val="98"/>
              </w:rPr>
              <w:t>Not</w:t>
            </w:r>
          </w:p>
        </w:tc>
      </w:tr>
      <w:tr>
        <w:trPr>
          <w:trHeight w:val="160"/>
        </w:trPr>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200" w:type="dxa"/>
            <w:vAlign w:val="bottom"/>
          </w:tcPr>
          <w:p>
            <w:pPr>
              <w:ind w:left="400"/>
              <w:spacing w:after="0"/>
              <w:rPr>
                <w:sz w:val="20"/>
                <w:szCs w:val="20"/>
                <w:color w:val="auto"/>
              </w:rPr>
            </w:pPr>
            <w:r>
              <w:rPr>
                <w:rFonts w:ascii="Arial" w:cs="Arial" w:eastAsia="Arial" w:hAnsi="Arial"/>
                <w:sz w:val="13"/>
                <w:szCs w:val="13"/>
                <w:color w:val="auto"/>
              </w:rPr>
              <w:t>[Fi] (+1)</w:t>
            </w:r>
          </w:p>
        </w:tc>
        <w:tc>
          <w:tcPr>
            <w:tcW w:w="580" w:type="dxa"/>
            <w:vAlign w:val="bottom"/>
          </w:tcPr>
          <w:p>
            <w:pPr>
              <w:jc w:val="center"/>
              <w:ind w:left="57"/>
              <w:spacing w:after="0"/>
              <w:rPr>
                <w:sz w:val="20"/>
                <w:szCs w:val="20"/>
                <w:color w:val="auto"/>
              </w:rPr>
            </w:pPr>
            <w:r>
              <w:rPr>
                <w:rFonts w:ascii="Arial" w:cs="Arial" w:eastAsia="Arial" w:hAnsi="Arial"/>
                <w:sz w:val="13"/>
                <w:szCs w:val="13"/>
                <w:color w:val="auto"/>
                <w:w w:val="88"/>
              </w:rPr>
              <w:t>Declared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-177800</wp:posOffset>
            </wp:positionV>
            <wp:extent cx="7246620" cy="2571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188" w:lineRule="exact"/>
        <w:rPr>
          <w:sz w:val="20"/>
          <w:szCs w:val="20"/>
          <w:color w:val="auto"/>
        </w:rPr>
      </w:pPr>
    </w:p>
    <w:p>
      <w:pPr>
        <w:sectPr>
          <w:pgSz w:w="11900" w:h="16900" w:orient="portrait"/>
          <w:cols w:equalWidth="0" w:num="2">
            <w:col w:w="1840" w:space="320"/>
            <w:col w:w="9260"/>
          </w:cols>
          <w:pgMar w:left="240" w:top="111" w:right="239" w:bottom="0" w:gutter="0" w:footer="0" w:header="0"/>
        </w:sectPr>
      </w:pPr>
    </w:p>
    <w:tbl>
      <w:tblPr>
        <w:tblLayout w:type="fixed"/>
        <w:tblInd w:w="40" w:type="dxa"/>
        <w:tblCellMar>
          <w:top w:w="0" w:type="dxa"/>
          <w:left w:w="0" w:type="dxa"/>
          <w:bottom w:w="0" w:type="dxa"/>
          <w:right w:w="0" w:type="dxa"/>
        </w:tblCellMar>
      </w:tblPr>
      <w:tr>
        <w:trPr>
          <w:trHeight w:val="180"/>
        </w:trPr>
        <w:tc>
          <w:tcPr>
            <w:tcW w:w="640" w:type="dxa"/>
            <w:vAlign w:val="bottom"/>
          </w:tcPr>
          <w:p>
            <w:pPr>
              <w:jc w:val="center"/>
              <w:spacing w:after="0"/>
              <w:rPr>
                <w:sz w:val="20"/>
                <w:szCs w:val="20"/>
                <w:color w:val="auto"/>
              </w:rPr>
            </w:pPr>
            <w:r>
              <w:rPr>
                <w:rFonts w:ascii="Arial" w:cs="Arial" w:eastAsia="Arial" w:hAnsi="Arial"/>
                <w:sz w:val="13"/>
                <w:szCs w:val="13"/>
                <w:color w:val="auto"/>
                <w:w w:val="94"/>
              </w:rPr>
              <w:t>A17233VI-</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7"/>
              </w:rPr>
              <w:t>IE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7"/>
              </w:rPr>
              <w:t>IE01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IN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IN01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LI</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rPr>
              <w:t>LI01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6"/>
              </w:rPr>
              <w:t>LU</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LU01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6"/>
              </w:rPr>
              <w:t>NL</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NL01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RU</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RU01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US02</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A17242VI-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640" w:type="dxa"/>
            <w:vAlign w:val="bottom"/>
          </w:tcPr>
          <w:p>
            <w:pPr>
              <w:spacing w:after="0"/>
              <w:rPr>
                <w:sz w:val="6"/>
                <w:szCs w:val="6"/>
                <w:color w:val="auto"/>
              </w:rPr>
            </w:pPr>
          </w:p>
        </w:tc>
        <w:tc>
          <w:tcPr>
            <w:tcW w:w="880" w:type="dxa"/>
            <w:vAlign w:val="bottom"/>
          </w:tcPr>
          <w:p>
            <w:pPr>
              <w:jc w:val="center"/>
              <w:spacing w:after="0" w:line="78" w:lineRule="exact"/>
              <w:rPr>
                <w:sz w:val="20"/>
                <w:szCs w:val="20"/>
                <w:color w:val="auto"/>
              </w:rPr>
            </w:pPr>
            <w:r>
              <w:rPr>
                <w:rFonts w:ascii="Arial" w:cs="Arial" w:eastAsia="Arial" w:hAnsi="Arial"/>
                <w:sz w:val="8"/>
                <w:szCs w:val="8"/>
                <w:color w:val="auto"/>
              </w:rPr>
              <w:t>Vringo</w:t>
            </w: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11-Mar-02</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11-Mar-02</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11-Mar-02</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11-Mar-02</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11-Mar-02</w:t>
      </w:r>
    </w:p>
    <w:p>
      <w:pPr>
        <w:spacing w:after="0" w:line="279" w:lineRule="exact"/>
        <w:rPr>
          <w:sz w:val="20"/>
          <w:szCs w:val="20"/>
          <w:color w:val="auto"/>
        </w:rPr>
      </w:pPr>
    </w:p>
    <w:p>
      <w:pPr>
        <w:spacing w:after="0"/>
        <w:tabs>
          <w:tab w:leader="none" w:pos="66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10-Sep-03</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11-Mar-02</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11-Mar-02</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11-Mar-02</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11-Mar-02</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17-Dec-01</w:t>
      </w:r>
    </w:p>
    <w:p>
      <w:pPr>
        <w:spacing w:after="0" w:line="279" w:lineRule="exact"/>
        <w:rPr>
          <w:sz w:val="20"/>
          <w:szCs w:val="20"/>
          <w:color w:val="auto"/>
        </w:rPr>
      </w:pPr>
    </w:p>
    <w:p>
      <w:pPr>
        <w:spacing w:after="0"/>
        <w:tabs>
          <w:tab w:leader="none" w:pos="66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12-Sep-05</w:t>
      </w: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17-Jul-03</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840" w:type="dxa"/>
            <w:vAlign w:val="bottom"/>
          </w:tcPr>
          <w:p>
            <w:pPr>
              <w:jc w:val="center"/>
              <w:spacing w:after="0"/>
              <w:rPr>
                <w:sz w:val="20"/>
                <w:szCs w:val="20"/>
                <w:color w:val="auto"/>
              </w:rPr>
            </w:pPr>
            <w:r>
              <w:rPr>
                <w:rFonts w:ascii="Arial" w:cs="Arial" w:eastAsia="Arial" w:hAnsi="Arial"/>
                <w:sz w:val="13"/>
                <w:szCs w:val="13"/>
                <w:color w:val="auto"/>
                <w:w w:val="89"/>
              </w:rPr>
              <w:t>DE60243027.5</w:t>
            </w:r>
          </w:p>
        </w:tc>
        <w:tc>
          <w:tcPr>
            <w:tcW w:w="4260" w:type="dxa"/>
            <w:vAlign w:val="bottom"/>
          </w:tcPr>
          <w:p>
            <w:pPr>
              <w:ind w:left="80"/>
              <w:spacing w:after="0"/>
              <w:rPr>
                <w:sz w:val="20"/>
                <w:szCs w:val="20"/>
                <w:color w:val="auto"/>
              </w:rPr>
            </w:pPr>
            <w:r>
              <w:rPr>
                <w:rFonts w:ascii="Arial" w:cs="Arial" w:eastAsia="Arial" w:hAnsi="Arial"/>
                <w:sz w:val="13"/>
                <w:szCs w:val="13"/>
                <w:color w:val="auto"/>
              </w:rPr>
              <w:t>Cross Session Dictionary For Compression Of Text-Based Messages (j)</w:t>
            </w:r>
          </w:p>
        </w:tc>
        <w:tc>
          <w:tcPr>
            <w:tcW w:w="0" w:type="dxa"/>
            <w:vAlign w:val="bottom"/>
          </w:tcPr>
          <w:p>
            <w:pPr>
              <w:spacing w:after="0"/>
              <w:rPr>
                <w:sz w:val="1"/>
                <w:szCs w:val="1"/>
                <w:color w:val="auto"/>
              </w:rPr>
            </w:pPr>
          </w:p>
        </w:tc>
      </w:tr>
      <w:tr>
        <w:trPr>
          <w:trHeight w:val="405"/>
        </w:trPr>
        <w:tc>
          <w:tcPr>
            <w:tcW w:w="840" w:type="dxa"/>
            <w:vAlign w:val="bottom"/>
          </w:tcPr>
          <w:p>
            <w:pPr>
              <w:jc w:val="center"/>
              <w:spacing w:after="0"/>
              <w:rPr>
                <w:sz w:val="20"/>
                <w:szCs w:val="20"/>
                <w:color w:val="auto"/>
              </w:rPr>
            </w:pPr>
            <w:r>
              <w:rPr>
                <w:rFonts w:ascii="Arial" w:cs="Arial" w:eastAsia="Arial" w:hAnsi="Arial"/>
                <w:sz w:val="13"/>
                <w:szCs w:val="13"/>
                <w:color w:val="auto"/>
                <w:w w:val="85"/>
              </w:rPr>
              <w:t>EP1378064</w:t>
            </w:r>
          </w:p>
        </w:tc>
        <w:tc>
          <w:tcPr>
            <w:tcW w:w="4260" w:type="dxa"/>
            <w:vAlign w:val="bottom"/>
          </w:tcPr>
          <w:p>
            <w:pPr>
              <w:ind w:left="80"/>
              <w:spacing w:after="0"/>
              <w:rPr>
                <w:sz w:val="20"/>
                <w:szCs w:val="20"/>
                <w:color w:val="auto"/>
              </w:rPr>
            </w:pPr>
            <w:r>
              <w:rPr>
                <w:rFonts w:ascii="Arial" w:cs="Arial" w:eastAsia="Arial" w:hAnsi="Arial"/>
                <w:sz w:val="13"/>
                <w:szCs w:val="13"/>
                <w:color w:val="auto"/>
                <w:w w:val="99"/>
              </w:rPr>
              <w:t>Method And System For Providing A Context For Message Compression</w:t>
            </w:r>
          </w:p>
        </w:tc>
        <w:tc>
          <w:tcPr>
            <w:tcW w:w="0" w:type="dxa"/>
            <w:vAlign w:val="bottom"/>
          </w:tcPr>
          <w:p>
            <w:pPr>
              <w:spacing w:after="0"/>
              <w:rPr>
                <w:sz w:val="1"/>
                <w:szCs w:val="1"/>
                <w:color w:val="auto"/>
              </w:rPr>
            </w:pPr>
          </w:p>
        </w:tc>
      </w:tr>
      <w:tr>
        <w:trPr>
          <w:trHeight w:val="405"/>
        </w:trPr>
        <w:tc>
          <w:tcPr>
            <w:tcW w:w="840" w:type="dxa"/>
            <w:vAlign w:val="bottom"/>
          </w:tcPr>
          <w:p>
            <w:pPr>
              <w:jc w:val="center"/>
              <w:spacing w:after="0"/>
              <w:rPr>
                <w:sz w:val="20"/>
                <w:szCs w:val="20"/>
                <w:color w:val="auto"/>
              </w:rPr>
            </w:pPr>
            <w:r>
              <w:rPr>
                <w:rFonts w:ascii="Arial" w:cs="Arial" w:eastAsia="Arial" w:hAnsi="Arial"/>
                <w:sz w:val="13"/>
                <w:szCs w:val="13"/>
                <w:color w:val="auto"/>
                <w:w w:val="87"/>
              </w:rPr>
              <w:t>FR01378064</w:t>
            </w:r>
          </w:p>
        </w:tc>
        <w:tc>
          <w:tcPr>
            <w:tcW w:w="4260" w:type="dxa"/>
            <w:vAlign w:val="bottom"/>
          </w:tcPr>
          <w:p>
            <w:pPr>
              <w:ind w:left="80"/>
              <w:spacing w:after="0"/>
              <w:rPr>
                <w:sz w:val="20"/>
                <w:szCs w:val="20"/>
                <w:color w:val="auto"/>
              </w:rPr>
            </w:pPr>
            <w:r>
              <w:rPr>
                <w:rFonts w:ascii="Arial" w:cs="Arial" w:eastAsia="Arial" w:hAnsi="Arial"/>
                <w:sz w:val="13"/>
                <w:szCs w:val="13"/>
                <w:color w:val="auto"/>
                <w:w w:val="99"/>
              </w:rPr>
              <w:t>Method And System For Providing A Context For Message Compression</w:t>
            </w:r>
          </w:p>
        </w:tc>
        <w:tc>
          <w:tcPr>
            <w:tcW w:w="0" w:type="dxa"/>
            <w:vAlign w:val="bottom"/>
          </w:tcPr>
          <w:p>
            <w:pPr>
              <w:spacing w:after="0"/>
              <w:rPr>
                <w:sz w:val="1"/>
                <w:szCs w:val="1"/>
                <w:color w:val="auto"/>
              </w:rPr>
            </w:pPr>
          </w:p>
        </w:tc>
      </w:tr>
      <w:tr>
        <w:trPr>
          <w:trHeight w:val="405"/>
        </w:trPr>
        <w:tc>
          <w:tcPr>
            <w:tcW w:w="840" w:type="dxa"/>
            <w:vAlign w:val="bottom"/>
          </w:tcPr>
          <w:p>
            <w:pPr>
              <w:jc w:val="center"/>
              <w:spacing w:after="0"/>
              <w:rPr>
                <w:sz w:val="20"/>
                <w:szCs w:val="20"/>
                <w:color w:val="auto"/>
              </w:rPr>
            </w:pPr>
            <w:r>
              <w:rPr>
                <w:rFonts w:ascii="Arial" w:cs="Arial" w:eastAsia="Arial" w:hAnsi="Arial"/>
                <w:sz w:val="13"/>
                <w:szCs w:val="13"/>
                <w:color w:val="auto"/>
                <w:w w:val="89"/>
              </w:rPr>
              <w:t>GB1378064</w:t>
            </w:r>
          </w:p>
        </w:tc>
        <w:tc>
          <w:tcPr>
            <w:tcW w:w="4260" w:type="dxa"/>
            <w:vAlign w:val="bottom"/>
          </w:tcPr>
          <w:p>
            <w:pPr>
              <w:ind w:left="80"/>
              <w:spacing w:after="0"/>
              <w:rPr>
                <w:sz w:val="20"/>
                <w:szCs w:val="20"/>
                <w:color w:val="auto"/>
              </w:rPr>
            </w:pPr>
            <w:r>
              <w:rPr>
                <w:rFonts w:ascii="Arial" w:cs="Arial" w:eastAsia="Arial" w:hAnsi="Arial"/>
                <w:sz w:val="13"/>
                <w:szCs w:val="13"/>
                <w:color w:val="auto"/>
                <w:w w:val="99"/>
              </w:rPr>
              <w:t>Method And System For Providing A Context For Message Compression</w:t>
            </w:r>
          </w:p>
        </w:tc>
        <w:tc>
          <w:tcPr>
            <w:tcW w:w="0" w:type="dxa"/>
            <w:vAlign w:val="bottom"/>
          </w:tcPr>
          <w:p>
            <w:pPr>
              <w:spacing w:after="0"/>
              <w:rPr>
                <w:sz w:val="1"/>
                <w:szCs w:val="1"/>
                <w:color w:val="auto"/>
              </w:rPr>
            </w:pPr>
          </w:p>
        </w:tc>
      </w:tr>
      <w:tr>
        <w:trPr>
          <w:trHeight w:val="405"/>
        </w:trPr>
        <w:tc>
          <w:tcPr>
            <w:tcW w:w="840" w:type="dxa"/>
            <w:vAlign w:val="bottom"/>
          </w:tcPr>
          <w:p>
            <w:pPr>
              <w:jc w:val="center"/>
              <w:spacing w:after="0"/>
              <w:rPr>
                <w:sz w:val="20"/>
                <w:szCs w:val="20"/>
                <w:color w:val="auto"/>
              </w:rPr>
            </w:pPr>
            <w:r>
              <w:rPr>
                <w:rFonts w:ascii="Arial" w:cs="Arial" w:eastAsia="Arial" w:hAnsi="Arial"/>
                <w:sz w:val="13"/>
                <w:szCs w:val="13"/>
                <w:color w:val="auto"/>
                <w:w w:val="88"/>
              </w:rPr>
              <w:t>IE1378064</w:t>
            </w:r>
          </w:p>
        </w:tc>
        <w:tc>
          <w:tcPr>
            <w:tcW w:w="4260" w:type="dxa"/>
            <w:vAlign w:val="bottom"/>
          </w:tcPr>
          <w:p>
            <w:pPr>
              <w:ind w:left="80"/>
              <w:spacing w:after="0"/>
              <w:rPr>
                <w:sz w:val="20"/>
                <w:szCs w:val="20"/>
                <w:color w:val="auto"/>
              </w:rPr>
            </w:pPr>
            <w:r>
              <w:rPr>
                <w:rFonts w:ascii="Arial" w:cs="Arial" w:eastAsia="Arial" w:hAnsi="Arial"/>
                <w:sz w:val="13"/>
                <w:szCs w:val="13"/>
                <w:color w:val="auto"/>
                <w:w w:val="99"/>
              </w:rPr>
              <w:t>Method And System For Providing A Context For Message Compression</w:t>
            </w:r>
          </w:p>
        </w:tc>
        <w:tc>
          <w:tcPr>
            <w:tcW w:w="0" w:type="dxa"/>
            <w:vAlign w:val="bottom"/>
          </w:tcPr>
          <w:p>
            <w:pPr>
              <w:spacing w:after="0"/>
              <w:rPr>
                <w:sz w:val="1"/>
                <w:szCs w:val="1"/>
                <w:color w:val="auto"/>
              </w:rPr>
            </w:pPr>
          </w:p>
        </w:tc>
      </w:tr>
      <w:tr>
        <w:trPr>
          <w:trHeight w:val="312"/>
        </w:trPr>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8"/>
              </w:rPr>
              <w:t>IN223183</w:t>
            </w:r>
          </w:p>
        </w:tc>
        <w:tc>
          <w:tcPr>
            <w:tcW w:w="4260" w:type="dxa"/>
            <w:vAlign w:val="bottom"/>
          </w:tcPr>
          <w:p>
            <w:pPr>
              <w:ind w:left="80"/>
              <w:spacing w:after="0"/>
              <w:rPr>
                <w:sz w:val="20"/>
                <w:szCs w:val="20"/>
                <w:color w:val="auto"/>
              </w:rPr>
            </w:pPr>
            <w:r>
              <w:rPr>
                <w:rFonts w:ascii="Arial" w:cs="Arial" w:eastAsia="Arial" w:hAnsi="Arial"/>
                <w:sz w:val="13"/>
                <w:szCs w:val="13"/>
                <w:color w:val="auto"/>
                <w:w w:val="89"/>
              </w:rPr>
              <w:t>Method And System For Providing Wireless Communication Using A Context For</w:t>
            </w:r>
          </w:p>
        </w:tc>
        <w:tc>
          <w:tcPr>
            <w:tcW w:w="0" w:type="dxa"/>
            <w:vAlign w:val="bottom"/>
          </w:tcPr>
          <w:p>
            <w:pPr>
              <w:spacing w:after="0"/>
              <w:rPr>
                <w:sz w:val="1"/>
                <w:szCs w:val="1"/>
                <w:color w:val="auto"/>
              </w:rPr>
            </w:pPr>
          </w:p>
        </w:tc>
      </w:tr>
      <w:tr>
        <w:trPr>
          <w:trHeight w:val="93"/>
        </w:trPr>
        <w:tc>
          <w:tcPr>
            <w:tcW w:w="840" w:type="dxa"/>
            <w:vAlign w:val="bottom"/>
            <w:vMerge w:val="continue"/>
          </w:tcPr>
          <w:p>
            <w:pPr>
              <w:spacing w:after="0"/>
              <w:rPr>
                <w:sz w:val="8"/>
                <w:szCs w:val="8"/>
                <w:color w:val="auto"/>
              </w:rPr>
            </w:pPr>
          </w:p>
        </w:tc>
        <w:tc>
          <w:tcPr>
            <w:tcW w:w="4260" w:type="dxa"/>
            <w:vAlign w:val="bottom"/>
            <w:vMerge w:val="restart"/>
          </w:tcPr>
          <w:p>
            <w:pPr>
              <w:ind w:left="80"/>
              <w:spacing w:after="0"/>
              <w:rPr>
                <w:sz w:val="20"/>
                <w:szCs w:val="20"/>
                <w:color w:val="auto"/>
              </w:rPr>
            </w:pPr>
            <w:r>
              <w:rPr>
                <w:rFonts w:ascii="Arial" w:cs="Arial" w:eastAsia="Arial" w:hAnsi="Arial"/>
                <w:sz w:val="13"/>
                <w:szCs w:val="13"/>
                <w:color w:val="auto"/>
              </w:rPr>
              <w:t>Message Compression</w:t>
            </w: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840" w:type="dxa"/>
            <w:vAlign w:val="bottom"/>
          </w:tcPr>
          <w:p>
            <w:pPr>
              <w:jc w:val="center"/>
              <w:spacing w:after="0"/>
              <w:rPr>
                <w:sz w:val="20"/>
                <w:szCs w:val="20"/>
                <w:color w:val="auto"/>
              </w:rPr>
            </w:pPr>
            <w:r>
              <w:rPr>
                <w:rFonts w:ascii="Arial" w:cs="Arial" w:eastAsia="Arial" w:hAnsi="Arial"/>
                <w:sz w:val="13"/>
                <w:szCs w:val="13"/>
                <w:color w:val="auto"/>
                <w:w w:val="91"/>
              </w:rPr>
              <w:t>LI1378064</w:t>
            </w:r>
          </w:p>
        </w:tc>
        <w:tc>
          <w:tcPr>
            <w:tcW w:w="4260" w:type="dxa"/>
            <w:vAlign w:val="bottom"/>
          </w:tcPr>
          <w:p>
            <w:pPr>
              <w:ind w:left="80"/>
              <w:spacing w:after="0"/>
              <w:rPr>
                <w:sz w:val="20"/>
                <w:szCs w:val="20"/>
                <w:color w:val="auto"/>
              </w:rPr>
            </w:pPr>
            <w:r>
              <w:rPr>
                <w:rFonts w:ascii="Arial" w:cs="Arial" w:eastAsia="Arial" w:hAnsi="Arial"/>
                <w:sz w:val="13"/>
                <w:szCs w:val="13"/>
                <w:color w:val="auto"/>
                <w:w w:val="99"/>
              </w:rPr>
              <w:t>Method And System For Providing A Context For Message Compression</w:t>
            </w:r>
          </w:p>
        </w:tc>
        <w:tc>
          <w:tcPr>
            <w:tcW w:w="0" w:type="dxa"/>
            <w:vAlign w:val="bottom"/>
          </w:tcPr>
          <w:p>
            <w:pPr>
              <w:spacing w:after="0"/>
              <w:rPr>
                <w:sz w:val="1"/>
                <w:szCs w:val="1"/>
                <w:color w:val="auto"/>
              </w:rPr>
            </w:pPr>
          </w:p>
        </w:tc>
      </w:tr>
      <w:tr>
        <w:trPr>
          <w:trHeight w:val="405"/>
        </w:trPr>
        <w:tc>
          <w:tcPr>
            <w:tcW w:w="840" w:type="dxa"/>
            <w:vAlign w:val="bottom"/>
          </w:tcPr>
          <w:p>
            <w:pPr>
              <w:jc w:val="center"/>
              <w:spacing w:after="0"/>
              <w:rPr>
                <w:sz w:val="20"/>
                <w:szCs w:val="20"/>
                <w:color w:val="auto"/>
              </w:rPr>
            </w:pPr>
            <w:r>
              <w:rPr>
                <w:rFonts w:ascii="Arial" w:cs="Arial" w:eastAsia="Arial" w:hAnsi="Arial"/>
                <w:sz w:val="13"/>
                <w:szCs w:val="13"/>
                <w:color w:val="auto"/>
                <w:w w:val="92"/>
              </w:rPr>
              <w:t>LU1378064</w:t>
            </w:r>
          </w:p>
        </w:tc>
        <w:tc>
          <w:tcPr>
            <w:tcW w:w="4260" w:type="dxa"/>
            <w:vAlign w:val="bottom"/>
          </w:tcPr>
          <w:p>
            <w:pPr>
              <w:ind w:left="80"/>
              <w:spacing w:after="0"/>
              <w:rPr>
                <w:sz w:val="20"/>
                <w:szCs w:val="20"/>
                <w:color w:val="auto"/>
              </w:rPr>
            </w:pPr>
            <w:r>
              <w:rPr>
                <w:rFonts w:ascii="Arial" w:cs="Arial" w:eastAsia="Arial" w:hAnsi="Arial"/>
                <w:sz w:val="13"/>
                <w:szCs w:val="13"/>
                <w:color w:val="auto"/>
                <w:w w:val="99"/>
              </w:rPr>
              <w:t>Method And System For Providing A Context For Message Compression</w:t>
            </w:r>
          </w:p>
        </w:tc>
        <w:tc>
          <w:tcPr>
            <w:tcW w:w="0" w:type="dxa"/>
            <w:vAlign w:val="bottom"/>
          </w:tcPr>
          <w:p>
            <w:pPr>
              <w:spacing w:after="0"/>
              <w:rPr>
                <w:sz w:val="1"/>
                <w:szCs w:val="1"/>
                <w:color w:val="auto"/>
              </w:rPr>
            </w:pPr>
          </w:p>
        </w:tc>
      </w:tr>
      <w:tr>
        <w:trPr>
          <w:trHeight w:val="405"/>
        </w:trPr>
        <w:tc>
          <w:tcPr>
            <w:tcW w:w="840" w:type="dxa"/>
            <w:vAlign w:val="bottom"/>
          </w:tcPr>
          <w:p>
            <w:pPr>
              <w:jc w:val="center"/>
              <w:spacing w:after="0"/>
              <w:rPr>
                <w:sz w:val="20"/>
                <w:szCs w:val="20"/>
                <w:color w:val="auto"/>
              </w:rPr>
            </w:pPr>
            <w:r>
              <w:rPr>
                <w:rFonts w:ascii="Arial" w:cs="Arial" w:eastAsia="Arial" w:hAnsi="Arial"/>
                <w:sz w:val="13"/>
                <w:szCs w:val="13"/>
                <w:color w:val="auto"/>
                <w:w w:val="92"/>
              </w:rPr>
              <w:t>NL1378064</w:t>
            </w:r>
          </w:p>
        </w:tc>
        <w:tc>
          <w:tcPr>
            <w:tcW w:w="4260" w:type="dxa"/>
            <w:vAlign w:val="bottom"/>
          </w:tcPr>
          <w:p>
            <w:pPr>
              <w:ind w:left="80"/>
              <w:spacing w:after="0"/>
              <w:rPr>
                <w:sz w:val="20"/>
                <w:szCs w:val="20"/>
                <w:color w:val="auto"/>
              </w:rPr>
            </w:pPr>
            <w:r>
              <w:rPr>
                <w:rFonts w:ascii="Arial" w:cs="Arial" w:eastAsia="Arial" w:hAnsi="Arial"/>
                <w:sz w:val="13"/>
                <w:szCs w:val="13"/>
                <w:color w:val="auto"/>
                <w:w w:val="99"/>
              </w:rPr>
              <w:t>Method And System For Providing A Context For Message Compression</w:t>
            </w:r>
          </w:p>
        </w:tc>
        <w:tc>
          <w:tcPr>
            <w:tcW w:w="0" w:type="dxa"/>
            <w:vAlign w:val="bottom"/>
          </w:tcPr>
          <w:p>
            <w:pPr>
              <w:spacing w:after="0"/>
              <w:rPr>
                <w:sz w:val="1"/>
                <w:szCs w:val="1"/>
                <w:color w:val="auto"/>
              </w:rPr>
            </w:pPr>
          </w:p>
        </w:tc>
      </w:tr>
      <w:tr>
        <w:trPr>
          <w:trHeight w:val="405"/>
        </w:trPr>
        <w:tc>
          <w:tcPr>
            <w:tcW w:w="840" w:type="dxa"/>
            <w:vAlign w:val="bottom"/>
          </w:tcPr>
          <w:p>
            <w:pPr>
              <w:jc w:val="center"/>
              <w:spacing w:after="0"/>
              <w:rPr>
                <w:sz w:val="20"/>
                <w:szCs w:val="20"/>
                <w:color w:val="auto"/>
              </w:rPr>
            </w:pPr>
            <w:r>
              <w:rPr>
                <w:rFonts w:ascii="Arial" w:cs="Arial" w:eastAsia="Arial" w:hAnsi="Arial"/>
                <w:sz w:val="13"/>
                <w:szCs w:val="13"/>
                <w:color w:val="auto"/>
                <w:w w:val="89"/>
              </w:rPr>
              <w:t>RU2273091</w:t>
            </w:r>
          </w:p>
        </w:tc>
        <w:tc>
          <w:tcPr>
            <w:tcW w:w="4260" w:type="dxa"/>
            <w:vAlign w:val="bottom"/>
          </w:tcPr>
          <w:p>
            <w:pPr>
              <w:ind w:left="80"/>
              <w:spacing w:after="0"/>
              <w:rPr>
                <w:sz w:val="20"/>
                <w:szCs w:val="20"/>
                <w:color w:val="auto"/>
              </w:rPr>
            </w:pPr>
            <w:r>
              <w:rPr>
                <w:rFonts w:ascii="Arial" w:cs="Arial" w:eastAsia="Arial" w:hAnsi="Arial"/>
                <w:sz w:val="13"/>
                <w:szCs w:val="13"/>
                <w:color w:val="auto"/>
              </w:rPr>
              <w:t>Method And System For Generating Message Compression Context</w:t>
            </w:r>
          </w:p>
        </w:tc>
        <w:tc>
          <w:tcPr>
            <w:tcW w:w="0" w:type="dxa"/>
            <w:vAlign w:val="bottom"/>
          </w:tcPr>
          <w:p>
            <w:pPr>
              <w:spacing w:after="0"/>
              <w:rPr>
                <w:sz w:val="1"/>
                <w:szCs w:val="1"/>
                <w:color w:val="auto"/>
              </w:rPr>
            </w:pPr>
          </w:p>
        </w:tc>
      </w:tr>
      <w:tr>
        <w:trPr>
          <w:trHeight w:val="405"/>
        </w:trPr>
        <w:tc>
          <w:tcPr>
            <w:tcW w:w="840" w:type="dxa"/>
            <w:vAlign w:val="bottom"/>
          </w:tcPr>
          <w:p>
            <w:pPr>
              <w:jc w:val="center"/>
              <w:spacing w:after="0"/>
              <w:rPr>
                <w:sz w:val="20"/>
                <w:szCs w:val="20"/>
                <w:color w:val="auto"/>
              </w:rPr>
            </w:pPr>
            <w:r>
              <w:rPr>
                <w:rFonts w:ascii="Arial" w:cs="Arial" w:eastAsia="Arial" w:hAnsi="Arial"/>
                <w:sz w:val="13"/>
                <w:szCs w:val="13"/>
                <w:color w:val="auto"/>
                <w:w w:val="87"/>
              </w:rPr>
              <w:t>US7155173</w:t>
            </w:r>
          </w:p>
        </w:tc>
        <w:tc>
          <w:tcPr>
            <w:tcW w:w="4260" w:type="dxa"/>
            <w:vAlign w:val="bottom"/>
          </w:tcPr>
          <w:p>
            <w:pPr>
              <w:ind w:left="80"/>
              <w:spacing w:after="0"/>
              <w:rPr>
                <w:sz w:val="20"/>
                <w:szCs w:val="20"/>
                <w:color w:val="auto"/>
              </w:rPr>
            </w:pPr>
            <w:r>
              <w:rPr>
                <w:rFonts w:ascii="Arial" w:cs="Arial" w:eastAsia="Arial" w:hAnsi="Arial"/>
                <w:sz w:val="13"/>
                <w:szCs w:val="13"/>
                <w:color w:val="auto"/>
                <w:w w:val="99"/>
              </w:rPr>
              <w:t>Method And System For Providing A Context For Message Compression</w:t>
            </w:r>
          </w:p>
        </w:tc>
        <w:tc>
          <w:tcPr>
            <w:tcW w:w="0" w:type="dxa"/>
            <w:vAlign w:val="bottom"/>
          </w:tcPr>
          <w:p>
            <w:pPr>
              <w:spacing w:after="0"/>
              <w:rPr>
                <w:sz w:val="1"/>
                <w:szCs w:val="1"/>
                <w:color w:val="auto"/>
              </w:rPr>
            </w:pPr>
          </w:p>
        </w:tc>
      </w:tr>
      <w:tr>
        <w:trPr>
          <w:trHeight w:val="405"/>
        </w:trPr>
        <w:tc>
          <w:tcPr>
            <w:tcW w:w="840" w:type="dxa"/>
            <w:vAlign w:val="bottom"/>
          </w:tcPr>
          <w:p>
            <w:pPr>
              <w:jc w:val="center"/>
              <w:spacing w:after="0"/>
              <w:rPr>
                <w:sz w:val="20"/>
                <w:szCs w:val="20"/>
                <w:color w:val="auto"/>
              </w:rPr>
            </w:pPr>
            <w:r>
              <w:rPr>
                <w:rFonts w:ascii="Arial" w:cs="Arial" w:eastAsia="Arial" w:hAnsi="Arial"/>
                <w:sz w:val="13"/>
                <w:szCs w:val="13"/>
                <w:color w:val="auto"/>
                <w:w w:val="87"/>
              </w:rPr>
              <w:t>US7693492</w:t>
            </w:r>
          </w:p>
        </w:tc>
        <w:tc>
          <w:tcPr>
            <w:tcW w:w="4260" w:type="dxa"/>
            <w:vAlign w:val="bottom"/>
          </w:tcPr>
          <w:p>
            <w:pPr>
              <w:ind w:left="80"/>
              <w:spacing w:after="0"/>
              <w:rPr>
                <w:sz w:val="20"/>
                <w:szCs w:val="20"/>
                <w:color w:val="auto"/>
              </w:rPr>
            </w:pPr>
            <w:r>
              <w:rPr>
                <w:rFonts w:ascii="Arial" w:cs="Arial" w:eastAsia="Arial" w:hAnsi="Arial"/>
                <w:sz w:val="13"/>
                <w:szCs w:val="13"/>
                <w:color w:val="auto"/>
                <w:w w:val="99"/>
              </w:rPr>
              <w:t>Method And System For Providing A Context For Message Compression</w:t>
            </w:r>
          </w:p>
        </w:tc>
        <w:tc>
          <w:tcPr>
            <w:tcW w:w="0" w:type="dxa"/>
            <w:vAlign w:val="bottom"/>
          </w:tcPr>
          <w:p>
            <w:pPr>
              <w:spacing w:after="0"/>
              <w:rPr>
                <w:sz w:val="1"/>
                <w:szCs w:val="1"/>
                <w:color w:val="auto"/>
              </w:rPr>
            </w:pPr>
          </w:p>
        </w:tc>
      </w:tr>
      <w:tr>
        <w:trPr>
          <w:trHeight w:val="405"/>
        </w:trPr>
        <w:tc>
          <w:tcPr>
            <w:tcW w:w="840" w:type="dxa"/>
            <w:vAlign w:val="bottom"/>
          </w:tcPr>
          <w:p>
            <w:pPr>
              <w:jc w:val="center"/>
              <w:spacing w:after="0"/>
              <w:rPr>
                <w:sz w:val="20"/>
                <w:szCs w:val="20"/>
                <w:color w:val="auto"/>
              </w:rPr>
            </w:pPr>
            <w:r>
              <w:rPr>
                <w:rFonts w:ascii="Arial" w:cs="Arial" w:eastAsia="Arial" w:hAnsi="Arial"/>
                <w:sz w:val="13"/>
                <w:szCs w:val="13"/>
                <w:color w:val="auto"/>
                <w:w w:val="89"/>
              </w:rPr>
              <w:t>DE60331071.0</w:t>
            </w:r>
          </w:p>
        </w:tc>
        <w:tc>
          <w:tcPr>
            <w:tcW w:w="4260" w:type="dxa"/>
            <w:vAlign w:val="bottom"/>
          </w:tcPr>
          <w:p>
            <w:pPr>
              <w:ind w:left="80"/>
              <w:spacing w:after="0"/>
              <w:rPr>
                <w:sz w:val="20"/>
                <w:szCs w:val="20"/>
                <w:color w:val="auto"/>
              </w:rPr>
            </w:pPr>
            <w:r>
              <w:rPr>
                <w:rFonts w:ascii="Arial" w:cs="Arial" w:eastAsia="Arial" w:hAnsi="Arial"/>
                <w:sz w:val="13"/>
                <w:szCs w:val="13"/>
                <w:color w:val="auto"/>
              </w:rPr>
              <w:t>GPRS/UMTS GGSN/IGSN Acting As Mobile IP Proxy (j)</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-3007995</wp:posOffset>
            </wp:positionV>
            <wp:extent cx="7246620" cy="2571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-2493645</wp:posOffset>
            </wp:positionV>
            <wp:extent cx="7246620" cy="2571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-1978660</wp:posOffset>
            </wp:positionV>
            <wp:extent cx="7246620" cy="2571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-1464310</wp:posOffset>
            </wp:positionV>
            <wp:extent cx="7246620" cy="2571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-949960</wp:posOffset>
            </wp:positionV>
            <wp:extent cx="7246620" cy="257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-434975</wp:posOffset>
            </wp:positionV>
            <wp:extent cx="7246620" cy="2571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78740</wp:posOffset>
            </wp:positionV>
            <wp:extent cx="7246620" cy="257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1900" w:type="dxa"/>
            <w:vAlign w:val="bottom"/>
          </w:tcPr>
          <w:p>
            <w:pPr>
              <w:spacing w:after="0" w:line="125" w:lineRule="exact"/>
              <w:rPr>
                <w:sz w:val="20"/>
                <w:szCs w:val="20"/>
                <w:color w:val="auto"/>
              </w:rPr>
            </w:pPr>
            <w:r>
              <w:rPr>
                <w:rFonts w:ascii="Arial" w:cs="Arial" w:eastAsia="Arial" w:hAnsi="Arial"/>
                <w:sz w:val="13"/>
                <w:szCs w:val="13"/>
                <w:color w:val="auto"/>
              </w:rPr>
              <w:t>Cheong Leung Ka [Fi] Le Khiem</w:t>
            </w:r>
          </w:p>
        </w:tc>
        <w:tc>
          <w:tcPr>
            <w:tcW w:w="480" w:type="dxa"/>
            <w:vAlign w:val="bottom"/>
          </w:tcPr>
          <w:p>
            <w:pPr>
              <w:jc w:val="center"/>
              <w:spacing w:after="0" w:line="125" w:lineRule="exact"/>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[Fi] (+1)</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rPr>
              <w:t>Cheong Leung Ka [Fi] Le Khiem</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[Fi] (+1)</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rPr>
              <w:t>Cheong Leung Ka [Fi] Le Khiem</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[Fi] (+1)</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rPr>
              <w:t>Cheong Leung Ka [Fi] Le Khiem</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[Fi] (+1)</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rPr>
              <w:t>Cheong Leung Ka [Fi] Le Khiem</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[Fi] (+1)</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rPr>
              <w:t>Cheong Leung Ka [Fi] Le Khiem</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[Fi] (+1)</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rPr>
              <w:t>Cheong Leung Ka [Fi] Le Khiem</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[Fi] (+1)</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rPr>
              <w:t>Cheong Leung Ka [Fi] Le Khiem</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[Fi] (+1)</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rPr>
              <w:t>Cheong Leung Ka [Fi] Le Khiem</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[Fi] (+1)</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rPr>
              <w:t>Cheong Leung Ka [Fi] Le Khiem</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[Fi] (+1)</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rPr>
              <w:t>Cheong Leung Ka [Fi] Le Khiem</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[Fi] (+1)</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rPr>
              <w:t>Cheong Leung Ka [Fi] Le Khiem</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[Fi] (+1)</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vMerge w:val="restart"/>
          </w:tcPr>
          <w:p>
            <w:pPr>
              <w:spacing w:after="0"/>
              <w:rPr>
                <w:sz w:val="20"/>
                <w:szCs w:val="20"/>
                <w:color w:val="auto"/>
              </w:rPr>
            </w:pPr>
            <w:r>
              <w:rPr>
                <w:rFonts w:ascii="Arial" w:cs="Arial" w:eastAsia="Arial" w:hAnsi="Arial"/>
                <w:sz w:val="13"/>
                <w:szCs w:val="13"/>
                <w:color w:val="auto"/>
                <w:w w:val="90"/>
              </w:rPr>
              <w:t>Greis Marc [Us] Faccin Stefano [Us]</w:t>
            </w: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IETF</w:t>
            </w:r>
          </w:p>
        </w:tc>
        <w:tc>
          <w:tcPr>
            <w:tcW w:w="0" w:type="dxa"/>
            <w:vAlign w:val="bottom"/>
          </w:tcPr>
          <w:p>
            <w:pPr>
              <w:spacing w:after="0"/>
              <w:rPr>
                <w:sz w:val="1"/>
                <w:szCs w:val="1"/>
                <w:color w:val="auto"/>
              </w:rPr>
            </w:pPr>
          </w:p>
        </w:tc>
      </w:tr>
      <w:tr>
        <w:trPr>
          <w:trHeight w:val="93"/>
        </w:trPr>
        <w:tc>
          <w:tcPr>
            <w:tcW w:w="190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68"/>
        </w:trPr>
        <w:tc>
          <w:tcPr>
            <w:tcW w:w="1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900" w:orient="portrait"/>
          <w:cols w:equalWidth="0" w:num="4">
            <w:col w:w="1840" w:space="320"/>
            <w:col w:w="1200" w:space="200"/>
            <w:col w:w="5100" w:space="320"/>
            <w:col w:w="2440"/>
          </w:cols>
          <w:pgMar w:left="240" w:top="111" w:right="239" w:bottom="0" w:gutter="0" w:footer="0" w:header="0"/>
          <w:type w:val="continuous"/>
        </w:sectPr>
      </w:pPr>
    </w:p>
    <w:tbl>
      <w:tblPr>
        <w:tblLayout w:type="fixed"/>
        <w:tblInd w:w="20" w:type="dxa"/>
        <w:tblCellMar>
          <w:top w:w="0" w:type="dxa"/>
          <w:left w:w="0" w:type="dxa"/>
          <w:bottom w:w="0" w:type="dxa"/>
          <w:right w:w="0" w:type="dxa"/>
        </w:tblCellMar>
      </w:tblPr>
      <w:tr>
        <w:trPr>
          <w:trHeight w:val="180"/>
        </w:trPr>
        <w:tc>
          <w:tcPr>
            <w:tcW w:w="680" w:type="dxa"/>
            <w:vAlign w:val="bottom"/>
          </w:tcPr>
          <w:p>
            <w:pPr>
              <w:jc w:val="center"/>
              <w:spacing w:after="0"/>
              <w:rPr>
                <w:sz w:val="20"/>
                <w:szCs w:val="20"/>
                <w:color w:val="auto"/>
              </w:rPr>
            </w:pPr>
            <w:r>
              <w:rPr>
                <w:rFonts w:ascii="Arial" w:cs="Arial" w:eastAsia="Arial" w:hAnsi="Arial"/>
                <w:sz w:val="13"/>
                <w:szCs w:val="13"/>
                <w:color w:val="auto"/>
                <w:w w:val="94"/>
              </w:rPr>
              <w:t>A17242VI-</w:t>
            </w:r>
          </w:p>
        </w:tc>
        <w:tc>
          <w:tcPr>
            <w:tcW w:w="860" w:type="dxa"/>
            <w:vAlign w:val="bottom"/>
          </w:tcPr>
          <w:p>
            <w:pPr>
              <w:jc w:val="center"/>
              <w:spacing w:after="0"/>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A17242VI-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A17242VI-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A17242VI-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A17304VI-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A17304VI-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A17307VI-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A17307VI-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A17307VI-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A17309VI-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A17315VI-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A17315VI-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A17326VI-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A17326VI-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A17326VI-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A17326VI-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A17326VI-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A17326VI-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A17439VI-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A17439VI-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A17439VI-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1"/>
              </w:rPr>
              <w:t>A17746NC-</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rPr>
              <w:t>MX</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9"/>
              </w:rPr>
              <w:t>MX01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A17746VI-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A17746VI-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A17746VI-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IN</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4"/>
              </w:rPr>
              <w:t>IN01</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4"/>
              </w:rPr>
              <w:t>A17746VI-</w:t>
            </w: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0" w:type="dxa"/>
            <w:vAlign w:val="bottom"/>
            <w:vMerge w:val="continue"/>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135"/>
        </w:trPr>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8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17-Jul-03</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17-Jul-03</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17-Jul-03</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19-Jul-02</w:t>
      </w:r>
    </w:p>
    <w:p>
      <w:pPr>
        <w:spacing w:after="0" w:line="26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22-Feb-99</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24-Feb-98</w:t>
      </w:r>
    </w:p>
    <w:p>
      <w:pPr>
        <w:spacing w:after="0" w:line="279"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19-May-99</w:t>
      </w:r>
    </w:p>
    <w:p>
      <w:pPr>
        <w:spacing w:after="0" w:line="279"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19-May-99</w:t>
      </w:r>
    </w:p>
    <w:p>
      <w:pPr>
        <w:spacing w:after="0" w:line="279"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20-May-98</w:t>
      </w:r>
    </w:p>
    <w:p>
      <w:pPr>
        <w:spacing w:after="0" w:line="279"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30-Jul-98</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9-Mar-00</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9-Mar-99</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3-Mar-00</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3-Mar-00</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3-Mar-00</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3-Mar-00</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3-Mar-00</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3-Mar-00</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6-Dec-02</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6-Dec-02</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6-Dec-02</w:t>
      </w:r>
    </w:p>
    <w:p>
      <w:pPr>
        <w:spacing w:after="0" w:line="26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11-Sep-06</w:t>
      </w:r>
    </w:p>
    <w:p>
      <w:pPr>
        <w:spacing w:after="0" w:line="279"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10-Mar-05</w:t>
      </w:r>
    </w:p>
    <w:p>
      <w:pPr>
        <w:spacing w:after="0" w:line="267"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color w:val="auto"/>
        </w:rPr>
        <w:t>Pending</w:t>
      </w:r>
      <w:r>
        <w:rPr>
          <w:sz w:val="20"/>
          <w:szCs w:val="20"/>
          <w:color w:val="auto"/>
        </w:rPr>
        <w:tab/>
      </w:r>
      <w:r>
        <w:rPr>
          <w:rFonts w:ascii="Arial" w:cs="Arial" w:eastAsia="Arial" w:hAnsi="Arial"/>
          <w:sz w:val="12"/>
          <w:szCs w:val="12"/>
          <w:color w:val="auto"/>
        </w:rPr>
        <w:t>10-Mar-05</w:t>
      </w:r>
    </w:p>
    <w:p>
      <w:pPr>
        <w:spacing w:after="0" w:line="26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15-Sep-06</w:t>
      </w:r>
    </w:p>
    <w:p>
      <w:pPr>
        <w:spacing w:after="0" w:line="279"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10-Mar-05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5"/>
              </w:rPr>
              <w:t>EP1523840</w:t>
            </w:r>
          </w:p>
        </w:tc>
        <w:tc>
          <w:tcPr>
            <w:tcW w:w="4520" w:type="dxa"/>
            <w:vAlign w:val="bottom"/>
          </w:tcPr>
          <w:p>
            <w:pPr>
              <w:ind w:left="40"/>
              <w:spacing w:after="0" w:line="125" w:lineRule="exact"/>
              <w:rPr>
                <w:sz w:val="20"/>
                <w:szCs w:val="20"/>
                <w:color w:val="auto"/>
              </w:rPr>
            </w:pPr>
            <w:r>
              <w:rPr>
                <w:rFonts w:ascii="Arial" w:cs="Arial" w:eastAsia="Arial" w:hAnsi="Arial"/>
                <w:sz w:val="13"/>
                <w:szCs w:val="13"/>
                <w:color w:val="auto"/>
                <w:w w:val="91"/>
              </w:rPr>
              <w:t>Method And Switching Device Providing Mobile IP Functionality For A Non-Mobile-IP</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w w:val="90"/>
              </w:rPr>
              <w:t>Greis Marc [Us] Faccin Stefano [Us]</w:t>
            </w:r>
          </w:p>
        </w:tc>
        <w:tc>
          <w:tcPr>
            <w:tcW w:w="480" w:type="dxa"/>
            <w:vAlign w:val="bottom"/>
          </w:tcPr>
          <w:p>
            <w:pPr>
              <w:jc w:val="center"/>
              <w:spacing w:after="0" w:line="125" w:lineRule="exact"/>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020" w:type="dxa"/>
            <w:vAlign w:val="bottom"/>
            <w:vMerge w:val="continue"/>
          </w:tcPr>
          <w:p>
            <w:pPr>
              <w:spacing w:after="0"/>
              <w:rPr>
                <w:sz w:val="13"/>
                <w:szCs w:val="13"/>
                <w:color w:val="auto"/>
              </w:rPr>
            </w:pPr>
          </w:p>
        </w:tc>
        <w:tc>
          <w:tcPr>
            <w:tcW w:w="4520" w:type="dxa"/>
            <w:vAlign w:val="bottom"/>
          </w:tcPr>
          <w:p>
            <w:pPr>
              <w:ind w:left="40"/>
              <w:spacing w:after="0"/>
              <w:rPr>
                <w:sz w:val="20"/>
                <w:szCs w:val="20"/>
                <w:color w:val="auto"/>
              </w:rPr>
            </w:pPr>
            <w:r>
              <w:rPr>
                <w:rFonts w:ascii="Arial" w:cs="Arial" w:eastAsia="Arial" w:hAnsi="Arial"/>
                <w:sz w:val="13"/>
                <w:szCs w:val="13"/>
                <w:color w:val="auto"/>
              </w:rPr>
              <w:t>Capable Mobile Node</w:t>
            </w:r>
          </w:p>
        </w:tc>
        <w:tc>
          <w:tcPr>
            <w:tcW w:w="1920" w:type="dxa"/>
            <w:vAlign w:val="bottom"/>
            <w:vMerge w:val="continue"/>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5"/>
              </w:rPr>
              <w:t>FR1523840</w:t>
            </w: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GPRS/UMTS GGSN/IGSN Acting As Mobile IP Proxy</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w w:val="90"/>
              </w:rPr>
              <w:t>Greis Marc [Us] Faccin Stefano [Us]</w:t>
            </w: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IETF</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9"/>
              </w:rPr>
              <w:t>GB1523840</w:t>
            </w: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GPRS/UMTS GGSN/IGSN Acting As Mobile IP Proxy</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w w:val="90"/>
              </w:rPr>
              <w:t>Greis Marc [Us] Faccin Stefano [Us]</w:t>
            </w: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IETF</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7"/>
              </w:rPr>
              <w:t>US7218618</w:t>
            </w:r>
          </w:p>
        </w:tc>
        <w:tc>
          <w:tcPr>
            <w:tcW w:w="4520" w:type="dxa"/>
            <w:vAlign w:val="bottom"/>
          </w:tcPr>
          <w:p>
            <w:pPr>
              <w:ind w:left="40"/>
              <w:spacing w:after="0"/>
              <w:rPr>
                <w:sz w:val="20"/>
                <w:szCs w:val="20"/>
                <w:color w:val="auto"/>
              </w:rPr>
            </w:pPr>
            <w:r>
              <w:rPr>
                <w:rFonts w:ascii="Arial" w:cs="Arial" w:eastAsia="Arial" w:hAnsi="Arial"/>
                <w:sz w:val="13"/>
                <w:szCs w:val="13"/>
                <w:color w:val="auto"/>
              </w:rPr>
              <w:t>A Method Of Providing Mobile IP Functionality For A Non Mobile IP</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w w:val="90"/>
              </w:rPr>
              <w:t>Greis Marc [Us] Faccin Stefano [Us]</w:t>
            </w:r>
          </w:p>
        </w:tc>
        <w:tc>
          <w:tcPr>
            <w:tcW w:w="480" w:type="dxa"/>
            <w:vAlign w:val="bottom"/>
          </w:tcPr>
          <w:p>
            <w:pPr>
              <w:jc w:val="center"/>
              <w:spacing w:after="0"/>
              <w:rPr>
                <w:sz w:val="20"/>
                <w:szCs w:val="20"/>
                <w:color w:val="auto"/>
              </w:rPr>
            </w:pPr>
            <w:r>
              <w:rPr>
                <w:rFonts w:ascii="Arial" w:cs="Arial" w:eastAsia="Arial" w:hAnsi="Arial"/>
                <w:sz w:val="13"/>
                <w:szCs w:val="13"/>
                <w:color w:val="auto"/>
                <w:w w:val="92"/>
              </w:rPr>
              <w:t>IETF</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Capable Mobile Node And Switching Device For Acting As A Mobile IP Proxy</w:t>
            </w:r>
          </w:p>
        </w:tc>
        <w:tc>
          <w:tcPr>
            <w:tcW w:w="192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5"/>
              </w:rPr>
              <w:t>EP1066732</w:t>
            </w:r>
          </w:p>
        </w:tc>
        <w:tc>
          <w:tcPr>
            <w:tcW w:w="6440" w:type="dxa"/>
            <w:vAlign w:val="bottom"/>
            <w:gridSpan w:val="2"/>
          </w:tcPr>
          <w:p>
            <w:pPr>
              <w:ind w:left="40"/>
              <w:spacing w:after="0"/>
              <w:rPr>
                <w:sz w:val="20"/>
                <w:szCs w:val="20"/>
                <w:color w:val="auto"/>
              </w:rPr>
            </w:pPr>
            <w:r>
              <w:rPr>
                <w:rFonts w:ascii="Arial" w:cs="Arial" w:eastAsia="Arial" w:hAnsi="Arial"/>
                <w:sz w:val="13"/>
                <w:szCs w:val="13"/>
                <w:color w:val="auto"/>
                <w:w w:val="94"/>
              </w:rPr>
              <w:t>Method And Apparatus For Resolving Dynamic Channel Assignment Conflict In AAL2 Subbiah Baranitharan [Us] Dixit</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Negotiation Procedure</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Sudhir S [Us]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7"/>
              </w:rPr>
              <w:t>US6128659</w:t>
            </w:r>
          </w:p>
        </w:tc>
        <w:tc>
          <w:tcPr>
            <w:tcW w:w="6440" w:type="dxa"/>
            <w:vAlign w:val="bottom"/>
            <w:gridSpan w:val="2"/>
          </w:tcPr>
          <w:p>
            <w:pPr>
              <w:ind w:left="40"/>
              <w:spacing w:after="0"/>
              <w:rPr>
                <w:sz w:val="20"/>
                <w:szCs w:val="20"/>
                <w:color w:val="auto"/>
              </w:rPr>
            </w:pPr>
            <w:r>
              <w:rPr>
                <w:rFonts w:ascii="Arial" w:cs="Arial" w:eastAsia="Arial" w:hAnsi="Arial"/>
                <w:sz w:val="13"/>
                <w:szCs w:val="13"/>
                <w:color w:val="auto"/>
                <w:w w:val="94"/>
              </w:rPr>
              <w:t>Method And Apparatus For Resolving Dynamic Channel Assignment Conflict In AAL2 Subbiah Baranitharan [Us] Dixit</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Negotiation Procedure</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Sudhir S [Us]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9"/>
              </w:rPr>
              <w:t>DE69901031.4</w:t>
            </w:r>
          </w:p>
        </w:tc>
        <w:tc>
          <w:tcPr>
            <w:tcW w:w="4520" w:type="dxa"/>
            <w:vAlign w:val="bottom"/>
          </w:tcPr>
          <w:p>
            <w:pPr>
              <w:ind w:left="40"/>
              <w:spacing w:after="0"/>
              <w:rPr>
                <w:sz w:val="20"/>
                <w:szCs w:val="20"/>
                <w:color w:val="auto"/>
              </w:rPr>
            </w:pPr>
            <w:r>
              <w:rPr>
                <w:rFonts w:ascii="Arial" w:cs="Arial" w:eastAsia="Arial" w:hAnsi="Arial"/>
                <w:sz w:val="13"/>
                <w:szCs w:val="13"/>
                <w:color w:val="auto"/>
                <w:w w:val="91"/>
              </w:rPr>
              <w:t>Method And Apparatus For Efficient Switching Of Partial Minicells In ATM Adaptation</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w w:val="90"/>
              </w:rPr>
              <w:t>Subbiah Baranitharan Dixit Sudhir 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020" w:type="dxa"/>
            <w:vAlign w:val="bottom"/>
            <w:vMerge w:val="continue"/>
          </w:tcPr>
          <w:p>
            <w:pPr>
              <w:spacing w:after="0"/>
              <w:rPr>
                <w:sz w:val="13"/>
                <w:szCs w:val="13"/>
                <w:color w:val="auto"/>
              </w:rPr>
            </w:pPr>
          </w:p>
        </w:tc>
        <w:tc>
          <w:tcPr>
            <w:tcW w:w="4520" w:type="dxa"/>
            <w:vAlign w:val="bottom"/>
          </w:tcPr>
          <w:p>
            <w:pPr>
              <w:ind w:left="40"/>
              <w:spacing w:after="0"/>
              <w:rPr>
                <w:sz w:val="20"/>
                <w:szCs w:val="20"/>
                <w:color w:val="auto"/>
              </w:rPr>
            </w:pPr>
            <w:r>
              <w:rPr>
                <w:rFonts w:ascii="Arial" w:cs="Arial" w:eastAsia="Arial" w:hAnsi="Arial"/>
                <w:sz w:val="13"/>
                <w:szCs w:val="13"/>
                <w:color w:val="auto"/>
              </w:rPr>
              <w:t>Layer 2</w:t>
            </w:r>
          </w:p>
        </w:tc>
        <w:tc>
          <w:tcPr>
            <w:tcW w:w="1920" w:type="dxa"/>
            <w:vAlign w:val="bottom"/>
            <w:vMerge w:val="continue"/>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300"/>
        </w:trPr>
        <w:tc>
          <w:tcPr>
            <w:tcW w:w="1020" w:type="dxa"/>
            <w:vAlign w:val="bottom"/>
          </w:tcPr>
          <w:p>
            <w:pPr>
              <w:jc w:val="center"/>
              <w:spacing w:after="0"/>
              <w:rPr>
                <w:sz w:val="20"/>
                <w:szCs w:val="20"/>
                <w:color w:val="auto"/>
              </w:rPr>
            </w:pPr>
            <w:r>
              <w:rPr>
                <w:rFonts w:ascii="Arial" w:cs="Arial" w:eastAsia="Arial" w:hAnsi="Arial"/>
                <w:sz w:val="13"/>
                <w:szCs w:val="13"/>
                <w:color w:val="auto"/>
                <w:w w:val="85"/>
              </w:rPr>
              <w:t>EP1080601</w:t>
            </w:r>
          </w:p>
        </w:tc>
        <w:tc>
          <w:tcPr>
            <w:tcW w:w="4520" w:type="dxa"/>
            <w:vAlign w:val="bottom"/>
          </w:tcPr>
          <w:p>
            <w:pPr>
              <w:ind w:left="40"/>
              <w:spacing w:after="0"/>
              <w:rPr>
                <w:sz w:val="20"/>
                <w:szCs w:val="20"/>
                <w:color w:val="auto"/>
              </w:rPr>
            </w:pPr>
            <w:r>
              <w:rPr>
                <w:rFonts w:ascii="Arial" w:cs="Arial" w:eastAsia="Arial" w:hAnsi="Arial"/>
                <w:sz w:val="13"/>
                <w:szCs w:val="13"/>
                <w:color w:val="auto"/>
                <w:w w:val="91"/>
              </w:rPr>
              <w:t>Method And Apparatus For Efficient Switching Of Partial Minicells In ATM Adaptation</w:t>
            </w:r>
          </w:p>
        </w:tc>
        <w:tc>
          <w:tcPr>
            <w:tcW w:w="1920" w:type="dxa"/>
            <w:vAlign w:val="bottom"/>
          </w:tcPr>
          <w:p>
            <w:pPr>
              <w:ind w:left="20"/>
              <w:spacing w:after="0"/>
              <w:rPr>
                <w:sz w:val="20"/>
                <w:szCs w:val="20"/>
                <w:color w:val="auto"/>
              </w:rPr>
            </w:pPr>
            <w:r>
              <w:rPr>
                <w:rFonts w:ascii="Arial" w:cs="Arial" w:eastAsia="Arial" w:hAnsi="Arial"/>
                <w:sz w:val="13"/>
                <w:szCs w:val="13"/>
                <w:color w:val="auto"/>
                <w:w w:val="90"/>
              </w:rPr>
              <w:t>Subbiah Baranitharan Dixit Sudhir 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4520" w:type="dxa"/>
            <w:vAlign w:val="bottom"/>
          </w:tcPr>
          <w:p>
            <w:pPr>
              <w:ind w:left="40"/>
              <w:spacing w:after="0"/>
              <w:rPr>
                <w:sz w:val="20"/>
                <w:szCs w:val="20"/>
                <w:color w:val="auto"/>
              </w:rPr>
            </w:pPr>
            <w:r>
              <w:rPr>
                <w:rFonts w:ascii="Arial" w:cs="Arial" w:eastAsia="Arial" w:hAnsi="Arial"/>
                <w:sz w:val="13"/>
                <w:szCs w:val="13"/>
                <w:color w:val="auto"/>
              </w:rPr>
              <w:t>Layer 2</w:t>
            </w:r>
          </w:p>
        </w:tc>
        <w:tc>
          <w:tcPr>
            <w:tcW w:w="192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190"/>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7"/>
              </w:rPr>
              <w:t>US6449276</w:t>
            </w:r>
          </w:p>
        </w:tc>
        <w:tc>
          <w:tcPr>
            <w:tcW w:w="4520" w:type="dxa"/>
            <w:vAlign w:val="bottom"/>
          </w:tcPr>
          <w:p>
            <w:pPr>
              <w:ind w:left="40"/>
              <w:spacing w:after="0"/>
              <w:rPr>
                <w:sz w:val="20"/>
                <w:szCs w:val="20"/>
                <w:color w:val="auto"/>
              </w:rPr>
            </w:pPr>
            <w:r>
              <w:rPr>
                <w:rFonts w:ascii="Arial" w:cs="Arial" w:eastAsia="Arial" w:hAnsi="Arial"/>
                <w:sz w:val="13"/>
                <w:szCs w:val="13"/>
                <w:color w:val="auto"/>
                <w:w w:val="91"/>
              </w:rPr>
              <w:t>Method And Apparatus For Efficient Switching Of Partial Minicells in ATM Adaptation</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w w:val="90"/>
              </w:rPr>
              <w:t>Subbiah Baranitharan Dixit Sudhir 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020" w:type="dxa"/>
            <w:vAlign w:val="bottom"/>
            <w:vMerge w:val="continue"/>
          </w:tcPr>
          <w:p>
            <w:pPr>
              <w:spacing w:after="0"/>
              <w:rPr>
                <w:sz w:val="13"/>
                <w:szCs w:val="13"/>
                <w:color w:val="auto"/>
              </w:rPr>
            </w:pPr>
          </w:p>
        </w:tc>
        <w:tc>
          <w:tcPr>
            <w:tcW w:w="4520" w:type="dxa"/>
            <w:vAlign w:val="bottom"/>
          </w:tcPr>
          <w:p>
            <w:pPr>
              <w:ind w:left="40"/>
              <w:spacing w:after="0"/>
              <w:rPr>
                <w:sz w:val="20"/>
                <w:szCs w:val="20"/>
                <w:color w:val="auto"/>
              </w:rPr>
            </w:pPr>
            <w:r>
              <w:rPr>
                <w:rFonts w:ascii="Arial" w:cs="Arial" w:eastAsia="Arial" w:hAnsi="Arial"/>
                <w:sz w:val="13"/>
                <w:szCs w:val="13"/>
                <w:color w:val="auto"/>
              </w:rPr>
              <w:t>Layer 2</w:t>
            </w:r>
          </w:p>
        </w:tc>
        <w:tc>
          <w:tcPr>
            <w:tcW w:w="1920" w:type="dxa"/>
            <w:vAlign w:val="bottom"/>
            <w:vMerge w:val="continue"/>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177"/>
        </w:trPr>
        <w:tc>
          <w:tcPr>
            <w:tcW w:w="1020" w:type="dxa"/>
            <w:vAlign w:val="bottom"/>
          </w:tcPr>
          <w:p>
            <w:pPr>
              <w:spacing w:after="0"/>
              <w:rPr>
                <w:sz w:val="15"/>
                <w:szCs w:val="15"/>
                <w:color w:val="auto"/>
              </w:rPr>
            </w:pPr>
          </w:p>
        </w:tc>
        <w:tc>
          <w:tcPr>
            <w:tcW w:w="4520" w:type="dxa"/>
            <w:vAlign w:val="bottom"/>
          </w:tcPr>
          <w:p>
            <w:pPr>
              <w:ind w:left="40"/>
              <w:spacing w:after="0"/>
              <w:rPr>
                <w:sz w:val="20"/>
                <w:szCs w:val="20"/>
                <w:color w:val="auto"/>
              </w:rPr>
            </w:pPr>
            <w:r>
              <w:rPr>
                <w:rFonts w:ascii="Arial" w:cs="Arial" w:eastAsia="Arial" w:hAnsi="Arial"/>
                <w:sz w:val="13"/>
                <w:szCs w:val="13"/>
                <w:color w:val="auto"/>
                <w:w w:val="97"/>
              </w:rPr>
              <w:t>Knowledge-Based Connection Admission Method And Apparatus For Providing</w:t>
            </w:r>
          </w:p>
        </w:tc>
        <w:tc>
          <w:tcPr>
            <w:tcW w:w="192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68"/>
        </w:trPr>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US6717948</w:t>
            </w:r>
          </w:p>
        </w:tc>
        <w:tc>
          <w:tcPr>
            <w:tcW w:w="4520" w:type="dxa"/>
            <w:vAlign w:val="bottom"/>
            <w:vMerge w:val="restart"/>
          </w:tcPr>
          <w:p>
            <w:pPr>
              <w:ind w:left="40"/>
              <w:spacing w:after="0" w:line="135" w:lineRule="exact"/>
              <w:rPr>
                <w:sz w:val="20"/>
                <w:szCs w:val="20"/>
                <w:color w:val="auto"/>
              </w:rPr>
            </w:pPr>
            <w:r>
              <w:rPr>
                <w:rFonts w:ascii="Arial" w:cs="Arial" w:eastAsia="Arial" w:hAnsi="Arial"/>
                <w:sz w:val="13"/>
                <w:szCs w:val="13"/>
                <w:color w:val="auto"/>
              </w:rPr>
              <w:t>Efficient</w:t>
            </w:r>
          </w:p>
        </w:tc>
        <w:tc>
          <w:tcPr>
            <w:tcW w:w="1920" w:type="dxa"/>
            <w:vAlign w:val="bottom"/>
            <w:vMerge w:val="restart"/>
          </w:tcPr>
          <w:p>
            <w:pPr>
              <w:ind w:left="20"/>
              <w:spacing w:after="0" w:line="135" w:lineRule="exact"/>
              <w:rPr>
                <w:sz w:val="20"/>
                <w:szCs w:val="20"/>
                <w:color w:val="auto"/>
              </w:rPr>
            </w:pPr>
            <w:r>
              <w:rPr>
                <w:rFonts w:ascii="Arial" w:cs="Arial" w:eastAsia="Arial" w:hAnsi="Arial"/>
                <w:sz w:val="13"/>
                <w:szCs w:val="13"/>
                <w:color w:val="auto"/>
              </w:rPr>
              <w:t>Subbiah Baranitharan</w:t>
            </w: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20" w:type="dxa"/>
            <w:vAlign w:val="bottom"/>
            <w:vMerge w:val="continue"/>
          </w:tcPr>
          <w:p>
            <w:pPr>
              <w:spacing w:after="0"/>
              <w:rPr>
                <w:sz w:val="5"/>
                <w:szCs w:val="5"/>
                <w:color w:val="auto"/>
              </w:rPr>
            </w:pPr>
          </w:p>
        </w:tc>
        <w:tc>
          <w:tcPr>
            <w:tcW w:w="452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93"/>
        </w:trPr>
        <w:tc>
          <w:tcPr>
            <w:tcW w:w="1020" w:type="dxa"/>
            <w:vAlign w:val="bottom"/>
          </w:tcPr>
          <w:p>
            <w:pPr>
              <w:spacing w:after="0"/>
              <w:rPr>
                <w:sz w:val="8"/>
                <w:szCs w:val="8"/>
                <w:color w:val="auto"/>
              </w:rPr>
            </w:pP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Multiplexing Of Data And Speech Over AAL2</w:t>
            </w:r>
          </w:p>
        </w:tc>
        <w:tc>
          <w:tcPr>
            <w:tcW w:w="19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8"/>
              </w:rPr>
              <w:t>CN1232082C</w:t>
            </w: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Generic Label Encapsulation Protocol</w:t>
            </w:r>
          </w:p>
        </w:tc>
        <w:tc>
          <w:tcPr>
            <w:tcW w:w="1920" w:type="dxa"/>
            <w:vAlign w:val="bottom"/>
          </w:tcPr>
          <w:p>
            <w:pPr>
              <w:ind w:left="20"/>
              <w:spacing w:after="0"/>
              <w:rPr>
                <w:sz w:val="20"/>
                <w:szCs w:val="20"/>
                <w:color w:val="auto"/>
              </w:rPr>
            </w:pPr>
            <w:r>
              <w:rPr>
                <w:rFonts w:ascii="Arial" w:cs="Arial" w:eastAsia="Arial" w:hAnsi="Arial"/>
                <w:sz w:val="13"/>
                <w:szCs w:val="13"/>
                <w:color w:val="auto"/>
              </w:rPr>
              <w:t>Ravikanth Rayadurgam [Us]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Strandberg Ove [Us] (+1)</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7"/>
              </w:rPr>
              <w:t>US6331978</w:t>
            </w:r>
          </w:p>
        </w:tc>
        <w:tc>
          <w:tcPr>
            <w:tcW w:w="6440" w:type="dxa"/>
            <w:vAlign w:val="bottom"/>
            <w:gridSpan w:val="2"/>
          </w:tcPr>
          <w:p>
            <w:pPr>
              <w:ind w:left="40"/>
              <w:spacing w:after="0"/>
              <w:rPr>
                <w:sz w:val="20"/>
                <w:szCs w:val="20"/>
                <w:color w:val="auto"/>
              </w:rPr>
            </w:pPr>
            <w:r>
              <w:rPr>
                <w:rFonts w:ascii="Arial" w:cs="Arial" w:eastAsia="Arial" w:hAnsi="Arial"/>
                <w:sz w:val="13"/>
                <w:szCs w:val="13"/>
                <w:color w:val="auto"/>
                <w:w w:val="95"/>
              </w:rPr>
              <w:t>Generic Label Encapsulation Protocol For Carrying Label Switched Packets Over Serial Ravikanth Rayadurgam [Us]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Links</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Strandberg Ove [Us] (+1)</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9"/>
              </w:rPr>
              <w:t>DE60039288.0</w:t>
            </w: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Mini Packet Switching In IP Based Cellular Access Networks</w:t>
            </w:r>
          </w:p>
        </w:tc>
        <w:tc>
          <w:tcPr>
            <w:tcW w:w="1920" w:type="dxa"/>
            <w:vAlign w:val="bottom"/>
          </w:tcPr>
          <w:p>
            <w:pPr>
              <w:ind w:left="20"/>
              <w:spacing w:after="0"/>
              <w:rPr>
                <w:sz w:val="20"/>
                <w:szCs w:val="20"/>
                <w:color w:val="auto"/>
              </w:rPr>
            </w:pPr>
            <w:r>
              <w:rPr>
                <w:rFonts w:ascii="Arial" w:cs="Arial" w:eastAsia="Arial" w:hAnsi="Arial"/>
                <w:sz w:val="13"/>
                <w:szCs w:val="13"/>
                <w:color w:val="auto"/>
              </w:rPr>
              <w:t>Subbiah Baranitharan [Us]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Sengodan Senthil [Us]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5"/>
              </w:rPr>
              <w:t>EP1157506</w:t>
            </w:r>
          </w:p>
        </w:tc>
        <w:tc>
          <w:tcPr>
            <w:tcW w:w="4520" w:type="dxa"/>
            <w:vAlign w:val="bottom"/>
          </w:tcPr>
          <w:p>
            <w:pPr>
              <w:ind w:left="40"/>
              <w:spacing w:after="0"/>
              <w:rPr>
                <w:sz w:val="20"/>
                <w:szCs w:val="20"/>
                <w:color w:val="auto"/>
              </w:rPr>
            </w:pPr>
            <w:r>
              <w:rPr>
                <w:rFonts w:ascii="Arial" w:cs="Arial" w:eastAsia="Arial" w:hAnsi="Arial"/>
                <w:sz w:val="13"/>
                <w:szCs w:val="13"/>
                <w:color w:val="auto"/>
                <w:w w:val="96"/>
              </w:rPr>
              <w:t>Method And Apparatus For Providing Mini Packet Switching In IP Based Cellular</w:t>
            </w:r>
          </w:p>
        </w:tc>
        <w:tc>
          <w:tcPr>
            <w:tcW w:w="1920" w:type="dxa"/>
            <w:vAlign w:val="bottom"/>
          </w:tcPr>
          <w:p>
            <w:pPr>
              <w:ind w:left="20"/>
              <w:spacing w:after="0"/>
              <w:rPr>
                <w:sz w:val="20"/>
                <w:szCs w:val="20"/>
                <w:color w:val="auto"/>
              </w:rPr>
            </w:pPr>
            <w:r>
              <w:rPr>
                <w:rFonts w:ascii="Arial" w:cs="Arial" w:eastAsia="Arial" w:hAnsi="Arial"/>
                <w:sz w:val="13"/>
                <w:szCs w:val="13"/>
                <w:color w:val="auto"/>
              </w:rPr>
              <w:t>Subbiah Baranitharan [Us]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Access Networks</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Sengodan Senthil [Us]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5"/>
              </w:rPr>
              <w:t>FR1157506</w:t>
            </w: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Mini Packet Switching In IP Based Cellular Access Networks</w:t>
            </w:r>
          </w:p>
        </w:tc>
        <w:tc>
          <w:tcPr>
            <w:tcW w:w="1920" w:type="dxa"/>
            <w:vAlign w:val="bottom"/>
          </w:tcPr>
          <w:p>
            <w:pPr>
              <w:ind w:left="20"/>
              <w:spacing w:after="0"/>
              <w:rPr>
                <w:sz w:val="20"/>
                <w:szCs w:val="20"/>
                <w:color w:val="auto"/>
              </w:rPr>
            </w:pPr>
            <w:r>
              <w:rPr>
                <w:rFonts w:ascii="Arial" w:cs="Arial" w:eastAsia="Arial" w:hAnsi="Arial"/>
                <w:sz w:val="13"/>
                <w:szCs w:val="13"/>
                <w:color w:val="auto"/>
              </w:rPr>
              <w:t>Subbiah Baranitharan [Us]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Sengodan Senthil [Us]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9"/>
              </w:rPr>
              <w:t>GB1157506</w:t>
            </w: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Mini Packet Switching In IP Based Cellular Access Networks</w:t>
            </w:r>
          </w:p>
        </w:tc>
        <w:tc>
          <w:tcPr>
            <w:tcW w:w="1920" w:type="dxa"/>
            <w:vAlign w:val="bottom"/>
          </w:tcPr>
          <w:p>
            <w:pPr>
              <w:ind w:left="20"/>
              <w:spacing w:after="0"/>
              <w:rPr>
                <w:sz w:val="20"/>
                <w:szCs w:val="20"/>
                <w:color w:val="auto"/>
              </w:rPr>
            </w:pPr>
            <w:r>
              <w:rPr>
                <w:rFonts w:ascii="Arial" w:cs="Arial" w:eastAsia="Arial" w:hAnsi="Arial"/>
                <w:sz w:val="13"/>
                <w:szCs w:val="13"/>
                <w:color w:val="auto"/>
              </w:rPr>
              <w:t>Subbiah Baranitharan [Us]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Sengodan Senthil [Us]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0"/>
              </w:rPr>
              <w:t>IT29517BE/2008</w:t>
            </w: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Mini Packet Switching In IP Based Cellular Access Networks</w:t>
            </w:r>
          </w:p>
        </w:tc>
        <w:tc>
          <w:tcPr>
            <w:tcW w:w="1920" w:type="dxa"/>
            <w:vAlign w:val="bottom"/>
          </w:tcPr>
          <w:p>
            <w:pPr>
              <w:ind w:left="20"/>
              <w:spacing w:after="0"/>
              <w:rPr>
                <w:sz w:val="20"/>
                <w:szCs w:val="20"/>
                <w:color w:val="auto"/>
              </w:rPr>
            </w:pPr>
            <w:r>
              <w:rPr>
                <w:rFonts w:ascii="Arial" w:cs="Arial" w:eastAsia="Arial" w:hAnsi="Arial"/>
                <w:sz w:val="13"/>
                <w:szCs w:val="13"/>
                <w:color w:val="auto"/>
              </w:rPr>
              <w:t>Subbiah Baranitharan [Us]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Sengodan Senthil [Us]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7"/>
              </w:rPr>
              <w:t>US6366961</w:t>
            </w:r>
          </w:p>
        </w:tc>
        <w:tc>
          <w:tcPr>
            <w:tcW w:w="4520" w:type="dxa"/>
            <w:vAlign w:val="bottom"/>
          </w:tcPr>
          <w:p>
            <w:pPr>
              <w:ind w:left="40"/>
              <w:spacing w:after="0"/>
              <w:rPr>
                <w:sz w:val="20"/>
                <w:szCs w:val="20"/>
                <w:color w:val="auto"/>
              </w:rPr>
            </w:pPr>
            <w:r>
              <w:rPr>
                <w:rFonts w:ascii="Arial" w:cs="Arial" w:eastAsia="Arial" w:hAnsi="Arial"/>
                <w:sz w:val="13"/>
                <w:szCs w:val="13"/>
                <w:color w:val="auto"/>
                <w:w w:val="96"/>
              </w:rPr>
              <w:t>Method And Apparatus For Providing Mini Packet Switching In IP Based Cellular</w:t>
            </w:r>
          </w:p>
        </w:tc>
        <w:tc>
          <w:tcPr>
            <w:tcW w:w="1920" w:type="dxa"/>
            <w:vAlign w:val="bottom"/>
          </w:tcPr>
          <w:p>
            <w:pPr>
              <w:ind w:left="20"/>
              <w:spacing w:after="0"/>
              <w:rPr>
                <w:sz w:val="20"/>
                <w:szCs w:val="20"/>
                <w:color w:val="auto"/>
              </w:rPr>
            </w:pPr>
            <w:r>
              <w:rPr>
                <w:rFonts w:ascii="Arial" w:cs="Arial" w:eastAsia="Arial" w:hAnsi="Arial"/>
                <w:sz w:val="13"/>
                <w:szCs w:val="13"/>
                <w:color w:val="auto"/>
              </w:rPr>
              <w:t>Subbiah Baranitharan [Us]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Access Networks</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Sengodan Senthil [Us]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9"/>
              </w:rPr>
              <w:t>DE60234466.2</w:t>
            </w: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Mechanism To Create Pinhole For Existing Session In Middlebox</w:t>
            </w:r>
          </w:p>
        </w:tc>
        <w:tc>
          <w:tcPr>
            <w:tcW w:w="1920" w:type="dxa"/>
            <w:vAlign w:val="bottom"/>
          </w:tcPr>
          <w:p>
            <w:pPr>
              <w:ind w:left="20"/>
              <w:spacing w:after="0"/>
              <w:rPr>
                <w:sz w:val="20"/>
                <w:szCs w:val="20"/>
                <w:color w:val="auto"/>
              </w:rPr>
            </w:pPr>
            <w:r>
              <w:rPr>
                <w:rFonts w:ascii="Arial" w:cs="Arial" w:eastAsia="Arial" w:hAnsi="Arial"/>
                <w:sz w:val="13"/>
                <w:szCs w:val="13"/>
                <w:color w:val="auto"/>
              </w:rPr>
              <w:t>Lakshmi Narayanan Ram Gopal</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[Us] Verma Sanjeev [Us]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5"/>
              </w:rPr>
              <w:t>EP1451705</w:t>
            </w: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A Mechanism To Create Pinhole For Existing Session In Middlebox</w:t>
            </w:r>
          </w:p>
        </w:tc>
        <w:tc>
          <w:tcPr>
            <w:tcW w:w="1920" w:type="dxa"/>
            <w:vAlign w:val="bottom"/>
          </w:tcPr>
          <w:p>
            <w:pPr>
              <w:ind w:left="20"/>
              <w:spacing w:after="0"/>
              <w:rPr>
                <w:sz w:val="20"/>
                <w:szCs w:val="20"/>
                <w:color w:val="auto"/>
              </w:rPr>
            </w:pPr>
            <w:r>
              <w:rPr>
                <w:rFonts w:ascii="Arial" w:cs="Arial" w:eastAsia="Arial" w:hAnsi="Arial"/>
                <w:sz w:val="13"/>
                <w:szCs w:val="13"/>
                <w:color w:val="auto"/>
              </w:rPr>
              <w:t>Lakshmi Narayanan Ram Gopal</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[Us] Verma Sanjeev [Us]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7"/>
              </w:rPr>
              <w:t>US7420943</w:t>
            </w: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A Mechanism To Create Pinhole For Existing Session In Middlebox</w:t>
            </w:r>
          </w:p>
        </w:tc>
        <w:tc>
          <w:tcPr>
            <w:tcW w:w="1920" w:type="dxa"/>
            <w:vAlign w:val="bottom"/>
          </w:tcPr>
          <w:p>
            <w:pPr>
              <w:ind w:left="20"/>
              <w:spacing w:after="0"/>
              <w:rPr>
                <w:sz w:val="20"/>
                <w:szCs w:val="20"/>
                <w:color w:val="auto"/>
              </w:rPr>
            </w:pPr>
            <w:r>
              <w:rPr>
                <w:rFonts w:ascii="Arial" w:cs="Arial" w:eastAsia="Arial" w:hAnsi="Arial"/>
                <w:sz w:val="13"/>
                <w:szCs w:val="13"/>
                <w:color w:val="auto"/>
              </w:rPr>
              <w:t>Lakshmi Narayanan Ram Gopal</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[Us] Verma Sanjeev [Us]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92"/>
              </w:rPr>
              <w:t>MX270588</w:t>
            </w:r>
          </w:p>
        </w:tc>
        <w:tc>
          <w:tcPr>
            <w:tcW w:w="4520" w:type="dxa"/>
            <w:vAlign w:val="bottom"/>
          </w:tcPr>
          <w:p>
            <w:pPr>
              <w:ind w:left="40"/>
              <w:spacing w:after="0"/>
              <w:rPr>
                <w:sz w:val="20"/>
                <w:szCs w:val="20"/>
                <w:color w:val="auto"/>
              </w:rPr>
            </w:pPr>
            <w:r>
              <w:rPr>
                <w:rFonts w:ascii="Arial" w:cs="Arial" w:eastAsia="Arial" w:hAnsi="Arial"/>
                <w:sz w:val="13"/>
                <w:szCs w:val="13"/>
                <w:color w:val="auto"/>
                <w:w w:val="95"/>
              </w:rPr>
              <w:t>Method, Apparatus And Computer Program Product Providing Quality Of Service</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Zheng Haihong</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Support In A Wireless Communications System</w:t>
            </w:r>
          </w:p>
        </w:tc>
        <w:tc>
          <w:tcPr>
            <w:tcW w:w="192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p>
        </w:tc>
        <w:tc>
          <w:tcPr>
            <w:tcW w:w="4520" w:type="dxa"/>
            <w:vAlign w:val="bottom"/>
          </w:tcPr>
          <w:p>
            <w:pPr>
              <w:ind w:left="40"/>
              <w:spacing w:after="0"/>
              <w:rPr>
                <w:sz w:val="20"/>
                <w:szCs w:val="20"/>
                <w:color w:val="auto"/>
              </w:rPr>
            </w:pPr>
            <w:r>
              <w:rPr>
                <w:rFonts w:ascii="Arial" w:cs="Arial" w:eastAsia="Arial" w:hAnsi="Arial"/>
                <w:sz w:val="13"/>
                <w:szCs w:val="13"/>
                <w:color w:val="auto"/>
                <w:w w:val="95"/>
              </w:rPr>
              <w:t>Method, Apparatus And Computer Program Product Providing Quality Of Service</w:t>
            </w:r>
          </w:p>
        </w:tc>
        <w:tc>
          <w:tcPr>
            <w:tcW w:w="192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283"/>
        </w:trPr>
        <w:tc>
          <w:tcPr>
            <w:tcW w:w="5540" w:type="dxa"/>
            <w:vAlign w:val="bottom"/>
            <w:gridSpan w:val="2"/>
          </w:tcPr>
          <w:p>
            <w:pPr>
              <w:spacing w:after="0" w:line="283" w:lineRule="exact"/>
              <w:rPr>
                <w:sz w:val="20"/>
                <w:szCs w:val="20"/>
                <w:color w:val="auto"/>
              </w:rPr>
            </w:pPr>
            <w:r>
              <w:rPr>
                <w:rFonts w:ascii="Arial" w:cs="Arial" w:eastAsia="Arial" w:hAnsi="Arial"/>
                <w:sz w:val="25"/>
                <w:szCs w:val="25"/>
                <w:color w:val="auto"/>
                <w:vertAlign w:val="superscript"/>
              </w:rPr>
              <w:t>CN200580013835.X</w:t>
            </w:r>
            <w:r>
              <w:rPr>
                <w:rFonts w:ascii="Arial" w:cs="Arial" w:eastAsia="Arial" w:hAnsi="Arial"/>
                <w:sz w:val="13"/>
                <w:szCs w:val="13"/>
                <w:color w:val="auto"/>
              </w:rPr>
              <w:t>Support In A Wireless Communications System</w:t>
            </w:r>
          </w:p>
        </w:tc>
        <w:tc>
          <w:tcPr>
            <w:tcW w:w="1920" w:type="dxa"/>
            <w:vAlign w:val="bottom"/>
          </w:tcPr>
          <w:p>
            <w:pPr>
              <w:ind w:left="20"/>
              <w:spacing w:after="0"/>
              <w:rPr>
                <w:sz w:val="20"/>
                <w:szCs w:val="20"/>
                <w:color w:val="auto"/>
              </w:rPr>
            </w:pPr>
            <w:r>
              <w:rPr>
                <w:rFonts w:ascii="Arial" w:cs="Arial" w:eastAsia="Arial" w:hAnsi="Arial"/>
                <w:sz w:val="13"/>
                <w:szCs w:val="13"/>
                <w:color w:val="auto"/>
              </w:rPr>
              <w:t>Zheng Haihong</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135"/>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5"/>
              </w:rPr>
              <w:t>EP1776644</w:t>
            </w:r>
          </w:p>
        </w:tc>
        <w:tc>
          <w:tcPr>
            <w:tcW w:w="4520" w:type="dxa"/>
            <w:vAlign w:val="bottom"/>
          </w:tcPr>
          <w:p>
            <w:pPr>
              <w:ind w:left="40"/>
              <w:spacing w:after="0" w:line="135" w:lineRule="exact"/>
              <w:rPr>
                <w:sz w:val="20"/>
                <w:szCs w:val="20"/>
                <w:color w:val="auto"/>
              </w:rPr>
            </w:pPr>
            <w:r>
              <w:rPr>
                <w:rFonts w:ascii="Arial" w:cs="Arial" w:eastAsia="Arial" w:hAnsi="Arial"/>
                <w:sz w:val="13"/>
                <w:szCs w:val="13"/>
                <w:color w:val="auto"/>
                <w:w w:val="95"/>
              </w:rPr>
              <w:t>Method, Apparatus And Computer Program Product Providing Quality Of Service</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Zheng Haihong</w:t>
            </w:r>
          </w:p>
        </w:tc>
        <w:tc>
          <w:tcPr>
            <w:tcW w:w="480" w:type="dxa"/>
            <w:vAlign w:val="bottom"/>
          </w:tcPr>
          <w:p>
            <w:pPr>
              <w:jc w:val="center"/>
              <w:spacing w:after="0" w:line="135" w:lineRule="exact"/>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Support In A Wireless Communications System</w:t>
            </w:r>
          </w:p>
        </w:tc>
        <w:tc>
          <w:tcPr>
            <w:tcW w:w="192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1020" w:type="dxa"/>
            <w:vAlign w:val="bottom"/>
          </w:tcPr>
          <w:p>
            <w:pPr>
              <w:jc w:val="center"/>
              <w:spacing w:after="0"/>
              <w:rPr>
                <w:sz w:val="20"/>
                <w:szCs w:val="20"/>
                <w:color w:val="auto"/>
              </w:rPr>
            </w:pPr>
            <w:r>
              <w:rPr>
                <w:rFonts w:ascii="Arial" w:cs="Arial" w:eastAsia="Arial" w:hAnsi="Arial"/>
                <w:sz w:val="13"/>
                <w:szCs w:val="13"/>
                <w:color w:val="auto"/>
                <w:w w:val="88"/>
              </w:rPr>
              <w:t>IN243980</w:t>
            </w:r>
          </w:p>
        </w:tc>
        <w:tc>
          <w:tcPr>
            <w:tcW w:w="4520" w:type="dxa"/>
            <w:vAlign w:val="bottom"/>
          </w:tcPr>
          <w:p>
            <w:pPr>
              <w:ind w:left="40"/>
              <w:spacing w:after="0"/>
              <w:rPr>
                <w:sz w:val="20"/>
                <w:szCs w:val="20"/>
                <w:color w:val="auto"/>
              </w:rPr>
            </w:pPr>
            <w:r>
              <w:rPr>
                <w:rFonts w:ascii="Arial" w:cs="Arial" w:eastAsia="Arial" w:hAnsi="Arial"/>
                <w:sz w:val="13"/>
                <w:szCs w:val="13"/>
                <w:color w:val="auto"/>
                <w:w w:val="89"/>
              </w:rPr>
              <w:t>Mobile Station Operable With Radio Access Network And A Packet Data Serving Node</w:t>
            </w:r>
          </w:p>
        </w:tc>
        <w:tc>
          <w:tcPr>
            <w:tcW w:w="1920" w:type="dxa"/>
            <w:vAlign w:val="bottom"/>
          </w:tcPr>
          <w:p>
            <w:pPr>
              <w:ind w:left="20"/>
              <w:spacing w:after="0"/>
              <w:rPr>
                <w:sz w:val="20"/>
                <w:szCs w:val="20"/>
                <w:color w:val="auto"/>
              </w:rPr>
            </w:pPr>
            <w:r>
              <w:rPr>
                <w:rFonts w:ascii="Arial" w:cs="Arial" w:eastAsia="Arial" w:hAnsi="Arial"/>
                <w:sz w:val="13"/>
                <w:szCs w:val="13"/>
                <w:color w:val="auto"/>
              </w:rPr>
              <w:t>Zheng Haihong</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4520" w:type="dxa"/>
            <w:vAlign w:val="bottom"/>
          </w:tcPr>
          <w:p>
            <w:pPr>
              <w:ind w:left="40"/>
              <w:spacing w:after="0"/>
              <w:rPr>
                <w:sz w:val="20"/>
                <w:szCs w:val="20"/>
                <w:color w:val="auto"/>
              </w:rPr>
            </w:pPr>
            <w:r>
              <w:rPr>
                <w:rFonts w:ascii="Arial" w:cs="Arial" w:eastAsia="Arial" w:hAnsi="Arial"/>
                <w:sz w:val="13"/>
                <w:szCs w:val="13"/>
                <w:color w:val="auto"/>
              </w:rPr>
              <w:t>And Method For Operating Such Mobile Station</w:t>
            </w:r>
          </w:p>
        </w:tc>
        <w:tc>
          <w:tcPr>
            <w:tcW w:w="192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190"/>
        </w:trPr>
        <w:tc>
          <w:tcPr>
            <w:tcW w:w="1020" w:type="dxa"/>
            <w:vAlign w:val="bottom"/>
            <w:vMerge w:val="restart"/>
          </w:tcPr>
          <w:p>
            <w:pPr>
              <w:jc w:val="center"/>
              <w:spacing w:after="0"/>
              <w:rPr>
                <w:sz w:val="20"/>
                <w:szCs w:val="20"/>
                <w:color w:val="auto"/>
              </w:rPr>
            </w:pPr>
            <w:r>
              <w:rPr>
                <w:rFonts w:ascii="Arial" w:cs="Arial" w:eastAsia="Arial" w:hAnsi="Arial"/>
                <w:sz w:val="13"/>
                <w:szCs w:val="13"/>
                <w:color w:val="auto"/>
                <w:w w:val="85"/>
              </w:rPr>
              <w:t>JP4672002</w:t>
            </w:r>
          </w:p>
        </w:tc>
        <w:tc>
          <w:tcPr>
            <w:tcW w:w="4520" w:type="dxa"/>
            <w:vAlign w:val="bottom"/>
          </w:tcPr>
          <w:p>
            <w:pPr>
              <w:ind w:left="40"/>
              <w:spacing w:after="0"/>
              <w:rPr>
                <w:sz w:val="20"/>
                <w:szCs w:val="20"/>
                <w:color w:val="auto"/>
              </w:rPr>
            </w:pPr>
            <w:r>
              <w:rPr>
                <w:rFonts w:ascii="Arial" w:cs="Arial" w:eastAsia="Arial" w:hAnsi="Arial"/>
                <w:sz w:val="13"/>
                <w:szCs w:val="13"/>
                <w:color w:val="auto"/>
                <w:w w:val="95"/>
              </w:rPr>
              <w:t>Method, Apparatus And Computer Program Product Providing Quality Of Service</w:t>
            </w:r>
          </w:p>
        </w:tc>
        <w:tc>
          <w:tcPr>
            <w:tcW w:w="1920" w:type="dxa"/>
            <w:vAlign w:val="bottom"/>
            <w:vMerge w:val="restart"/>
          </w:tcPr>
          <w:p>
            <w:pPr>
              <w:ind w:left="20"/>
              <w:spacing w:after="0"/>
              <w:rPr>
                <w:sz w:val="20"/>
                <w:szCs w:val="20"/>
                <w:color w:val="auto"/>
              </w:rPr>
            </w:pPr>
            <w:r>
              <w:rPr>
                <w:rFonts w:ascii="Arial" w:cs="Arial" w:eastAsia="Arial" w:hAnsi="Arial"/>
                <w:sz w:val="13"/>
                <w:szCs w:val="13"/>
                <w:color w:val="auto"/>
              </w:rPr>
              <w:t>Zheng Haihong</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4520" w:type="dxa"/>
            <w:vAlign w:val="bottom"/>
            <w:vMerge w:val="restart"/>
          </w:tcPr>
          <w:p>
            <w:pPr>
              <w:ind w:left="40"/>
              <w:spacing w:after="0"/>
              <w:rPr>
                <w:sz w:val="20"/>
                <w:szCs w:val="20"/>
                <w:color w:val="auto"/>
              </w:rPr>
            </w:pPr>
            <w:r>
              <w:rPr>
                <w:rFonts w:ascii="Arial" w:cs="Arial" w:eastAsia="Arial" w:hAnsi="Arial"/>
                <w:sz w:val="13"/>
                <w:szCs w:val="13"/>
                <w:color w:val="auto"/>
              </w:rPr>
              <w:t>Support In A Wireless Communications System</w:t>
            </w:r>
          </w:p>
        </w:tc>
        <w:tc>
          <w:tcPr>
            <w:tcW w:w="192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-6137910</wp:posOffset>
            </wp:positionV>
            <wp:extent cx="7246620" cy="257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-5623560</wp:posOffset>
            </wp:positionV>
            <wp:extent cx="7246620" cy="257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-5109210</wp:posOffset>
            </wp:positionV>
            <wp:extent cx="7246620" cy="257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-4594225</wp:posOffset>
            </wp:positionV>
            <wp:extent cx="7246620" cy="2571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-4079875</wp:posOffset>
            </wp:positionV>
            <wp:extent cx="7246620" cy="2571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-3565525</wp:posOffset>
            </wp:positionV>
            <wp:extent cx="7246620" cy="2571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-3050540</wp:posOffset>
            </wp:positionV>
            <wp:extent cx="7246620" cy="2571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-2536190</wp:posOffset>
            </wp:positionV>
            <wp:extent cx="7246620" cy="2571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-2021840</wp:posOffset>
            </wp:positionV>
            <wp:extent cx="7246620" cy="257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-1506855</wp:posOffset>
            </wp:positionV>
            <wp:extent cx="7246620" cy="2571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-992505</wp:posOffset>
            </wp:positionV>
            <wp:extent cx="7246620" cy="2571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-478155</wp:posOffset>
            </wp:positionV>
            <wp:extent cx="7246620" cy="2571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53" w:lineRule="exact"/>
        <w:rPr>
          <w:sz w:val="20"/>
          <w:szCs w:val="20"/>
          <w:color w:val="auto"/>
        </w:rPr>
      </w:pPr>
    </w:p>
    <w:p>
      <w:pPr>
        <w:sectPr>
          <w:pgSz w:w="11900" w:h="16900" w:orient="portrait"/>
          <w:cols w:equalWidth="0" w:num="3">
            <w:col w:w="1860" w:space="280"/>
            <w:col w:w="1240" w:space="40"/>
            <w:col w:w="8000"/>
          </w:cols>
          <w:pgMar w:left="240" w:top="111" w:right="239" w:bottom="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680" w:type="dxa"/>
            <w:vAlign w:val="bottom"/>
            <w:shd w:val="clear" w:color="auto" w:fill="CCFFCC"/>
          </w:tcPr>
          <w:p>
            <w:pPr>
              <w:jc w:val="center"/>
              <w:spacing w:after="0" w:line="125" w:lineRule="exact"/>
              <w:rPr>
                <w:sz w:val="20"/>
                <w:szCs w:val="20"/>
                <w:color w:val="auto"/>
              </w:rPr>
            </w:pPr>
            <w:r>
              <w:rPr>
                <w:rFonts w:ascii="Arial" w:cs="Arial" w:eastAsia="Arial" w:hAnsi="Arial"/>
                <w:sz w:val="13"/>
                <w:szCs w:val="13"/>
                <w:color w:val="auto"/>
                <w:w w:val="94"/>
              </w:rPr>
              <w:t>A17746VI-</w:t>
            </w:r>
          </w:p>
        </w:tc>
        <w:tc>
          <w:tcPr>
            <w:tcW w:w="880" w:type="dxa"/>
            <w:vAlign w:val="bottom"/>
            <w:shd w:val="clear" w:color="auto" w:fill="CCFFCC"/>
          </w:tcPr>
          <w:p>
            <w:pPr>
              <w:jc w:val="center"/>
              <w:spacing w:after="0" w:line="125" w:lineRule="exact"/>
              <w:rPr>
                <w:sz w:val="20"/>
                <w:szCs w:val="20"/>
                <w:color w:val="auto"/>
              </w:rPr>
            </w:pPr>
            <w:r>
              <w:rPr>
                <w:rFonts w:ascii="Arial" w:cs="Arial" w:eastAsia="Arial" w:hAnsi="Arial"/>
                <w:sz w:val="13"/>
                <w:szCs w:val="13"/>
                <w:color w:val="auto"/>
                <w:w w:val="90"/>
              </w:rPr>
              <w:t>Vringo</w:t>
            </w:r>
          </w:p>
        </w:tc>
        <w:tc>
          <w:tcPr>
            <w:tcW w:w="440" w:type="dxa"/>
            <w:vAlign w:val="bottom"/>
            <w:shd w:val="clear" w:color="auto" w:fill="CCFFCC"/>
          </w:tcPr>
          <w:p>
            <w:pPr>
              <w:ind w:left="120"/>
              <w:spacing w:after="0" w:line="125" w:lineRule="exact"/>
              <w:rPr>
                <w:sz w:val="20"/>
                <w:szCs w:val="20"/>
                <w:color w:val="auto"/>
              </w:rPr>
            </w:pPr>
            <w:r>
              <w:rPr>
                <w:rFonts w:ascii="Arial" w:cs="Arial" w:eastAsia="Arial" w:hAnsi="Arial"/>
                <w:sz w:val="13"/>
                <w:szCs w:val="13"/>
                <w:color w:val="auto"/>
              </w:rPr>
              <w:t>US</w:t>
            </w:r>
          </w:p>
        </w:tc>
        <w:tc>
          <w:tcPr>
            <w:tcW w:w="720" w:type="dxa"/>
            <w:vAlign w:val="bottom"/>
            <w:shd w:val="clear" w:color="auto" w:fill="CCFFCC"/>
          </w:tcPr>
          <w:p>
            <w:pPr>
              <w:ind w:left="160"/>
              <w:spacing w:after="0" w:line="125" w:lineRule="exact"/>
              <w:rPr>
                <w:sz w:val="20"/>
                <w:szCs w:val="20"/>
                <w:color w:val="auto"/>
              </w:rPr>
            </w:pPr>
            <w:r>
              <w:rPr>
                <w:rFonts w:ascii="Arial" w:cs="Arial" w:eastAsia="Arial" w:hAnsi="Arial"/>
                <w:sz w:val="13"/>
                <w:szCs w:val="13"/>
                <w:color w:val="auto"/>
              </w:rPr>
              <w:t>Granted</w:t>
            </w:r>
          </w:p>
        </w:tc>
        <w:tc>
          <w:tcPr>
            <w:tcW w:w="780" w:type="dxa"/>
            <w:vAlign w:val="bottom"/>
            <w:shd w:val="clear" w:color="auto" w:fill="CCFFCC"/>
          </w:tcPr>
          <w:p>
            <w:pPr>
              <w:ind w:left="140"/>
              <w:spacing w:after="0" w:line="125" w:lineRule="exact"/>
              <w:rPr>
                <w:sz w:val="20"/>
                <w:szCs w:val="20"/>
                <w:color w:val="auto"/>
              </w:rPr>
            </w:pPr>
            <w:r>
              <w:rPr>
                <w:rFonts w:ascii="Arial" w:cs="Arial" w:eastAsia="Arial" w:hAnsi="Arial"/>
                <w:sz w:val="13"/>
                <w:szCs w:val="13"/>
                <w:color w:val="auto"/>
              </w:rPr>
              <w:t>2-Mar-05</w:t>
            </w:r>
          </w:p>
        </w:tc>
        <w:tc>
          <w:tcPr>
            <w:tcW w:w="860" w:type="dxa"/>
            <w:vAlign w:val="bottom"/>
            <w:shd w:val="clear" w:color="auto" w:fill="CCFFCC"/>
          </w:tcPr>
          <w:p>
            <w:pPr>
              <w:ind w:left="160"/>
              <w:spacing w:after="0" w:line="125" w:lineRule="exact"/>
              <w:rPr>
                <w:sz w:val="20"/>
                <w:szCs w:val="20"/>
                <w:color w:val="auto"/>
              </w:rPr>
            </w:pPr>
            <w:r>
              <w:rPr>
                <w:rFonts w:ascii="Arial" w:cs="Arial" w:eastAsia="Arial" w:hAnsi="Arial"/>
                <w:sz w:val="13"/>
                <w:szCs w:val="13"/>
                <w:color w:val="auto"/>
                <w:w w:val="98"/>
              </w:rPr>
              <w:t>US7558283</w:t>
            </w:r>
          </w:p>
        </w:tc>
        <w:tc>
          <w:tcPr>
            <w:tcW w:w="4440" w:type="dxa"/>
            <w:vAlign w:val="bottom"/>
            <w:shd w:val="clear" w:color="auto" w:fill="CCFFCC"/>
          </w:tcPr>
          <w:p>
            <w:pPr>
              <w:ind w:left="120"/>
              <w:spacing w:after="0" w:line="125" w:lineRule="exact"/>
              <w:rPr>
                <w:sz w:val="20"/>
                <w:szCs w:val="20"/>
                <w:color w:val="auto"/>
              </w:rPr>
            </w:pPr>
            <w:r>
              <w:rPr>
                <w:rFonts w:ascii="Arial" w:cs="Arial" w:eastAsia="Arial" w:hAnsi="Arial"/>
                <w:sz w:val="13"/>
                <w:szCs w:val="13"/>
                <w:color w:val="auto"/>
                <w:w w:val="92"/>
              </w:rPr>
              <w:t>Method, Apparatus And Computer Program Product Providing Quality Of Service</w:t>
            </w:r>
          </w:p>
        </w:tc>
        <w:tc>
          <w:tcPr>
            <w:tcW w:w="1540" w:type="dxa"/>
            <w:vAlign w:val="bottom"/>
            <w:shd w:val="clear" w:color="auto" w:fill="CCFFCC"/>
          </w:tcPr>
          <w:p>
            <w:pPr>
              <w:ind w:left="180"/>
              <w:spacing w:after="0" w:line="125" w:lineRule="exact"/>
              <w:rPr>
                <w:sz w:val="20"/>
                <w:szCs w:val="20"/>
                <w:color w:val="auto"/>
              </w:rPr>
            </w:pPr>
            <w:r>
              <w:rPr>
                <w:rFonts w:ascii="Arial" w:cs="Arial" w:eastAsia="Arial" w:hAnsi="Arial"/>
                <w:sz w:val="13"/>
                <w:szCs w:val="13"/>
                <w:color w:val="auto"/>
              </w:rPr>
              <w:t>Zheng Haihong</w:t>
            </w:r>
          </w:p>
        </w:tc>
        <w:tc>
          <w:tcPr>
            <w:tcW w:w="1080" w:type="dxa"/>
            <w:vAlign w:val="bottom"/>
            <w:shd w:val="clear" w:color="auto" w:fill="CCFFCC"/>
          </w:tcPr>
          <w:p>
            <w:pPr>
              <w:jc w:val="center"/>
              <w:ind w:left="457"/>
              <w:spacing w:after="0" w:line="125" w:lineRule="exact"/>
              <w:rPr>
                <w:sz w:val="20"/>
                <w:szCs w:val="20"/>
                <w:color w:val="auto"/>
              </w:rPr>
            </w:pPr>
            <w:r>
              <w:rPr>
                <w:rFonts w:ascii="Arial" w:cs="Arial" w:eastAsia="Arial" w:hAnsi="Arial"/>
                <w:sz w:val="13"/>
                <w:szCs w:val="13"/>
                <w:color w:val="auto"/>
                <w:w w:val="98"/>
              </w:rPr>
              <w:t>Not</w:t>
            </w:r>
          </w:p>
        </w:tc>
      </w:tr>
      <w:tr>
        <w:trPr>
          <w:trHeight w:val="160"/>
        </w:trPr>
        <w:tc>
          <w:tcPr>
            <w:tcW w:w="680" w:type="dxa"/>
            <w:vAlign w:val="bottom"/>
            <w:shd w:val="clear" w:color="auto" w:fill="CCFFCC"/>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shd w:val="clear" w:color="auto" w:fill="CCFFCC"/>
          </w:tcPr>
          <w:p>
            <w:pPr>
              <w:jc w:val="center"/>
              <w:spacing w:after="0"/>
              <w:rPr>
                <w:sz w:val="20"/>
                <w:szCs w:val="20"/>
                <w:color w:val="auto"/>
              </w:rPr>
            </w:pPr>
            <w:r>
              <w:rPr>
                <w:rFonts w:ascii="Arial" w:cs="Arial" w:eastAsia="Arial" w:hAnsi="Arial"/>
                <w:sz w:val="13"/>
                <w:szCs w:val="13"/>
                <w:color w:val="auto"/>
                <w:w w:val="89"/>
              </w:rPr>
              <w:t>Infrastructure,</w:t>
            </w:r>
          </w:p>
        </w:tc>
        <w:tc>
          <w:tcPr>
            <w:tcW w:w="44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780" w:type="dxa"/>
            <w:vAlign w:val="bottom"/>
            <w:shd w:val="clear" w:color="auto" w:fill="CCFFCC"/>
          </w:tcPr>
          <w:p>
            <w:pPr>
              <w:spacing w:after="0"/>
              <w:rPr>
                <w:sz w:val="13"/>
                <w:szCs w:val="13"/>
                <w:color w:val="auto"/>
              </w:rPr>
            </w:pPr>
          </w:p>
        </w:tc>
        <w:tc>
          <w:tcPr>
            <w:tcW w:w="860" w:type="dxa"/>
            <w:vAlign w:val="bottom"/>
            <w:shd w:val="clear" w:color="auto" w:fill="CCFFCC"/>
          </w:tcPr>
          <w:p>
            <w:pPr>
              <w:spacing w:after="0"/>
              <w:rPr>
                <w:sz w:val="13"/>
                <w:szCs w:val="13"/>
                <w:color w:val="auto"/>
              </w:rPr>
            </w:pPr>
          </w:p>
        </w:tc>
        <w:tc>
          <w:tcPr>
            <w:tcW w:w="4440" w:type="dxa"/>
            <w:vAlign w:val="bottom"/>
            <w:shd w:val="clear" w:color="auto" w:fill="CCFFCC"/>
          </w:tcPr>
          <w:p>
            <w:pPr>
              <w:ind w:left="120"/>
              <w:spacing w:after="0"/>
              <w:rPr>
                <w:sz w:val="20"/>
                <w:szCs w:val="20"/>
                <w:color w:val="auto"/>
              </w:rPr>
            </w:pPr>
            <w:r>
              <w:rPr>
                <w:rFonts w:ascii="Arial" w:cs="Arial" w:eastAsia="Arial" w:hAnsi="Arial"/>
                <w:sz w:val="13"/>
                <w:szCs w:val="13"/>
                <w:color w:val="auto"/>
              </w:rPr>
              <w:t>Support In A Wireless Communications System</w:t>
            </w:r>
          </w:p>
        </w:tc>
        <w:tc>
          <w:tcPr>
            <w:tcW w:w="1540" w:type="dxa"/>
            <w:vAlign w:val="bottom"/>
            <w:shd w:val="clear" w:color="auto" w:fill="CCFFCC"/>
          </w:tcPr>
          <w:p>
            <w:pPr>
              <w:spacing w:after="0"/>
              <w:rPr>
                <w:sz w:val="13"/>
                <w:szCs w:val="13"/>
                <w:color w:val="auto"/>
              </w:rPr>
            </w:pPr>
          </w:p>
        </w:tc>
        <w:tc>
          <w:tcPr>
            <w:tcW w:w="1080" w:type="dxa"/>
            <w:vAlign w:val="bottom"/>
            <w:shd w:val="clear" w:color="auto" w:fill="CCFFCC"/>
          </w:tcPr>
          <w:p>
            <w:pPr>
              <w:jc w:val="center"/>
              <w:ind w:left="437"/>
              <w:spacing w:after="0"/>
              <w:rPr>
                <w:sz w:val="20"/>
                <w:szCs w:val="20"/>
                <w:color w:val="auto"/>
              </w:rPr>
            </w:pPr>
            <w:r>
              <w:rPr>
                <w:rFonts w:ascii="Arial" w:cs="Arial" w:eastAsia="Arial" w:hAnsi="Arial"/>
                <w:sz w:val="13"/>
                <w:szCs w:val="13"/>
                <w:color w:val="auto"/>
                <w:w w:val="88"/>
              </w:rPr>
              <w:t>Declared</w:t>
            </w:r>
          </w:p>
        </w:tc>
      </w:tr>
      <w:tr>
        <w:trPr>
          <w:trHeight w:val="73"/>
        </w:trPr>
        <w:tc>
          <w:tcPr>
            <w:tcW w:w="680" w:type="dxa"/>
            <w:vAlign w:val="bottom"/>
            <w:shd w:val="clear" w:color="auto" w:fill="CCFFCC"/>
          </w:tcPr>
          <w:p>
            <w:pPr>
              <w:spacing w:after="0"/>
              <w:rPr>
                <w:sz w:val="6"/>
                <w:szCs w:val="6"/>
                <w:color w:val="auto"/>
              </w:rPr>
            </w:pPr>
          </w:p>
        </w:tc>
        <w:tc>
          <w:tcPr>
            <w:tcW w:w="880" w:type="dxa"/>
            <w:vAlign w:val="bottom"/>
            <w:shd w:val="clear" w:color="auto" w:fill="CCFFCC"/>
          </w:tcPr>
          <w:p>
            <w:pPr>
              <w:spacing w:after="0"/>
              <w:rPr>
                <w:sz w:val="6"/>
                <w:szCs w:val="6"/>
                <w:color w:val="auto"/>
              </w:rPr>
            </w:pPr>
          </w:p>
        </w:tc>
        <w:tc>
          <w:tcPr>
            <w:tcW w:w="440" w:type="dxa"/>
            <w:vAlign w:val="bottom"/>
            <w:shd w:val="clear" w:color="auto" w:fill="CCFFCC"/>
          </w:tcPr>
          <w:p>
            <w:pPr>
              <w:spacing w:after="0"/>
              <w:rPr>
                <w:sz w:val="6"/>
                <w:szCs w:val="6"/>
                <w:color w:val="auto"/>
              </w:rPr>
            </w:pPr>
          </w:p>
        </w:tc>
        <w:tc>
          <w:tcPr>
            <w:tcW w:w="720" w:type="dxa"/>
            <w:vAlign w:val="bottom"/>
            <w:shd w:val="clear" w:color="auto" w:fill="CCFFCC"/>
          </w:tcPr>
          <w:p>
            <w:pPr>
              <w:spacing w:after="0"/>
              <w:rPr>
                <w:sz w:val="6"/>
                <w:szCs w:val="6"/>
                <w:color w:val="auto"/>
              </w:rPr>
            </w:pPr>
          </w:p>
        </w:tc>
        <w:tc>
          <w:tcPr>
            <w:tcW w:w="780" w:type="dxa"/>
            <w:vAlign w:val="bottom"/>
            <w:shd w:val="clear" w:color="auto" w:fill="CCFFCC"/>
          </w:tcPr>
          <w:p>
            <w:pPr>
              <w:spacing w:after="0"/>
              <w:rPr>
                <w:sz w:val="6"/>
                <w:szCs w:val="6"/>
                <w:color w:val="auto"/>
              </w:rPr>
            </w:pPr>
          </w:p>
        </w:tc>
        <w:tc>
          <w:tcPr>
            <w:tcW w:w="860" w:type="dxa"/>
            <w:vAlign w:val="bottom"/>
            <w:shd w:val="clear" w:color="auto" w:fill="CCFFCC"/>
          </w:tcPr>
          <w:p>
            <w:pPr>
              <w:spacing w:after="0"/>
              <w:rPr>
                <w:sz w:val="6"/>
                <w:szCs w:val="6"/>
                <w:color w:val="auto"/>
              </w:rPr>
            </w:pPr>
          </w:p>
        </w:tc>
        <w:tc>
          <w:tcPr>
            <w:tcW w:w="4440" w:type="dxa"/>
            <w:vAlign w:val="bottom"/>
            <w:shd w:val="clear" w:color="auto" w:fill="CCFFCC"/>
          </w:tcPr>
          <w:p>
            <w:pPr>
              <w:spacing w:after="0"/>
              <w:rPr>
                <w:sz w:val="6"/>
                <w:szCs w:val="6"/>
                <w:color w:val="auto"/>
              </w:rPr>
            </w:pPr>
          </w:p>
        </w:tc>
        <w:tc>
          <w:tcPr>
            <w:tcW w:w="1540" w:type="dxa"/>
            <w:vAlign w:val="bottom"/>
            <w:shd w:val="clear" w:color="auto" w:fill="CCFFCC"/>
          </w:tcPr>
          <w:p>
            <w:pPr>
              <w:spacing w:after="0"/>
              <w:rPr>
                <w:sz w:val="6"/>
                <w:szCs w:val="6"/>
                <w:color w:val="auto"/>
              </w:rPr>
            </w:pPr>
          </w:p>
        </w:tc>
        <w:tc>
          <w:tcPr>
            <w:tcW w:w="1080" w:type="dxa"/>
            <w:vAlign w:val="bottom"/>
            <w:shd w:val="clear" w:color="auto" w:fill="CCFFCC"/>
          </w:tcPr>
          <w:p>
            <w:pPr>
              <w:spacing w:after="0"/>
              <w:rPr>
                <w:sz w:val="6"/>
                <w:szCs w:val="6"/>
                <w:color w:val="auto"/>
              </w:rPr>
            </w:pPr>
          </w:p>
        </w:tc>
      </w:tr>
    </w:tbl>
    <w:p>
      <w:pPr>
        <w:sectPr>
          <w:pgSz w:w="11900" w:h="16900" w:orient="portrait"/>
          <w:cols w:equalWidth="0" w:num="1">
            <w:col w:w="11420"/>
          </w:cols>
          <w:pgMar w:left="240" w:top="111" w:right="239" w:bottom="0" w:gutter="0" w:footer="0" w:header="0"/>
          <w:type w:val="continuous"/>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A17746VI-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6"/>
              </w:rPr>
              <w:t>ZA</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ZA01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6"/>
              </w:rPr>
              <w:t>AT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9"/>
              </w:rPr>
              <w:t>AT01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BE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BE01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5"/>
              </w:rPr>
              <w:t>BG</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BG01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5"/>
              </w:rPr>
              <w:t>CH</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CH01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9"/>
              </w:rPr>
              <w:t>DK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DK01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EP02</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EP03</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EP04</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rPr>
              <w:t>FI</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FI01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2"/>
              </w:rPr>
              <w:t>GR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8"/>
              </w:rPr>
              <w:t>GR01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7"/>
              </w:rPr>
              <w:t>IE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7"/>
              </w:rPr>
              <w:t>IE01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7"/>
              </w:rPr>
              <w:t>IS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9"/>
              </w:rPr>
              <w:t>IS01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1"/>
              </w:rPr>
              <w:t>LT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LT01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6"/>
              </w:rPr>
              <w:t>LU</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LU01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6"/>
              </w:rPr>
              <w:t>NL</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NL01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rPr>
              <w:t>PL</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5"/>
              </w:rPr>
              <w:t>PL01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2"/>
              </w:rPr>
              <w:t>RO</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8"/>
              </w:rPr>
              <w:t>RO01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SE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SE01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7"/>
              </w:rPr>
              <w:t>SI</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9"/>
              </w:rPr>
              <w:t>SI01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SK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SK01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8"/>
              </w:rPr>
              <w:t>TW</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TW01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A17918VI-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A18052VI-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40" w:type="dxa"/>
            <w:vAlign w:val="bottom"/>
          </w:tcPr>
          <w:p>
            <w:pPr>
              <w:jc w:val="center"/>
              <w:spacing w:after="0" w:line="145" w:lineRule="exact"/>
              <w:rPr>
                <w:sz w:val="20"/>
                <w:szCs w:val="20"/>
                <w:color w:val="auto"/>
              </w:rPr>
            </w:pPr>
            <w:r>
              <w:rPr>
                <w:rFonts w:ascii="Arial" w:cs="Arial" w:eastAsia="Arial" w:hAnsi="Arial"/>
                <w:sz w:val="13"/>
                <w:szCs w:val="13"/>
                <w:color w:val="auto"/>
                <w:w w:val="94"/>
              </w:rPr>
              <w:t>A18319VI-</w:t>
            </w:r>
          </w:p>
        </w:tc>
        <w:tc>
          <w:tcPr>
            <w:tcW w:w="880" w:type="dxa"/>
            <w:vAlign w:val="bottom"/>
          </w:tcPr>
          <w:p>
            <w:pPr>
              <w:jc w:val="center"/>
              <w:spacing w:after="0"/>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tabs>
          <w:tab w:leader="none" w:pos="640" w:val="left"/>
          <w:tab w:leader="none" w:pos="140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10-Mar-05</w:t>
      </w:r>
      <w:r>
        <w:rPr>
          <w:sz w:val="20"/>
          <w:szCs w:val="20"/>
          <w:color w:val="auto"/>
        </w:rPr>
        <w:tab/>
      </w:r>
      <w:r>
        <w:rPr>
          <w:rFonts w:ascii="Arial" w:cs="Arial" w:eastAsia="Arial" w:hAnsi="Arial"/>
          <w:sz w:val="11"/>
          <w:szCs w:val="11"/>
          <w:color w:val="auto"/>
        </w:rPr>
        <w:t>ZA200608432</w:t>
      </w:r>
    </w:p>
    <w:p>
      <w:pPr>
        <w:spacing w:after="0" w:line="256" w:lineRule="exact"/>
        <w:rPr>
          <w:sz w:val="20"/>
          <w:szCs w:val="20"/>
          <w:color w:val="auto"/>
        </w:rPr>
      </w:pPr>
    </w:p>
    <w:p>
      <w:pPr>
        <w:spacing w:after="0"/>
        <w:tabs>
          <w:tab w:leader="none" w:pos="640" w:val="left"/>
          <w:tab w:leader="none" w:pos="14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23-Mar-05</w:t>
      </w:r>
      <w:r>
        <w:rPr>
          <w:sz w:val="20"/>
          <w:szCs w:val="20"/>
          <w:color w:val="auto"/>
        </w:rPr>
        <w:tab/>
      </w:r>
      <w:r>
        <w:rPr>
          <w:rFonts w:ascii="Arial" w:cs="Arial" w:eastAsia="Arial" w:hAnsi="Arial"/>
          <w:sz w:val="11"/>
          <w:szCs w:val="11"/>
          <w:color w:val="auto"/>
        </w:rPr>
        <w:t>AT1767009</w:t>
      </w:r>
    </w:p>
    <w:p>
      <w:pPr>
        <w:spacing w:after="0" w:line="256" w:lineRule="exact"/>
        <w:rPr>
          <w:sz w:val="20"/>
          <w:szCs w:val="20"/>
          <w:color w:val="auto"/>
        </w:rPr>
      </w:pPr>
    </w:p>
    <w:p>
      <w:pPr>
        <w:spacing w:after="0"/>
        <w:tabs>
          <w:tab w:leader="none" w:pos="660" w:val="left"/>
          <w:tab w:leader="none" w:pos="14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BE1767009</w:t>
      </w:r>
    </w:p>
    <w:p>
      <w:pPr>
        <w:spacing w:after="0" w:line="256" w:lineRule="exact"/>
        <w:rPr>
          <w:sz w:val="20"/>
          <w:szCs w:val="20"/>
          <w:color w:val="auto"/>
        </w:rPr>
      </w:pPr>
    </w:p>
    <w:p>
      <w:pPr>
        <w:spacing w:after="0"/>
        <w:tabs>
          <w:tab w:leader="none" w:pos="660" w:val="left"/>
          <w:tab w:leader="none" w:pos="146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BG1767009</w:t>
      </w:r>
    </w:p>
    <w:p>
      <w:pPr>
        <w:spacing w:after="0" w:line="256" w:lineRule="exact"/>
        <w:rPr>
          <w:sz w:val="20"/>
          <w:szCs w:val="20"/>
          <w:color w:val="auto"/>
        </w:rPr>
      </w:pPr>
    </w:p>
    <w:p>
      <w:pPr>
        <w:spacing w:after="0"/>
        <w:tabs>
          <w:tab w:leader="none" w:pos="660" w:val="left"/>
          <w:tab w:leader="none" w:pos="146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CH1767009</w:t>
      </w:r>
    </w:p>
    <w:p>
      <w:pPr>
        <w:spacing w:after="0" w:line="256" w:lineRule="exact"/>
        <w:rPr>
          <w:sz w:val="20"/>
          <w:szCs w:val="20"/>
          <w:color w:val="auto"/>
        </w:rPr>
      </w:pPr>
    </w:p>
    <w:p>
      <w:pPr>
        <w:spacing w:after="0"/>
        <w:tabs>
          <w:tab w:leader="none" w:pos="660" w:val="left"/>
          <w:tab w:leader="none" w:pos="140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CN101002484</w:t>
      </w:r>
    </w:p>
    <w:p>
      <w:pPr>
        <w:spacing w:after="0" w:line="256" w:lineRule="exact"/>
        <w:rPr>
          <w:sz w:val="20"/>
          <w:szCs w:val="20"/>
          <w:color w:val="auto"/>
        </w:rPr>
      </w:pPr>
    </w:p>
    <w:p>
      <w:pPr>
        <w:spacing w:after="0"/>
        <w:tabs>
          <w:tab w:leader="none" w:pos="660" w:val="left"/>
          <w:tab w:leader="none" w:pos="14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EP1767009</w:t>
      </w:r>
    </w:p>
    <w:p>
      <w:pPr>
        <w:spacing w:after="0" w:line="256" w:lineRule="exact"/>
        <w:rPr>
          <w:sz w:val="20"/>
          <w:szCs w:val="20"/>
          <w:color w:val="auto"/>
        </w:rPr>
      </w:pPr>
    </w:p>
    <w:p>
      <w:pPr>
        <w:spacing w:after="0"/>
        <w:tabs>
          <w:tab w:leader="none" w:pos="660" w:val="left"/>
          <w:tab w:leader="none" w:pos="146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DK1767009</w:t>
      </w:r>
    </w:p>
    <w:p>
      <w:pPr>
        <w:spacing w:after="0" w:line="256" w:lineRule="exact"/>
        <w:rPr>
          <w:sz w:val="20"/>
          <w:szCs w:val="20"/>
          <w:color w:val="auto"/>
        </w:rPr>
      </w:pPr>
    </w:p>
    <w:p>
      <w:pPr>
        <w:spacing w:after="0"/>
        <w:tabs>
          <w:tab w:leader="none" w:pos="660" w:val="left"/>
          <w:tab w:leader="none" w:pos="14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EP1767009</w:t>
      </w:r>
    </w:p>
    <w:p>
      <w:pPr>
        <w:spacing w:after="0" w:line="256" w:lineRule="exact"/>
        <w:rPr>
          <w:sz w:val="20"/>
          <w:szCs w:val="20"/>
          <w:color w:val="auto"/>
        </w:rPr>
      </w:pPr>
    </w:p>
    <w:p>
      <w:pPr>
        <w:spacing w:after="0"/>
        <w:tabs>
          <w:tab w:leader="none" w:pos="660" w:val="left"/>
          <w:tab w:leader="none" w:pos="1560" w:val="left"/>
        </w:tabs>
        <w:rPr>
          <w:sz w:val="20"/>
          <w:szCs w:val="20"/>
          <w:color w:val="auto"/>
        </w:rPr>
      </w:pPr>
      <w:r>
        <w:rPr>
          <w:rFonts w:ascii="Arial" w:cs="Arial" w:eastAsia="Arial" w:hAnsi="Arial"/>
          <w:sz w:val="13"/>
          <w:szCs w:val="13"/>
          <w:color w:val="auto"/>
        </w:rPr>
        <w:t>Pending</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2645753</w:t>
      </w:r>
    </w:p>
    <w:p>
      <w:pPr>
        <w:spacing w:after="0" w:line="256" w:lineRule="exact"/>
        <w:rPr>
          <w:sz w:val="20"/>
          <w:szCs w:val="20"/>
          <w:color w:val="auto"/>
        </w:rPr>
      </w:pPr>
    </w:p>
    <w:p>
      <w:pPr>
        <w:spacing w:after="0"/>
        <w:tabs>
          <w:tab w:leader="none" w:pos="660" w:val="left"/>
          <w:tab w:leader="none" w:pos="1560" w:val="left"/>
        </w:tabs>
        <w:rPr>
          <w:sz w:val="20"/>
          <w:szCs w:val="20"/>
          <w:color w:val="auto"/>
        </w:rPr>
      </w:pPr>
      <w:r>
        <w:rPr>
          <w:rFonts w:ascii="Arial" w:cs="Arial" w:eastAsia="Arial" w:hAnsi="Arial"/>
          <w:sz w:val="13"/>
          <w:szCs w:val="13"/>
          <w:color w:val="auto"/>
        </w:rPr>
        <w:t>Pending</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2663101</w:t>
      </w:r>
    </w:p>
    <w:p>
      <w:pPr>
        <w:spacing w:after="0" w:line="256" w:lineRule="exact"/>
        <w:rPr>
          <w:sz w:val="20"/>
          <w:szCs w:val="20"/>
          <w:color w:val="auto"/>
        </w:rPr>
      </w:pPr>
    </w:p>
    <w:p>
      <w:pPr>
        <w:spacing w:after="0"/>
        <w:tabs>
          <w:tab w:leader="none" w:pos="660" w:val="left"/>
          <w:tab w:leader="none" w:pos="14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EP1767009</w:t>
      </w:r>
    </w:p>
    <w:p>
      <w:pPr>
        <w:spacing w:after="0" w:line="256" w:lineRule="exact"/>
        <w:rPr>
          <w:sz w:val="20"/>
          <w:szCs w:val="20"/>
          <w:color w:val="auto"/>
        </w:rPr>
      </w:pPr>
    </w:p>
    <w:p>
      <w:pPr>
        <w:spacing w:after="0"/>
        <w:tabs>
          <w:tab w:leader="none" w:pos="660" w:val="left"/>
          <w:tab w:leader="none" w:pos="14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EP1767009</w:t>
      </w:r>
    </w:p>
    <w:p>
      <w:pPr>
        <w:spacing w:after="0" w:line="256" w:lineRule="exact"/>
        <w:rPr>
          <w:sz w:val="20"/>
          <w:szCs w:val="20"/>
          <w:color w:val="auto"/>
        </w:rPr>
      </w:pPr>
    </w:p>
    <w:p>
      <w:pPr>
        <w:spacing w:after="0"/>
        <w:tabs>
          <w:tab w:leader="none" w:pos="660" w:val="left"/>
          <w:tab w:leader="none" w:pos="14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EP1767009</w:t>
      </w:r>
    </w:p>
    <w:p>
      <w:pPr>
        <w:spacing w:after="0" w:line="256" w:lineRule="exact"/>
        <w:rPr>
          <w:sz w:val="20"/>
          <w:szCs w:val="20"/>
          <w:color w:val="auto"/>
        </w:rPr>
      </w:pPr>
    </w:p>
    <w:p>
      <w:pPr>
        <w:spacing w:after="0"/>
        <w:tabs>
          <w:tab w:leader="none" w:pos="660" w:val="left"/>
          <w:tab w:leader="none" w:pos="14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FR1767009</w:t>
      </w:r>
    </w:p>
    <w:p>
      <w:pPr>
        <w:spacing w:after="0" w:line="256" w:lineRule="exact"/>
        <w:rPr>
          <w:sz w:val="20"/>
          <w:szCs w:val="20"/>
          <w:color w:val="auto"/>
        </w:rPr>
      </w:pPr>
    </w:p>
    <w:p>
      <w:pPr>
        <w:spacing w:after="0"/>
        <w:tabs>
          <w:tab w:leader="none" w:pos="660" w:val="left"/>
          <w:tab w:leader="none" w:pos="146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GR1767009</w:t>
      </w:r>
    </w:p>
    <w:p>
      <w:pPr>
        <w:spacing w:after="0" w:line="256" w:lineRule="exact"/>
        <w:rPr>
          <w:sz w:val="20"/>
          <w:szCs w:val="20"/>
          <w:color w:val="auto"/>
        </w:rPr>
      </w:pPr>
    </w:p>
    <w:p>
      <w:pPr>
        <w:spacing w:after="0"/>
        <w:tabs>
          <w:tab w:leader="none" w:pos="660" w:val="left"/>
          <w:tab w:leader="none" w:pos="150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IE1767009</w:t>
      </w:r>
    </w:p>
    <w:p>
      <w:pPr>
        <w:spacing w:after="0" w:line="256" w:lineRule="exact"/>
        <w:rPr>
          <w:sz w:val="20"/>
          <w:szCs w:val="20"/>
          <w:color w:val="auto"/>
        </w:rPr>
      </w:pPr>
    </w:p>
    <w:p>
      <w:pPr>
        <w:spacing w:after="0"/>
        <w:tabs>
          <w:tab w:leader="none" w:pos="660" w:val="left"/>
          <w:tab w:leader="none" w:pos="150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IS1767009</w:t>
      </w:r>
    </w:p>
    <w:p>
      <w:pPr>
        <w:spacing w:after="0" w:line="256" w:lineRule="exact"/>
        <w:rPr>
          <w:sz w:val="20"/>
          <w:szCs w:val="20"/>
          <w:color w:val="auto"/>
        </w:rPr>
      </w:pPr>
    </w:p>
    <w:p>
      <w:pPr>
        <w:spacing w:after="0"/>
        <w:tabs>
          <w:tab w:leader="none" w:pos="660" w:val="left"/>
          <w:tab w:leader="none" w:pos="150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IT1767009</w:t>
      </w:r>
    </w:p>
    <w:p>
      <w:pPr>
        <w:spacing w:after="0" w:line="256" w:lineRule="exact"/>
        <w:rPr>
          <w:sz w:val="20"/>
          <w:szCs w:val="20"/>
          <w:color w:val="auto"/>
        </w:rPr>
      </w:pPr>
    </w:p>
    <w:p>
      <w:pPr>
        <w:spacing w:after="0"/>
        <w:tabs>
          <w:tab w:leader="none" w:pos="660" w:val="left"/>
          <w:tab w:leader="none" w:pos="14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LT1767009</w:t>
      </w:r>
    </w:p>
    <w:p>
      <w:pPr>
        <w:spacing w:after="0" w:line="256" w:lineRule="exact"/>
        <w:rPr>
          <w:sz w:val="20"/>
          <w:szCs w:val="20"/>
          <w:color w:val="auto"/>
        </w:rPr>
      </w:pPr>
    </w:p>
    <w:p>
      <w:pPr>
        <w:spacing w:after="0"/>
        <w:tabs>
          <w:tab w:leader="none" w:pos="660" w:val="left"/>
          <w:tab w:leader="none" w:pos="146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LU1767009</w:t>
      </w:r>
    </w:p>
    <w:p>
      <w:pPr>
        <w:spacing w:after="0" w:line="256" w:lineRule="exact"/>
        <w:rPr>
          <w:sz w:val="20"/>
          <w:szCs w:val="20"/>
          <w:color w:val="auto"/>
        </w:rPr>
      </w:pPr>
    </w:p>
    <w:p>
      <w:pPr>
        <w:spacing w:after="0"/>
        <w:tabs>
          <w:tab w:leader="none" w:pos="660" w:val="left"/>
          <w:tab w:leader="none" w:pos="146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NL1767009</w:t>
      </w:r>
    </w:p>
    <w:p>
      <w:pPr>
        <w:spacing w:after="0" w:line="256" w:lineRule="exact"/>
        <w:rPr>
          <w:sz w:val="20"/>
          <w:szCs w:val="20"/>
          <w:color w:val="auto"/>
        </w:rPr>
      </w:pPr>
    </w:p>
    <w:p>
      <w:pPr>
        <w:spacing w:after="0"/>
        <w:tabs>
          <w:tab w:leader="none" w:pos="660" w:val="left"/>
          <w:tab w:leader="none" w:pos="14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PL1767009</w:t>
      </w:r>
    </w:p>
    <w:p>
      <w:pPr>
        <w:spacing w:after="0" w:line="256" w:lineRule="exact"/>
        <w:rPr>
          <w:sz w:val="20"/>
          <w:szCs w:val="20"/>
          <w:color w:val="auto"/>
        </w:rPr>
      </w:pPr>
    </w:p>
    <w:p>
      <w:pPr>
        <w:spacing w:after="0"/>
        <w:tabs>
          <w:tab w:leader="none" w:pos="660" w:val="left"/>
          <w:tab w:leader="none" w:pos="146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RO1767009</w:t>
      </w:r>
    </w:p>
    <w:p>
      <w:pPr>
        <w:spacing w:after="0" w:line="256" w:lineRule="exact"/>
        <w:rPr>
          <w:sz w:val="20"/>
          <w:szCs w:val="20"/>
          <w:color w:val="auto"/>
        </w:rPr>
      </w:pPr>
    </w:p>
    <w:p>
      <w:pPr>
        <w:spacing w:after="0"/>
        <w:tabs>
          <w:tab w:leader="none" w:pos="660" w:val="left"/>
          <w:tab w:leader="none" w:pos="14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SE1767009</w:t>
      </w:r>
    </w:p>
    <w:p>
      <w:pPr>
        <w:spacing w:after="0" w:line="256" w:lineRule="exact"/>
        <w:rPr>
          <w:sz w:val="20"/>
          <w:szCs w:val="20"/>
          <w:color w:val="auto"/>
        </w:rPr>
      </w:pPr>
    </w:p>
    <w:p>
      <w:pPr>
        <w:spacing w:after="0"/>
        <w:tabs>
          <w:tab w:leader="none" w:pos="660" w:val="left"/>
          <w:tab w:leader="none" w:pos="150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SI1767009</w:t>
      </w:r>
    </w:p>
    <w:p>
      <w:pPr>
        <w:spacing w:after="0" w:line="256" w:lineRule="exact"/>
        <w:rPr>
          <w:sz w:val="20"/>
          <w:szCs w:val="20"/>
          <w:color w:val="auto"/>
        </w:rPr>
      </w:pPr>
    </w:p>
    <w:p>
      <w:pPr>
        <w:spacing w:after="0"/>
        <w:tabs>
          <w:tab w:leader="none" w:pos="660" w:val="left"/>
          <w:tab w:leader="none" w:pos="14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SK1767009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860" w:type="dxa"/>
            <w:vAlign w:val="bottom"/>
          </w:tcPr>
          <w:p>
            <w:pPr>
              <w:ind w:left="140"/>
              <w:spacing w:after="0"/>
              <w:rPr>
                <w:sz w:val="20"/>
                <w:szCs w:val="20"/>
                <w:color w:val="auto"/>
              </w:rPr>
            </w:pPr>
            <w:r>
              <w:rPr>
                <w:rFonts w:ascii="Arial" w:cs="Arial" w:eastAsia="Arial" w:hAnsi="Arial"/>
                <w:sz w:val="13"/>
                <w:szCs w:val="13"/>
                <w:color w:val="auto"/>
              </w:rPr>
              <w:t>24-Jun-05</w:t>
            </w:r>
          </w:p>
        </w:tc>
        <w:tc>
          <w:tcPr>
            <w:tcW w:w="580" w:type="dxa"/>
            <w:vAlign w:val="bottom"/>
          </w:tcPr>
          <w:p>
            <w:pPr>
              <w:jc w:val="right"/>
              <w:spacing w:after="0"/>
              <w:rPr>
                <w:sz w:val="20"/>
                <w:szCs w:val="20"/>
                <w:color w:val="auto"/>
              </w:rPr>
            </w:pPr>
            <w:r>
              <w:rPr>
                <w:rFonts w:ascii="Arial" w:cs="Arial" w:eastAsia="Arial" w:hAnsi="Arial"/>
                <w:sz w:val="13"/>
                <w:szCs w:val="13"/>
                <w:color w:val="auto"/>
              </w:rPr>
              <w:t>139641</w:t>
            </w:r>
          </w:p>
        </w:tc>
      </w:tr>
    </w:tbl>
    <w:p>
      <w:pPr>
        <w:spacing w:after="0" w:line="245" w:lineRule="exact"/>
        <w:rPr>
          <w:sz w:val="20"/>
          <w:szCs w:val="20"/>
          <w:color w:val="auto"/>
        </w:rPr>
      </w:pPr>
    </w:p>
    <w:p>
      <w:pPr>
        <w:spacing w:after="0"/>
        <w:tabs>
          <w:tab w:leader="none" w:pos="660" w:val="left"/>
          <w:tab w:leader="none" w:pos="14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US7289807</w:t>
      </w:r>
    </w:p>
    <w:p>
      <w:pPr>
        <w:spacing w:after="0" w:line="256" w:lineRule="exact"/>
        <w:rPr>
          <w:sz w:val="20"/>
          <w:szCs w:val="20"/>
          <w:color w:val="auto"/>
        </w:rPr>
      </w:pPr>
    </w:p>
    <w:p>
      <w:pPr>
        <w:spacing w:after="0"/>
        <w:tabs>
          <w:tab w:leader="none" w:pos="660" w:val="left"/>
          <w:tab w:leader="none" w:pos="14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23-Jun-05</w:t>
      </w:r>
      <w:r>
        <w:rPr>
          <w:sz w:val="20"/>
          <w:szCs w:val="20"/>
          <w:color w:val="auto"/>
        </w:rPr>
        <w:tab/>
      </w:r>
      <w:r>
        <w:rPr>
          <w:rFonts w:ascii="Arial" w:cs="Arial" w:eastAsia="Arial" w:hAnsi="Arial"/>
          <w:sz w:val="11"/>
          <w:szCs w:val="11"/>
          <w:color w:val="auto"/>
        </w:rPr>
        <w:t>US6408063</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280"/>
        <w:spacing w:after="0" w:line="237" w:lineRule="auto"/>
        <w:rPr>
          <w:sz w:val="20"/>
          <w:szCs w:val="20"/>
          <w:color w:val="auto"/>
        </w:rPr>
      </w:pPr>
      <w:r>
        <w:rPr>
          <w:rFonts w:ascii="Arial" w:cs="Arial" w:eastAsia="Arial" w:hAnsi="Arial"/>
          <w:sz w:val="13"/>
          <w:szCs w:val="13"/>
          <w:color w:val="auto"/>
        </w:rPr>
        <w:t>Method, Apparatus And Computer Program Product Providing Quality Of Service Support In A Wireless Communications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-306705</wp:posOffset>
            </wp:positionV>
            <wp:extent cx="7246620" cy="85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36195</wp:posOffset>
            </wp:positionV>
            <wp:extent cx="7246620" cy="2571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90"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Method And Device For Using Licensed Radio Technology To Determine The Operation Parameters Of An Unlicensed Radio Technology In A Mobile Terminal</w:t>
      </w:r>
    </w:p>
    <w:p>
      <w:pPr>
        <w:spacing w:after="0" w:line="68" w:lineRule="exact"/>
        <w:rPr>
          <w:sz w:val="20"/>
          <w:szCs w:val="20"/>
          <w:color w:val="auto"/>
        </w:rPr>
      </w:pPr>
    </w:p>
    <w:p>
      <w:pPr>
        <w:ind w:right="34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9525</wp:posOffset>
            </wp:positionV>
            <wp:extent cx="7246620" cy="2571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p>
      <w:pPr>
        <w:ind w:right="34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68" w:lineRule="exact"/>
        <w:rPr>
          <w:sz w:val="20"/>
          <w:szCs w:val="20"/>
          <w:color w:val="auto"/>
        </w:rPr>
      </w:pPr>
    </w:p>
    <w:p>
      <w:pPr>
        <w:ind w:right="34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9525</wp:posOffset>
            </wp:positionV>
            <wp:extent cx="7246620" cy="2571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68" w:lineRule="exact"/>
        <w:rPr>
          <w:sz w:val="20"/>
          <w:szCs w:val="20"/>
          <w:color w:val="auto"/>
        </w:rPr>
      </w:pPr>
    </w:p>
    <w:p>
      <w:pPr>
        <w:ind w:right="34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9525</wp:posOffset>
            </wp:positionV>
            <wp:extent cx="7246620" cy="2571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68" w:lineRule="exact"/>
        <w:rPr>
          <w:sz w:val="20"/>
          <w:szCs w:val="20"/>
          <w:color w:val="auto"/>
        </w:rPr>
      </w:pPr>
    </w:p>
    <w:p>
      <w:pPr>
        <w:ind w:right="34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9525</wp:posOffset>
            </wp:positionV>
            <wp:extent cx="7246620" cy="2571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System And Method For Location Information To Determine The Operation Parameters Of Radio Technology In A Terminal</w:t>
      </w:r>
    </w:p>
    <w:p>
      <w:pPr>
        <w:spacing w:after="0" w:line="110"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Method And Device For Using Licensed Radio Technology To Determine The Operation Parameters Of An Unlicensed Radio Technology In A Mobile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9525</wp:posOffset>
            </wp:positionV>
            <wp:extent cx="7246620" cy="2571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68" w:lineRule="exact"/>
        <w:rPr>
          <w:sz w:val="20"/>
          <w:szCs w:val="20"/>
          <w:color w:val="auto"/>
        </w:rPr>
      </w:pPr>
    </w:p>
    <w:p>
      <w:pPr>
        <w:ind w:right="34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9525</wp:posOffset>
            </wp:positionV>
            <wp:extent cx="7246620" cy="2571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p>
      <w:pPr>
        <w:ind w:right="34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68" w:lineRule="exact"/>
        <w:rPr>
          <w:sz w:val="20"/>
          <w:szCs w:val="20"/>
          <w:color w:val="auto"/>
        </w:rPr>
      </w:pPr>
    </w:p>
    <w:p>
      <w:pPr>
        <w:ind w:right="34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9525</wp:posOffset>
            </wp:positionV>
            <wp:extent cx="7246620" cy="2571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6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9525</wp:posOffset>
            </wp:positionV>
            <wp:extent cx="7246620" cy="2571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68" w:lineRule="exact"/>
        <w:rPr>
          <w:sz w:val="20"/>
          <w:szCs w:val="20"/>
          <w:color w:val="auto"/>
        </w:rPr>
      </w:pPr>
    </w:p>
    <w:p>
      <w:pPr>
        <w:ind w:right="34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9525</wp:posOffset>
            </wp:positionV>
            <wp:extent cx="7246620" cy="2571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6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9525</wp:posOffset>
            </wp:positionV>
            <wp:extent cx="7246620" cy="2571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6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9525</wp:posOffset>
            </wp:positionV>
            <wp:extent cx="7246620" cy="2571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p>
      <w:pPr>
        <w:ind w:right="34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6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9525</wp:posOffset>
            </wp:positionV>
            <wp:extent cx="7246620" cy="2571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6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9525</wp:posOffset>
            </wp:positionV>
            <wp:extent cx="7246620" cy="2571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68"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System And Method For Using Licensed Radio Technology To Determine The Operation Parameters Of An Unlicensed Radio Technology In A Mobile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9525</wp:posOffset>
            </wp:positionV>
            <wp:extent cx="7246620" cy="2571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48" w:lineRule="exact"/>
        <w:rPr>
          <w:sz w:val="20"/>
          <w:szCs w:val="20"/>
          <w:color w:val="auto"/>
        </w:rPr>
      </w:pPr>
    </w:p>
    <w:p>
      <w:pPr>
        <w:ind w:right="480"/>
        <w:spacing w:after="0" w:line="237" w:lineRule="auto"/>
        <w:rPr>
          <w:sz w:val="20"/>
          <w:szCs w:val="20"/>
          <w:color w:val="auto"/>
        </w:rPr>
      </w:pPr>
      <w:r>
        <w:rPr>
          <w:rFonts w:ascii="Arial" w:cs="Arial" w:eastAsia="Arial" w:hAnsi="Arial"/>
          <w:sz w:val="13"/>
          <w:szCs w:val="13"/>
          <w:color w:val="auto"/>
        </w:rPr>
        <w:t>Method And Arrangement For Complementing A Telephone Connection With Additional Information</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Zheng Haihong</w:t>
      </w: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11" w:lineRule="exact"/>
        <w:rPr>
          <w:sz w:val="20"/>
          <w:szCs w:val="20"/>
          <w:color w:val="auto"/>
        </w:rPr>
      </w:pPr>
    </w:p>
    <w:p>
      <w:pPr>
        <w:ind w:right="40"/>
        <w:spacing w:after="0" w:line="237" w:lineRule="auto"/>
        <w:rPr>
          <w:sz w:val="20"/>
          <w:szCs w:val="20"/>
          <w:color w:val="auto"/>
        </w:rPr>
      </w:pPr>
      <w:r>
        <w:rPr>
          <w:rFonts w:ascii="Arial" w:cs="Arial" w:eastAsia="Arial" w:hAnsi="Arial"/>
          <w:sz w:val="13"/>
          <w:szCs w:val="13"/>
          <w:color w:val="auto"/>
        </w:rPr>
        <w:t>Jaakkola Mikko [Fi] Orava Pekko [Fi] (+1)</w:t>
      </w:r>
    </w:p>
    <w:p>
      <w:pPr>
        <w:spacing w:after="0" w:line="110" w:lineRule="exact"/>
        <w:rPr>
          <w:sz w:val="20"/>
          <w:szCs w:val="20"/>
          <w:color w:val="auto"/>
        </w:rPr>
      </w:pPr>
    </w:p>
    <w:p>
      <w:pPr>
        <w:ind w:right="40"/>
        <w:spacing w:after="0" w:line="237" w:lineRule="auto"/>
        <w:rPr>
          <w:sz w:val="20"/>
          <w:szCs w:val="20"/>
          <w:color w:val="auto"/>
        </w:rPr>
      </w:pPr>
      <w:r>
        <w:rPr>
          <w:rFonts w:ascii="Arial" w:cs="Arial" w:eastAsia="Arial" w:hAnsi="Arial"/>
          <w:sz w:val="13"/>
          <w:szCs w:val="13"/>
          <w:color w:val="auto"/>
        </w:rPr>
        <w:t>Jaakkola Mikko [Fi] Orava Pekko [Fi] (+1)</w:t>
      </w:r>
    </w:p>
    <w:p>
      <w:pPr>
        <w:spacing w:after="0" w:line="177"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Jaakkola Mikko Orava Pekko (+1)</w:t>
      </w:r>
    </w:p>
    <w:p>
      <w:pPr>
        <w:spacing w:after="0" w:line="211" w:lineRule="exact"/>
        <w:rPr>
          <w:sz w:val="20"/>
          <w:szCs w:val="20"/>
          <w:color w:val="auto"/>
        </w:rPr>
      </w:pPr>
    </w:p>
    <w:p>
      <w:pPr>
        <w:ind w:right="80"/>
        <w:spacing w:after="0" w:line="237" w:lineRule="auto"/>
        <w:rPr>
          <w:sz w:val="20"/>
          <w:szCs w:val="20"/>
          <w:color w:val="auto"/>
        </w:rPr>
      </w:pPr>
      <w:r>
        <w:rPr>
          <w:rFonts w:ascii="Arial" w:cs="Arial" w:eastAsia="Arial" w:hAnsi="Arial"/>
          <w:sz w:val="13"/>
          <w:szCs w:val="13"/>
          <w:color w:val="auto"/>
        </w:rPr>
        <w:t>Slotte Sverre [Fi] Karppanen Art [Fi]</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ETSI</w:t>
      </w:r>
    </w:p>
    <w:p>
      <w:pPr>
        <w:spacing w:after="0" w:line="281" w:lineRule="exact"/>
        <w:rPr>
          <w:sz w:val="20"/>
          <w:szCs w:val="20"/>
          <w:color w:val="auto"/>
        </w:rPr>
      </w:pPr>
    </w:p>
    <w:p>
      <w:pPr>
        <w:sectPr>
          <w:pgSz w:w="11900" w:h="16838" w:orient="portrait"/>
          <w:cols w:equalWidth="0" w:num="5">
            <w:col w:w="1820" w:space="300"/>
            <w:col w:w="2160" w:space="160"/>
            <w:col w:w="4440" w:space="60"/>
            <w:col w:w="1740" w:space="180"/>
            <w:col w:w="460"/>
          </w:cols>
          <w:pgMar w:left="280" w:top="111" w:right="299" w:bottom="0" w:gutter="0" w:footer="0" w:header="0"/>
        </w:sectPr>
      </w:pPr>
    </w:p>
    <w:tbl>
      <w:tblPr>
        <w:tblLayout w:type="fixed"/>
        <w:tblInd w:w="0" w:type="dxa"/>
        <w:tblCellMar>
          <w:top w:w="0" w:type="dxa"/>
          <w:left w:w="0" w:type="dxa"/>
          <w:bottom w:w="0" w:type="dxa"/>
          <w:right w:w="0" w:type="dxa"/>
        </w:tblCellMar>
      </w:tblPr>
      <w:tr>
        <w:trPr>
          <w:trHeight w:val="12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0"/>
              </w:rPr>
              <w:t>CN01</w:t>
            </w:r>
          </w:p>
        </w:tc>
        <w:tc>
          <w:tcPr>
            <w:tcW w:w="1160" w:type="dxa"/>
            <w:vAlign w:val="bottom"/>
          </w:tcPr>
          <w:p>
            <w:pPr>
              <w:ind w:left="60"/>
              <w:spacing w:after="0" w:line="125" w:lineRule="exact"/>
              <w:rPr>
                <w:sz w:val="20"/>
                <w:szCs w:val="20"/>
                <w:color w:val="auto"/>
              </w:rPr>
            </w:pPr>
            <w:r>
              <w:rPr>
                <w:rFonts w:ascii="Arial" w:cs="Arial" w:eastAsia="Arial" w:hAnsi="Arial"/>
                <w:sz w:val="13"/>
                <w:szCs w:val="13"/>
                <w:color w:val="auto"/>
                <w:w w:val="95"/>
              </w:rPr>
              <w:t>Infrastructure,    CN</w:t>
            </w: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1160" w:type="dxa"/>
            <w:vAlign w:val="bottom"/>
            <w:vMerge w:val="restart"/>
          </w:tcPr>
          <w:p>
            <w:pPr>
              <w:jc w:val="center"/>
              <w:ind w:right="257"/>
              <w:spacing w:after="0" w:line="135" w:lineRule="exact"/>
              <w:rPr>
                <w:sz w:val="20"/>
                <w:szCs w:val="20"/>
                <w:color w:val="auto"/>
              </w:rPr>
            </w:pPr>
            <w:r>
              <w:rPr>
                <w:rFonts w:ascii="Arial" w:cs="Arial" w:eastAsia="Arial" w:hAnsi="Arial"/>
                <w:sz w:val="13"/>
                <w:szCs w:val="13"/>
                <w:color w:val="auto"/>
                <w:w w:val="95"/>
              </w:rPr>
              <w:t>Inc.</w:t>
            </w: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40" w:type="dxa"/>
            <w:vAlign w:val="bottom"/>
          </w:tcPr>
          <w:p>
            <w:pPr>
              <w:jc w:val="center"/>
              <w:spacing w:after="0" w:line="145" w:lineRule="exact"/>
              <w:rPr>
                <w:sz w:val="20"/>
                <w:szCs w:val="20"/>
                <w:color w:val="auto"/>
              </w:rPr>
            </w:pPr>
            <w:r>
              <w:rPr>
                <w:rFonts w:ascii="Arial" w:cs="Arial" w:eastAsia="Arial" w:hAnsi="Arial"/>
                <w:sz w:val="13"/>
                <w:szCs w:val="13"/>
                <w:color w:val="auto"/>
                <w:w w:val="94"/>
              </w:rPr>
              <w:t>A18319VI-</w:t>
            </w:r>
          </w:p>
        </w:tc>
        <w:tc>
          <w:tcPr>
            <w:tcW w:w="1160" w:type="dxa"/>
            <w:vAlign w:val="bottom"/>
          </w:tcPr>
          <w:p>
            <w:pPr>
              <w:jc w:val="center"/>
              <w:ind w:right="277"/>
              <w:spacing w:after="0"/>
              <w:rPr>
                <w:sz w:val="20"/>
                <w:szCs w:val="20"/>
                <w:color w:val="auto"/>
              </w:rPr>
            </w:pPr>
            <w:r>
              <w:rPr>
                <w:rFonts w:ascii="Arial" w:cs="Arial" w:eastAsia="Arial" w:hAnsi="Arial"/>
                <w:sz w:val="13"/>
                <w:szCs w:val="13"/>
                <w:color w:val="auto"/>
                <w:w w:val="90"/>
              </w:rPr>
              <w:t>Vringo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680" w:val="left"/>
          <w:tab w:leader="none" w:pos="146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7-Apr-00</w:t>
      </w:r>
      <w:r>
        <w:rPr>
          <w:sz w:val="20"/>
          <w:szCs w:val="20"/>
          <w:color w:val="auto"/>
        </w:rPr>
        <w:tab/>
      </w:r>
      <w:r>
        <w:rPr>
          <w:rFonts w:ascii="Arial" w:cs="Arial" w:eastAsia="Arial" w:hAnsi="Arial"/>
          <w:sz w:val="11"/>
          <w:szCs w:val="11"/>
          <w:color w:val="auto"/>
        </w:rPr>
        <w:t>CN1139293</w:t>
      </w:r>
    </w:p>
    <w:p>
      <w:pPr>
        <w:spacing w:after="0" w:line="20" w:lineRule="exact"/>
        <w:rPr>
          <w:sz w:val="20"/>
          <w:szCs w:val="20"/>
          <w:color w:val="auto"/>
        </w:rPr>
      </w:pPr>
      <w:r>
        <w:rPr>
          <w:sz w:val="20"/>
          <w:szCs w:val="20"/>
          <w:color w:val="auto"/>
        </w:rPr>
        <w:br w:type="column"/>
      </w:r>
    </w:p>
    <w:p>
      <w:pPr>
        <w:spacing w:after="0"/>
        <w:tabs>
          <w:tab w:leader="none" w:pos="4480" w:val="left"/>
        </w:tabs>
        <w:rPr>
          <w:sz w:val="20"/>
          <w:szCs w:val="20"/>
          <w:color w:val="auto"/>
        </w:rPr>
      </w:pPr>
      <w:r>
        <w:rPr>
          <w:rFonts w:ascii="Arial" w:cs="Arial" w:eastAsia="Arial" w:hAnsi="Arial"/>
          <w:sz w:val="13"/>
          <w:szCs w:val="13"/>
          <w:color w:val="auto"/>
        </w:rPr>
        <w:t>Rotating Synchronization Channel (SCH) Transmission</w:t>
      </w:r>
      <w:r>
        <w:rPr>
          <w:sz w:val="20"/>
          <w:szCs w:val="20"/>
          <w:color w:val="auto"/>
        </w:rPr>
        <w:tab/>
      </w:r>
      <w:r>
        <w:rPr>
          <w:rFonts w:ascii="Arial" w:cs="Arial" w:eastAsia="Arial" w:hAnsi="Arial"/>
          <w:sz w:val="11"/>
          <w:szCs w:val="11"/>
          <w:color w:val="auto"/>
        </w:rPr>
        <w:t>Sebire Benoist [Fi]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79375</wp:posOffset>
            </wp:positionV>
            <wp:extent cx="7246620" cy="2571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ETSI</w:t>
      </w:r>
    </w:p>
    <w:p>
      <w:pPr>
        <w:spacing w:after="0" w:line="279" w:lineRule="exact"/>
        <w:rPr>
          <w:sz w:val="20"/>
          <w:szCs w:val="20"/>
          <w:color w:val="auto"/>
        </w:rPr>
      </w:pPr>
    </w:p>
    <w:p>
      <w:pPr>
        <w:sectPr>
          <w:pgSz w:w="11900" w:h="16838" w:orient="portrait"/>
          <w:cols w:equalWidth="0" w:num="4">
            <w:col w:w="1800" w:space="320"/>
            <w:col w:w="2100" w:space="220"/>
            <w:col w:w="5800" w:space="720"/>
            <w:col w:w="360"/>
          </w:cols>
          <w:pgMar w:left="280" w:top="111" w:right="299" w:bottom="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25"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5"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A18319VI-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A18319VI-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A18319VI-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A18319VI-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A18319VI-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6"/>
              </w:rPr>
              <w:t>NL</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NL01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A18319VI-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6"/>
              </w:rPr>
              <w:t>AT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9"/>
              </w:rPr>
              <w:t>AT01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BE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BE01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40" w:type="dxa"/>
            <w:vAlign w:val="bottom"/>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rPr>
                <w:sz w:val="20"/>
                <w:szCs w:val="20"/>
                <w:color w:val="auto"/>
              </w:rPr>
            </w:pPr>
            <w:r>
              <w:rPr>
                <w:rFonts w:ascii="Arial" w:cs="Arial" w:eastAsia="Arial" w:hAnsi="Arial"/>
                <w:sz w:val="13"/>
                <w:szCs w:val="13"/>
                <w:color w:val="auto"/>
                <w:w w:val="90"/>
              </w:rPr>
              <w:t>Vringo</w:t>
            </w:r>
          </w:p>
        </w:tc>
        <w:tc>
          <w:tcPr>
            <w:tcW w:w="280" w:type="dxa"/>
            <w:vAlign w:val="bottom"/>
          </w:tcPr>
          <w:p>
            <w:pPr>
              <w:jc w:val="center"/>
              <w:ind w:left="57"/>
              <w:spacing w:after="0"/>
              <w:rPr>
                <w:sz w:val="20"/>
                <w:szCs w:val="20"/>
                <w:color w:val="auto"/>
              </w:rPr>
            </w:pPr>
            <w:r>
              <w:rPr>
                <w:rFonts w:ascii="Arial" w:cs="Arial" w:eastAsia="Arial" w:hAnsi="Arial"/>
                <w:sz w:val="13"/>
                <w:szCs w:val="13"/>
                <w:color w:val="auto"/>
                <w:w w:val="88"/>
              </w:rPr>
              <w:t>BR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90"/>
              </w:rPr>
              <w:t>7-Apr-00</w:t>
            </w:r>
          </w:p>
        </w:tc>
        <w:tc>
          <w:tcPr>
            <w:tcW w:w="940" w:type="dxa"/>
            <w:vAlign w:val="bottom"/>
          </w:tcPr>
          <w:p>
            <w:pPr>
              <w:jc w:val="center"/>
              <w:spacing w:after="0"/>
              <w:rPr>
                <w:sz w:val="20"/>
                <w:szCs w:val="20"/>
                <w:color w:val="auto"/>
              </w:rPr>
            </w:pPr>
            <w:r>
              <w:rPr>
                <w:rFonts w:ascii="Arial" w:cs="Arial" w:eastAsia="Arial" w:hAnsi="Arial"/>
                <w:sz w:val="13"/>
                <w:szCs w:val="13"/>
                <w:color w:val="auto"/>
                <w:w w:val="89"/>
              </w:rPr>
              <w:t>DE60039231.7</w:t>
            </w:r>
          </w:p>
        </w:tc>
        <w:tc>
          <w:tcPr>
            <w:tcW w:w="4480" w:type="dxa"/>
            <w:vAlign w:val="bottom"/>
          </w:tcPr>
          <w:p>
            <w:pPr>
              <w:ind w:left="80"/>
              <w:spacing w:after="0"/>
              <w:rPr>
                <w:sz w:val="20"/>
                <w:szCs w:val="20"/>
                <w:color w:val="auto"/>
              </w:rPr>
            </w:pPr>
            <w:r>
              <w:rPr>
                <w:rFonts w:ascii="Arial" w:cs="Arial" w:eastAsia="Arial" w:hAnsi="Arial"/>
                <w:sz w:val="13"/>
                <w:szCs w:val="13"/>
                <w:color w:val="auto"/>
              </w:rPr>
              <w:t>Rotating SCH Transmission</w:t>
            </w:r>
          </w:p>
        </w:tc>
        <w:tc>
          <w:tcPr>
            <w:tcW w:w="1900" w:type="dxa"/>
            <w:vAlign w:val="bottom"/>
          </w:tcPr>
          <w:p>
            <w:pPr>
              <w:ind w:left="100"/>
              <w:spacing w:after="0"/>
              <w:rPr>
                <w:sz w:val="20"/>
                <w:szCs w:val="20"/>
                <w:color w:val="auto"/>
              </w:rPr>
            </w:pPr>
            <w:r>
              <w:rPr>
                <w:rFonts w:ascii="Arial" w:cs="Arial" w:eastAsia="Arial" w:hAnsi="Arial"/>
                <w:sz w:val="13"/>
                <w:szCs w:val="13"/>
                <w:color w:val="auto"/>
              </w:rPr>
              <w:t>Sebire Benoist [Fi]</w:t>
            </w:r>
          </w:p>
        </w:tc>
        <w:tc>
          <w:tcPr>
            <w:tcW w:w="580" w:type="dxa"/>
            <w:vAlign w:val="bottom"/>
          </w:tcPr>
          <w:p>
            <w:pPr>
              <w:jc w:val="center"/>
              <w:ind w:left="5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287"/>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0"/>
              </w:rPr>
              <w:t>7-Apr-00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5"/>
              </w:rPr>
              <w:t>EP1166589</w:t>
            </w:r>
          </w:p>
        </w:tc>
        <w:tc>
          <w:tcPr>
            <w:tcW w:w="4480" w:type="dxa"/>
            <w:vAlign w:val="bottom"/>
            <w:vMerge w:val="restart"/>
          </w:tcPr>
          <w:p>
            <w:pPr>
              <w:ind w:left="80"/>
              <w:spacing w:after="0"/>
              <w:rPr>
                <w:sz w:val="20"/>
                <w:szCs w:val="20"/>
                <w:color w:val="auto"/>
              </w:rPr>
            </w:pPr>
            <w:r>
              <w:rPr>
                <w:rFonts w:ascii="Arial" w:cs="Arial" w:eastAsia="Arial" w:hAnsi="Arial"/>
                <w:sz w:val="13"/>
                <w:szCs w:val="13"/>
                <w:color w:val="auto"/>
              </w:rPr>
              <w:t>Rotating Synchronization Channel (Sch) Transmission</w:t>
            </w:r>
          </w:p>
        </w:tc>
        <w:tc>
          <w:tcPr>
            <w:tcW w:w="1900" w:type="dxa"/>
            <w:vAlign w:val="bottom"/>
            <w:vMerge w:val="restart"/>
          </w:tcPr>
          <w:p>
            <w:pPr>
              <w:ind w:left="100"/>
              <w:spacing w:after="0"/>
              <w:rPr>
                <w:sz w:val="20"/>
                <w:szCs w:val="20"/>
                <w:color w:val="auto"/>
              </w:rPr>
            </w:pPr>
            <w:r>
              <w:rPr>
                <w:rFonts w:ascii="Arial" w:cs="Arial" w:eastAsia="Arial" w:hAnsi="Arial"/>
                <w:sz w:val="13"/>
                <w:szCs w:val="13"/>
                <w:color w:val="auto"/>
              </w:rPr>
              <w:t>Sebire Benoist [Fi]</w:t>
            </w:r>
          </w:p>
        </w:tc>
        <w:tc>
          <w:tcPr>
            <w:tcW w:w="580" w:type="dxa"/>
            <w:vAlign w:val="bottom"/>
          </w:tcPr>
          <w:p>
            <w:pPr>
              <w:jc w:val="center"/>
              <w:ind w:left="7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8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580" w:type="dxa"/>
            <w:vAlign w:val="bottom"/>
            <w:vMerge w:val="restart"/>
          </w:tcPr>
          <w:p>
            <w:pPr>
              <w:jc w:val="center"/>
              <w:ind w:left="57"/>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90"/>
              </w:rPr>
              <w:t>7-Apr-00</w:t>
            </w:r>
          </w:p>
        </w:tc>
        <w:tc>
          <w:tcPr>
            <w:tcW w:w="940" w:type="dxa"/>
            <w:vAlign w:val="bottom"/>
          </w:tcPr>
          <w:p>
            <w:pPr>
              <w:jc w:val="center"/>
              <w:spacing w:after="0"/>
              <w:rPr>
                <w:sz w:val="20"/>
                <w:szCs w:val="20"/>
                <w:color w:val="auto"/>
              </w:rPr>
            </w:pPr>
            <w:r>
              <w:rPr>
                <w:rFonts w:ascii="Arial" w:cs="Arial" w:eastAsia="Arial" w:hAnsi="Arial"/>
                <w:sz w:val="13"/>
                <w:szCs w:val="13"/>
                <w:color w:val="auto"/>
                <w:w w:val="85"/>
              </w:rPr>
              <w:t>FR1166589</w:t>
            </w:r>
          </w:p>
        </w:tc>
        <w:tc>
          <w:tcPr>
            <w:tcW w:w="4480" w:type="dxa"/>
            <w:vAlign w:val="bottom"/>
          </w:tcPr>
          <w:p>
            <w:pPr>
              <w:ind w:left="80"/>
              <w:spacing w:after="0"/>
              <w:rPr>
                <w:sz w:val="20"/>
                <w:szCs w:val="20"/>
                <w:color w:val="auto"/>
              </w:rPr>
            </w:pPr>
            <w:r>
              <w:rPr>
                <w:rFonts w:ascii="Arial" w:cs="Arial" w:eastAsia="Arial" w:hAnsi="Arial"/>
                <w:sz w:val="13"/>
                <w:szCs w:val="13"/>
                <w:color w:val="auto"/>
              </w:rPr>
              <w:t>Rotating SCH Transmission</w:t>
            </w:r>
          </w:p>
        </w:tc>
        <w:tc>
          <w:tcPr>
            <w:tcW w:w="1900" w:type="dxa"/>
            <w:vAlign w:val="bottom"/>
          </w:tcPr>
          <w:p>
            <w:pPr>
              <w:ind w:left="100"/>
              <w:spacing w:after="0"/>
              <w:rPr>
                <w:sz w:val="20"/>
                <w:szCs w:val="20"/>
                <w:color w:val="auto"/>
              </w:rPr>
            </w:pPr>
            <w:r>
              <w:rPr>
                <w:rFonts w:ascii="Arial" w:cs="Arial" w:eastAsia="Arial" w:hAnsi="Arial"/>
                <w:sz w:val="13"/>
                <w:szCs w:val="13"/>
                <w:color w:val="auto"/>
              </w:rPr>
              <w:t>Sebire Benoist [Fi]</w:t>
            </w:r>
          </w:p>
        </w:tc>
        <w:tc>
          <w:tcPr>
            <w:tcW w:w="580" w:type="dxa"/>
            <w:vAlign w:val="bottom"/>
          </w:tcPr>
          <w:p>
            <w:pPr>
              <w:jc w:val="center"/>
              <w:ind w:left="5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90"/>
              </w:rPr>
              <w:t>7-Apr-00</w:t>
            </w:r>
          </w:p>
        </w:tc>
        <w:tc>
          <w:tcPr>
            <w:tcW w:w="940" w:type="dxa"/>
            <w:vAlign w:val="bottom"/>
          </w:tcPr>
          <w:p>
            <w:pPr>
              <w:jc w:val="center"/>
              <w:spacing w:after="0"/>
              <w:rPr>
                <w:sz w:val="20"/>
                <w:szCs w:val="20"/>
                <w:color w:val="auto"/>
              </w:rPr>
            </w:pPr>
            <w:r>
              <w:rPr>
                <w:rFonts w:ascii="Arial" w:cs="Arial" w:eastAsia="Arial" w:hAnsi="Arial"/>
                <w:sz w:val="13"/>
                <w:szCs w:val="13"/>
                <w:color w:val="auto"/>
                <w:w w:val="89"/>
              </w:rPr>
              <w:t>GB1166589</w:t>
            </w:r>
          </w:p>
        </w:tc>
        <w:tc>
          <w:tcPr>
            <w:tcW w:w="4480" w:type="dxa"/>
            <w:vAlign w:val="bottom"/>
          </w:tcPr>
          <w:p>
            <w:pPr>
              <w:ind w:left="80"/>
              <w:spacing w:after="0"/>
              <w:rPr>
                <w:sz w:val="20"/>
                <w:szCs w:val="20"/>
                <w:color w:val="auto"/>
              </w:rPr>
            </w:pPr>
            <w:r>
              <w:rPr>
                <w:rFonts w:ascii="Arial" w:cs="Arial" w:eastAsia="Arial" w:hAnsi="Arial"/>
                <w:sz w:val="13"/>
                <w:szCs w:val="13"/>
                <w:color w:val="auto"/>
              </w:rPr>
              <w:t>Rotating SCH Transmission</w:t>
            </w:r>
          </w:p>
        </w:tc>
        <w:tc>
          <w:tcPr>
            <w:tcW w:w="1900" w:type="dxa"/>
            <w:vAlign w:val="bottom"/>
          </w:tcPr>
          <w:p>
            <w:pPr>
              <w:ind w:left="100"/>
              <w:spacing w:after="0"/>
              <w:rPr>
                <w:sz w:val="20"/>
                <w:szCs w:val="20"/>
                <w:color w:val="auto"/>
              </w:rPr>
            </w:pPr>
            <w:r>
              <w:rPr>
                <w:rFonts w:ascii="Arial" w:cs="Arial" w:eastAsia="Arial" w:hAnsi="Arial"/>
                <w:sz w:val="13"/>
                <w:szCs w:val="13"/>
                <w:color w:val="auto"/>
              </w:rPr>
              <w:t>Sebire Benoist [Fi]</w:t>
            </w:r>
          </w:p>
        </w:tc>
        <w:tc>
          <w:tcPr>
            <w:tcW w:w="580" w:type="dxa"/>
            <w:vAlign w:val="bottom"/>
          </w:tcPr>
          <w:p>
            <w:pPr>
              <w:jc w:val="center"/>
              <w:ind w:left="5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90"/>
              </w:rPr>
              <w:t>7-Apr-00</w:t>
            </w:r>
          </w:p>
        </w:tc>
        <w:tc>
          <w:tcPr>
            <w:tcW w:w="940" w:type="dxa"/>
            <w:vAlign w:val="bottom"/>
          </w:tcPr>
          <w:p>
            <w:pPr>
              <w:jc w:val="center"/>
              <w:spacing w:after="0"/>
              <w:rPr>
                <w:sz w:val="20"/>
                <w:szCs w:val="20"/>
                <w:color w:val="auto"/>
              </w:rPr>
            </w:pPr>
            <w:r>
              <w:rPr>
                <w:rFonts w:ascii="Arial" w:cs="Arial" w:eastAsia="Arial" w:hAnsi="Arial"/>
                <w:sz w:val="13"/>
                <w:szCs w:val="13"/>
                <w:color w:val="auto"/>
                <w:w w:val="86"/>
              </w:rPr>
              <w:t>IT1166589</w:t>
            </w:r>
          </w:p>
        </w:tc>
        <w:tc>
          <w:tcPr>
            <w:tcW w:w="4480" w:type="dxa"/>
            <w:vAlign w:val="bottom"/>
          </w:tcPr>
          <w:p>
            <w:pPr>
              <w:ind w:left="80"/>
              <w:spacing w:after="0"/>
              <w:rPr>
                <w:sz w:val="20"/>
                <w:szCs w:val="20"/>
                <w:color w:val="auto"/>
              </w:rPr>
            </w:pPr>
            <w:r>
              <w:rPr>
                <w:rFonts w:ascii="Arial" w:cs="Arial" w:eastAsia="Arial" w:hAnsi="Arial"/>
                <w:sz w:val="13"/>
                <w:szCs w:val="13"/>
                <w:color w:val="auto"/>
              </w:rPr>
              <w:t>Rotating SCH Transmission</w:t>
            </w:r>
          </w:p>
        </w:tc>
        <w:tc>
          <w:tcPr>
            <w:tcW w:w="1900" w:type="dxa"/>
            <w:vAlign w:val="bottom"/>
          </w:tcPr>
          <w:p>
            <w:pPr>
              <w:ind w:left="100"/>
              <w:spacing w:after="0"/>
              <w:rPr>
                <w:sz w:val="20"/>
                <w:szCs w:val="20"/>
                <w:color w:val="auto"/>
              </w:rPr>
            </w:pPr>
            <w:r>
              <w:rPr>
                <w:rFonts w:ascii="Arial" w:cs="Arial" w:eastAsia="Arial" w:hAnsi="Arial"/>
                <w:sz w:val="13"/>
                <w:szCs w:val="13"/>
                <w:color w:val="auto"/>
              </w:rPr>
              <w:t>Sebire Benoist [Fi]</w:t>
            </w:r>
          </w:p>
        </w:tc>
        <w:tc>
          <w:tcPr>
            <w:tcW w:w="580" w:type="dxa"/>
            <w:vAlign w:val="bottom"/>
          </w:tcPr>
          <w:p>
            <w:pPr>
              <w:jc w:val="center"/>
              <w:ind w:left="5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90"/>
              </w:rPr>
              <w:t>7-Apr-00</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NL1166589</w:t>
            </w:r>
          </w:p>
        </w:tc>
        <w:tc>
          <w:tcPr>
            <w:tcW w:w="4480" w:type="dxa"/>
            <w:vAlign w:val="bottom"/>
          </w:tcPr>
          <w:p>
            <w:pPr>
              <w:ind w:left="80"/>
              <w:spacing w:after="0"/>
              <w:rPr>
                <w:sz w:val="20"/>
                <w:szCs w:val="20"/>
                <w:color w:val="auto"/>
              </w:rPr>
            </w:pPr>
            <w:r>
              <w:rPr>
                <w:rFonts w:ascii="Arial" w:cs="Arial" w:eastAsia="Arial" w:hAnsi="Arial"/>
                <w:sz w:val="13"/>
                <w:szCs w:val="13"/>
                <w:color w:val="auto"/>
              </w:rPr>
              <w:t>Rotating SCH Transmission</w:t>
            </w:r>
          </w:p>
        </w:tc>
        <w:tc>
          <w:tcPr>
            <w:tcW w:w="1900" w:type="dxa"/>
            <w:vAlign w:val="bottom"/>
          </w:tcPr>
          <w:p>
            <w:pPr>
              <w:ind w:left="100"/>
              <w:spacing w:after="0"/>
              <w:rPr>
                <w:sz w:val="20"/>
                <w:szCs w:val="20"/>
                <w:color w:val="auto"/>
              </w:rPr>
            </w:pPr>
            <w:r>
              <w:rPr>
                <w:rFonts w:ascii="Arial" w:cs="Arial" w:eastAsia="Arial" w:hAnsi="Arial"/>
                <w:sz w:val="13"/>
                <w:szCs w:val="13"/>
                <w:color w:val="auto"/>
              </w:rPr>
              <w:t>Sebire Benoist [Fi]</w:t>
            </w:r>
          </w:p>
        </w:tc>
        <w:tc>
          <w:tcPr>
            <w:tcW w:w="580" w:type="dxa"/>
            <w:vAlign w:val="bottom"/>
          </w:tcPr>
          <w:p>
            <w:pPr>
              <w:jc w:val="center"/>
              <w:ind w:left="5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85"/>
              </w:rPr>
              <w:t>3-Jan-00</w:t>
            </w:r>
          </w:p>
        </w:tc>
        <w:tc>
          <w:tcPr>
            <w:tcW w:w="940" w:type="dxa"/>
            <w:vAlign w:val="bottom"/>
          </w:tcPr>
          <w:p>
            <w:pPr>
              <w:jc w:val="center"/>
              <w:spacing w:after="0"/>
              <w:rPr>
                <w:sz w:val="20"/>
                <w:szCs w:val="20"/>
                <w:color w:val="auto"/>
              </w:rPr>
            </w:pPr>
            <w:r>
              <w:rPr>
                <w:rFonts w:ascii="Arial" w:cs="Arial" w:eastAsia="Arial" w:hAnsi="Arial"/>
                <w:sz w:val="13"/>
                <w:szCs w:val="13"/>
                <w:color w:val="auto"/>
                <w:w w:val="87"/>
              </w:rPr>
              <w:t>US6973060</w:t>
            </w:r>
          </w:p>
        </w:tc>
        <w:tc>
          <w:tcPr>
            <w:tcW w:w="4480" w:type="dxa"/>
            <w:vAlign w:val="bottom"/>
          </w:tcPr>
          <w:p>
            <w:pPr>
              <w:ind w:left="80"/>
              <w:spacing w:after="0"/>
              <w:rPr>
                <w:sz w:val="20"/>
                <w:szCs w:val="20"/>
                <w:color w:val="auto"/>
              </w:rPr>
            </w:pPr>
            <w:r>
              <w:rPr>
                <w:rFonts w:ascii="Arial" w:cs="Arial" w:eastAsia="Arial" w:hAnsi="Arial"/>
                <w:sz w:val="13"/>
                <w:szCs w:val="13"/>
                <w:color w:val="auto"/>
              </w:rPr>
              <w:t>Rotating Synchronization Channel (Sch) Transmission</w:t>
            </w:r>
          </w:p>
        </w:tc>
        <w:tc>
          <w:tcPr>
            <w:tcW w:w="1900" w:type="dxa"/>
            <w:vAlign w:val="bottom"/>
          </w:tcPr>
          <w:p>
            <w:pPr>
              <w:ind w:left="100"/>
              <w:spacing w:after="0"/>
              <w:rPr>
                <w:sz w:val="20"/>
                <w:szCs w:val="20"/>
                <w:color w:val="auto"/>
              </w:rPr>
            </w:pPr>
            <w:r>
              <w:rPr>
                <w:rFonts w:ascii="Arial" w:cs="Arial" w:eastAsia="Arial" w:hAnsi="Arial"/>
                <w:sz w:val="13"/>
                <w:szCs w:val="13"/>
                <w:color w:val="auto"/>
              </w:rPr>
              <w:t>Sebire Benoist [Fi]</w:t>
            </w:r>
          </w:p>
        </w:tc>
        <w:tc>
          <w:tcPr>
            <w:tcW w:w="580" w:type="dxa"/>
            <w:vAlign w:val="bottom"/>
          </w:tcPr>
          <w:p>
            <w:pPr>
              <w:jc w:val="center"/>
              <w:ind w:left="5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12"/>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9"/>
              </w:rPr>
              <w:t>AT313233</w:t>
            </w:r>
          </w:p>
        </w:tc>
        <w:tc>
          <w:tcPr>
            <w:tcW w:w="4480" w:type="dxa"/>
            <w:vAlign w:val="bottom"/>
          </w:tcPr>
          <w:p>
            <w:pPr>
              <w:ind w:left="80"/>
              <w:spacing w:after="0"/>
              <w:rPr>
                <w:sz w:val="20"/>
                <w:szCs w:val="20"/>
                <w:color w:val="auto"/>
              </w:rPr>
            </w:pPr>
            <w:r>
              <w:rPr>
                <w:rFonts w:ascii="Arial" w:cs="Arial" w:eastAsia="Arial" w:hAnsi="Arial"/>
                <w:sz w:val="13"/>
                <w:szCs w:val="13"/>
                <w:color w:val="auto"/>
                <w:w w:val="91"/>
              </w:rPr>
              <w:t>Positioning A Subscriber Terminal In A Packet-Switched Mobile Telephony Network</w:t>
            </w:r>
          </w:p>
        </w:tc>
        <w:tc>
          <w:tcPr>
            <w:tcW w:w="1900" w:type="dxa"/>
            <w:vAlign w:val="bottom"/>
          </w:tcPr>
          <w:p>
            <w:pPr>
              <w:ind w:left="100"/>
              <w:spacing w:after="0"/>
              <w:rPr>
                <w:sz w:val="20"/>
                <w:szCs w:val="20"/>
                <w:color w:val="auto"/>
              </w:rPr>
            </w:pPr>
            <w:r>
              <w:rPr>
                <w:rFonts w:ascii="Arial" w:cs="Arial" w:eastAsia="Arial" w:hAnsi="Arial"/>
                <w:sz w:val="13"/>
                <w:szCs w:val="13"/>
                <w:color w:val="auto"/>
                <w:w w:val="93"/>
              </w:rPr>
              <w:t>Vaenttinen Veijo [Fi] Rajala Jussi</w:t>
            </w:r>
          </w:p>
        </w:tc>
        <w:tc>
          <w:tcPr>
            <w:tcW w:w="580" w:type="dxa"/>
            <w:vAlign w:val="bottom"/>
            <w:vMerge w:val="restart"/>
          </w:tcPr>
          <w:p>
            <w:pPr>
              <w:jc w:val="center"/>
              <w:ind w:left="5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80" w:type="dxa"/>
            <w:vAlign w:val="bottom"/>
            <w:vMerge w:val="restart"/>
          </w:tcPr>
          <w:p>
            <w:pPr>
              <w:ind w:left="80"/>
              <w:spacing w:after="0"/>
              <w:rPr>
                <w:sz w:val="20"/>
                <w:szCs w:val="20"/>
                <w:color w:val="auto"/>
              </w:rPr>
            </w:pPr>
            <w:r>
              <w:rPr>
                <w:rFonts w:ascii="Arial" w:cs="Arial" w:eastAsia="Arial" w:hAnsi="Arial"/>
                <w:sz w:val="13"/>
                <w:szCs w:val="13"/>
                <w:color w:val="auto"/>
              </w:rPr>
              <w:t>Using Both Packet-Switched And Circuit-Switched Messages</w:t>
            </w:r>
          </w:p>
        </w:tc>
        <w:tc>
          <w:tcPr>
            <w:tcW w:w="1900" w:type="dxa"/>
            <w:vAlign w:val="bottom"/>
            <w:vMerge w:val="restart"/>
          </w:tcPr>
          <w:p>
            <w:pPr>
              <w:ind w:left="100"/>
              <w:spacing w:after="0"/>
              <w:rPr>
                <w:sz w:val="20"/>
                <w:szCs w:val="20"/>
                <w:color w:val="auto"/>
              </w:rPr>
            </w:pPr>
            <w:r>
              <w:rPr>
                <w:rFonts w:ascii="Arial" w:cs="Arial" w:eastAsia="Arial" w:hAnsi="Arial"/>
                <w:sz w:val="13"/>
                <w:szCs w:val="13"/>
                <w:color w:val="auto"/>
              </w:rPr>
              <w:t>[Fi]</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8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8"/>
              </w:rPr>
              <w:t>BE1330933</w:t>
            </w:r>
          </w:p>
        </w:tc>
        <w:tc>
          <w:tcPr>
            <w:tcW w:w="4480" w:type="dxa"/>
            <w:vAlign w:val="bottom"/>
            <w:vMerge w:val="restart"/>
          </w:tcPr>
          <w:p>
            <w:pPr>
              <w:ind w:left="80"/>
              <w:spacing w:after="0"/>
              <w:rPr>
                <w:sz w:val="20"/>
                <w:szCs w:val="20"/>
                <w:color w:val="auto"/>
              </w:rPr>
            </w:pPr>
            <w:r>
              <w:rPr>
                <w:rFonts w:ascii="Arial" w:cs="Arial" w:eastAsia="Arial" w:hAnsi="Arial"/>
                <w:sz w:val="13"/>
                <w:szCs w:val="13"/>
                <w:color w:val="auto"/>
                <w:w w:val="92"/>
              </w:rPr>
              <w:t>Association of TLLI And SCCP Connection To Enable Fast Deployment Of LCS In</w:t>
            </w:r>
          </w:p>
        </w:tc>
        <w:tc>
          <w:tcPr>
            <w:tcW w:w="1900" w:type="dxa"/>
            <w:vAlign w:val="bottom"/>
          </w:tcPr>
          <w:p>
            <w:pPr>
              <w:ind w:left="100"/>
              <w:spacing w:after="0"/>
              <w:rPr>
                <w:sz w:val="20"/>
                <w:szCs w:val="20"/>
                <w:color w:val="auto"/>
              </w:rPr>
            </w:pPr>
            <w:r>
              <w:rPr>
                <w:rFonts w:ascii="Arial" w:cs="Arial" w:eastAsia="Arial" w:hAnsi="Arial"/>
                <w:sz w:val="13"/>
                <w:szCs w:val="13"/>
                <w:color w:val="auto"/>
                <w:w w:val="93"/>
              </w:rPr>
              <w:t>Vaenttinen Veijo [Fi] Rajala Jussi</w:t>
            </w:r>
          </w:p>
        </w:tc>
        <w:tc>
          <w:tcPr>
            <w:tcW w:w="580" w:type="dxa"/>
            <w:vAlign w:val="bottom"/>
            <w:vMerge w:val="restart"/>
          </w:tcPr>
          <w:p>
            <w:pPr>
              <w:jc w:val="center"/>
              <w:ind w:left="5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80" w:type="dxa"/>
            <w:vAlign w:val="bottom"/>
            <w:vMerge w:val="continue"/>
          </w:tcPr>
          <w:p>
            <w:pPr>
              <w:spacing w:after="0"/>
              <w:rPr>
                <w:sz w:val="8"/>
                <w:szCs w:val="8"/>
                <w:color w:val="auto"/>
              </w:rPr>
            </w:pPr>
          </w:p>
        </w:tc>
        <w:tc>
          <w:tcPr>
            <w:tcW w:w="1900" w:type="dxa"/>
            <w:vAlign w:val="bottom"/>
            <w:vMerge w:val="restart"/>
          </w:tcPr>
          <w:p>
            <w:pPr>
              <w:ind w:left="100"/>
              <w:spacing w:after="0"/>
              <w:rPr>
                <w:sz w:val="20"/>
                <w:szCs w:val="20"/>
                <w:color w:val="auto"/>
              </w:rPr>
            </w:pPr>
            <w:r>
              <w:rPr>
                <w:rFonts w:ascii="Arial" w:cs="Arial" w:eastAsia="Arial" w:hAnsi="Arial"/>
                <w:sz w:val="13"/>
                <w:szCs w:val="13"/>
                <w:color w:val="auto"/>
              </w:rPr>
              <w:t>[Fi]</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20"/>
                <w:szCs w:val="20"/>
                <w:color w:val="auto"/>
              </w:rPr>
            </w:pPr>
            <w:r>
              <w:rPr>
                <w:rFonts w:ascii="Arial" w:cs="Arial" w:eastAsia="Arial" w:hAnsi="Arial"/>
                <w:sz w:val="13"/>
                <w:szCs w:val="13"/>
                <w:color w:val="auto"/>
              </w:rPr>
              <w:t>Pending</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18-Oct-01</w:t>
            </w:r>
          </w:p>
        </w:tc>
        <w:tc>
          <w:tcPr>
            <w:tcW w:w="940" w:type="dxa"/>
            <w:vAlign w:val="bottom"/>
          </w:tcPr>
          <w:p>
            <w:pPr>
              <w:jc w:val="center"/>
              <w:spacing w:after="0"/>
              <w:rPr>
                <w:sz w:val="20"/>
                <w:szCs w:val="20"/>
                <w:color w:val="auto"/>
              </w:rPr>
            </w:pPr>
            <w:r>
              <w:rPr>
                <w:rFonts w:ascii="Arial" w:cs="Arial" w:eastAsia="Arial" w:hAnsi="Arial"/>
                <w:sz w:val="13"/>
                <w:szCs w:val="13"/>
                <w:color w:val="auto"/>
                <w:w w:val="88"/>
              </w:rPr>
              <w:t>PI0114863-0</w:t>
            </w:r>
          </w:p>
        </w:tc>
        <w:tc>
          <w:tcPr>
            <w:tcW w:w="4480" w:type="dxa"/>
            <w:vAlign w:val="bottom"/>
          </w:tcPr>
          <w:p>
            <w:pPr>
              <w:ind w:left="80"/>
              <w:spacing w:after="0"/>
              <w:rPr>
                <w:sz w:val="20"/>
                <w:szCs w:val="20"/>
                <w:color w:val="auto"/>
              </w:rPr>
            </w:pPr>
            <w:r>
              <w:rPr>
                <w:rFonts w:ascii="Arial" w:cs="Arial" w:eastAsia="Arial" w:hAnsi="Arial"/>
                <w:sz w:val="13"/>
                <w:szCs w:val="13"/>
                <w:color w:val="auto"/>
                <w:w w:val="91"/>
              </w:rPr>
              <w:t>Positioning A Subscriber Terminal In A Packet-Switched Mobile Telephony Network</w:t>
            </w:r>
          </w:p>
        </w:tc>
        <w:tc>
          <w:tcPr>
            <w:tcW w:w="1900" w:type="dxa"/>
            <w:vAlign w:val="bottom"/>
          </w:tcPr>
          <w:p>
            <w:pPr>
              <w:ind w:left="100"/>
              <w:spacing w:after="0"/>
              <w:rPr>
                <w:sz w:val="20"/>
                <w:szCs w:val="20"/>
                <w:color w:val="auto"/>
              </w:rPr>
            </w:pPr>
            <w:r>
              <w:rPr>
                <w:rFonts w:ascii="Arial" w:cs="Arial" w:eastAsia="Arial" w:hAnsi="Arial"/>
                <w:sz w:val="13"/>
                <w:szCs w:val="13"/>
                <w:color w:val="auto"/>
                <w:w w:val="93"/>
              </w:rPr>
              <w:t>Vaenttinen Veijo [Fi] Rajala Jussi</w:t>
            </w:r>
          </w:p>
        </w:tc>
        <w:tc>
          <w:tcPr>
            <w:tcW w:w="580" w:type="dxa"/>
            <w:vAlign w:val="bottom"/>
          </w:tcPr>
          <w:p>
            <w:pPr>
              <w:jc w:val="center"/>
              <w:ind w:left="5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-1892935</wp:posOffset>
            </wp:positionV>
            <wp:extent cx="7246620" cy="2571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-1378585</wp:posOffset>
            </wp:positionV>
            <wp:extent cx="7246620" cy="2571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-864235</wp:posOffset>
            </wp:positionV>
            <wp:extent cx="7246620" cy="2571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-349250</wp:posOffset>
            </wp:positionV>
            <wp:extent cx="7246620" cy="2571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ectPr>
          <w:pgSz w:w="11900" w:h="16838" w:orient="portrait"/>
          <w:cols w:equalWidth="0" w:num="2">
            <w:col w:w="1800" w:space="320"/>
            <w:col w:w="9200"/>
          </w:cols>
          <w:pgMar w:left="280" w:top="111" w:right="299" w:bottom="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49"/>
        </w:trPr>
        <w:tc>
          <w:tcPr>
            <w:tcW w:w="640" w:type="dxa"/>
            <w:vAlign w:val="bottom"/>
          </w:tcPr>
          <w:p>
            <w:pPr>
              <w:jc w:val="center"/>
              <w:spacing w:after="0"/>
              <w:rPr>
                <w:sz w:val="20"/>
                <w:szCs w:val="20"/>
                <w:color w:val="auto"/>
              </w:rPr>
            </w:pPr>
            <w:r>
              <w:rPr>
                <w:rFonts w:ascii="Arial" w:cs="Arial" w:eastAsia="Arial" w:hAnsi="Arial"/>
                <w:sz w:val="13"/>
                <w:szCs w:val="13"/>
                <w:color w:val="auto"/>
                <w:w w:val="92"/>
              </w:rPr>
              <w:t>BR01</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Infrastructure,</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CA</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CA01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CH</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CH01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FI</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FI01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KR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KR01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6"/>
              </w:rPr>
              <w:t>NL</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NL01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SE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SE01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4"/>
              </w:rPr>
              <w:t>SG</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SG01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A18965VI-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6"/>
              </w:rPr>
              <w:t>ZA</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ZA01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A19120VI-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A19264VI-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A19264VI-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A19264VI-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A19277VI-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A19277VI-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A19437VI-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A19437VI-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A19437VI-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A19437VI-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A2089VI-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A2314VI-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DE01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A2314VI-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1"/>
              </w:rPr>
              <w:t>EP01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A2314VI-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A2336VI-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1"/>
              </w:rPr>
              <w:t>EP01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A2336VI-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A23720VI-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A23720VI-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A23720VI-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A23857VI-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A23857VI-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A23857VI-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A23857VI-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35"/>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520" w:type="dxa"/>
            <w:vAlign w:val="bottom"/>
          </w:tcPr>
          <w:p>
            <w:pPr>
              <w:ind w:left="80"/>
              <w:spacing w:after="0"/>
              <w:rPr>
                <w:sz w:val="20"/>
                <w:szCs w:val="20"/>
                <w:color w:val="auto"/>
              </w:rPr>
            </w:pPr>
            <w:r>
              <w:rPr>
                <w:rFonts w:ascii="Arial" w:cs="Arial" w:eastAsia="Arial" w:hAnsi="Arial"/>
                <w:sz w:val="13"/>
                <w:szCs w:val="13"/>
                <w:color w:val="auto"/>
              </w:rPr>
              <w:t>Using Both Packet-Switched And Circuit-Switched Messages</w:t>
            </w:r>
          </w:p>
        </w:tc>
        <w:tc>
          <w:tcPr>
            <w:tcW w:w="1960" w:type="dxa"/>
            <w:vAlign w:val="bottom"/>
          </w:tcPr>
          <w:p>
            <w:pPr>
              <w:ind w:left="60"/>
              <w:spacing w:after="0"/>
              <w:rPr>
                <w:sz w:val="20"/>
                <w:szCs w:val="20"/>
                <w:color w:val="auto"/>
              </w:rPr>
            </w:pPr>
            <w:r>
              <w:rPr>
                <w:rFonts w:ascii="Arial" w:cs="Arial" w:eastAsia="Arial" w:hAnsi="Arial"/>
                <w:sz w:val="13"/>
                <w:szCs w:val="13"/>
                <w:color w:val="auto"/>
              </w:rPr>
              <w:t>[Fi]</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6"/>
              </w:rPr>
              <w:t>2426082</w:t>
            </w:r>
          </w:p>
        </w:tc>
        <w:tc>
          <w:tcPr>
            <w:tcW w:w="4520" w:type="dxa"/>
            <w:vAlign w:val="bottom"/>
          </w:tcPr>
          <w:p>
            <w:pPr>
              <w:ind w:left="80"/>
              <w:spacing w:after="0"/>
              <w:rPr>
                <w:sz w:val="20"/>
                <w:szCs w:val="20"/>
                <w:color w:val="auto"/>
              </w:rPr>
            </w:pPr>
            <w:r>
              <w:rPr>
                <w:rFonts w:ascii="Arial" w:cs="Arial" w:eastAsia="Arial" w:hAnsi="Arial"/>
                <w:sz w:val="13"/>
                <w:szCs w:val="13"/>
                <w:color w:val="auto"/>
                <w:w w:val="91"/>
              </w:rPr>
              <w:t>Positioning A Subscriber Terminal In A Packet-Switched Mobile Telephony Network</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Using Both Packet-Switched And Circuit-Switched Messages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9"/>
              </w:rPr>
              <w:t>CH1330933</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w w:val="93"/>
              </w:rPr>
              <w:t>Association of TLLI And SCCP Connection To Enable Fast Deployment Of LCS In</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9"/>
              </w:rPr>
              <w:t>CN1227943</w:t>
            </w:r>
          </w:p>
        </w:tc>
        <w:tc>
          <w:tcPr>
            <w:tcW w:w="4520" w:type="dxa"/>
            <w:vAlign w:val="bottom"/>
          </w:tcPr>
          <w:p>
            <w:pPr>
              <w:ind w:left="80"/>
              <w:spacing w:after="0"/>
              <w:rPr>
                <w:sz w:val="20"/>
                <w:szCs w:val="20"/>
                <w:color w:val="auto"/>
              </w:rPr>
            </w:pPr>
            <w:r>
              <w:rPr>
                <w:rFonts w:ascii="Arial" w:cs="Arial" w:eastAsia="Arial" w:hAnsi="Arial"/>
                <w:sz w:val="13"/>
                <w:szCs w:val="13"/>
                <w:color w:val="auto"/>
                <w:w w:val="91"/>
              </w:rPr>
              <w:t>Positioning A Subscriber Terminal In A Packet-Switched Mobile Telephony Network</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Using Both Packet-Switched And Circuit-Switched Messages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DE60115947.0</w:t>
            </w:r>
          </w:p>
        </w:tc>
        <w:tc>
          <w:tcPr>
            <w:tcW w:w="4520" w:type="dxa"/>
            <w:vAlign w:val="bottom"/>
          </w:tcPr>
          <w:p>
            <w:pPr>
              <w:ind w:left="80"/>
              <w:spacing w:after="0"/>
              <w:rPr>
                <w:sz w:val="20"/>
                <w:szCs w:val="20"/>
                <w:color w:val="auto"/>
              </w:rPr>
            </w:pPr>
            <w:r>
              <w:rPr>
                <w:rFonts w:ascii="Arial" w:cs="Arial" w:eastAsia="Arial" w:hAnsi="Arial"/>
                <w:sz w:val="13"/>
                <w:szCs w:val="13"/>
                <w:color w:val="auto"/>
                <w:w w:val="91"/>
              </w:rPr>
              <w:t>Positioning A Subscriber Terminal In A Packet-Switched Mobile Telephony Network</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Using Both Packet-Switched And Circuit-Switched Messages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EP1330933</w:t>
            </w:r>
          </w:p>
        </w:tc>
        <w:tc>
          <w:tcPr>
            <w:tcW w:w="4520" w:type="dxa"/>
            <w:vAlign w:val="bottom"/>
          </w:tcPr>
          <w:p>
            <w:pPr>
              <w:ind w:left="80"/>
              <w:spacing w:after="0"/>
              <w:rPr>
                <w:sz w:val="20"/>
                <w:szCs w:val="20"/>
                <w:color w:val="auto"/>
              </w:rPr>
            </w:pPr>
            <w:r>
              <w:rPr>
                <w:rFonts w:ascii="Arial" w:cs="Arial" w:eastAsia="Arial" w:hAnsi="Arial"/>
                <w:sz w:val="13"/>
                <w:szCs w:val="13"/>
                <w:color w:val="auto"/>
                <w:w w:val="91"/>
              </w:rPr>
              <w:t>Positioning A Subscriber Terminal In A Packet-Switched Mobile Telephony Network</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Using Both Packet-Switched And Circuit-Switched Messages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ES2252306</w:t>
            </w:r>
          </w:p>
        </w:tc>
        <w:tc>
          <w:tcPr>
            <w:tcW w:w="4520" w:type="dxa"/>
            <w:vAlign w:val="bottom"/>
          </w:tcPr>
          <w:p>
            <w:pPr>
              <w:ind w:left="80"/>
              <w:spacing w:after="0"/>
              <w:rPr>
                <w:sz w:val="20"/>
                <w:szCs w:val="20"/>
                <w:color w:val="auto"/>
              </w:rPr>
            </w:pPr>
            <w:r>
              <w:rPr>
                <w:rFonts w:ascii="Arial" w:cs="Arial" w:eastAsia="Arial" w:hAnsi="Arial"/>
                <w:sz w:val="13"/>
                <w:szCs w:val="13"/>
                <w:color w:val="auto"/>
                <w:w w:val="91"/>
              </w:rPr>
              <w:t>Positioning A Subscriber Terminal In A Packet-Switched Mobile Telephony Network</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Using Both Packet-Switched And Circuit-Switched Messages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24-Oct-00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FI111044</w:t>
            </w:r>
          </w:p>
        </w:tc>
        <w:tc>
          <w:tcPr>
            <w:tcW w:w="4520" w:type="dxa"/>
            <w:vAlign w:val="bottom"/>
          </w:tcPr>
          <w:p>
            <w:pPr>
              <w:ind w:left="80"/>
              <w:spacing w:after="0"/>
              <w:rPr>
                <w:sz w:val="20"/>
                <w:szCs w:val="20"/>
                <w:color w:val="auto"/>
              </w:rPr>
            </w:pPr>
            <w:r>
              <w:rPr>
                <w:rFonts w:ascii="Arial" w:cs="Arial" w:eastAsia="Arial" w:hAnsi="Arial"/>
                <w:sz w:val="13"/>
                <w:szCs w:val="13"/>
                <w:color w:val="auto"/>
                <w:w w:val="91"/>
              </w:rPr>
              <w:t>Positioning A Subscriber Terminal In A Packet-Switched Mobile Telephony Network</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Using Both Packet-Switched And Circuit-Switched Messages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FR1330933</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w w:val="93"/>
              </w:rPr>
              <w:t>Association of TLLI And SCCP Connection To Enable Fast Deployment Of LCS In</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9"/>
              </w:rPr>
              <w:t>GB1330933</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w w:val="93"/>
              </w:rPr>
              <w:t>Association of TLLI And SCCP Connection To Enable Fast Deployment Of LCS In</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0"/>
              </w:rPr>
              <w:t>IT1330933</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w w:val="93"/>
              </w:rPr>
              <w:t>Association of TLLI And SCCP Connection To Enable Fast Deployment Of LCS In</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5"/>
              </w:rPr>
              <w:t>5-Sep-07</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JP4638470</w:t>
            </w:r>
          </w:p>
        </w:tc>
        <w:tc>
          <w:tcPr>
            <w:tcW w:w="4520" w:type="dxa"/>
            <w:vAlign w:val="bottom"/>
          </w:tcPr>
          <w:p>
            <w:pPr>
              <w:ind w:left="80"/>
              <w:spacing w:after="0"/>
              <w:rPr>
                <w:sz w:val="20"/>
                <w:szCs w:val="20"/>
                <w:color w:val="auto"/>
              </w:rPr>
            </w:pPr>
            <w:r>
              <w:rPr>
                <w:rFonts w:ascii="Arial" w:cs="Arial" w:eastAsia="Arial" w:hAnsi="Arial"/>
                <w:sz w:val="13"/>
                <w:szCs w:val="13"/>
                <w:color w:val="auto"/>
                <w:w w:val="91"/>
              </w:rPr>
              <w:t>Positioning A Subscriber Terminal In A Packet-Switched Mobile Telephony Network</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Using Both Packet-Switched And Circuit-Switched Messages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3"/>
              </w:rPr>
              <w:t>22-Apr-03</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KR509575</w:t>
            </w:r>
          </w:p>
        </w:tc>
        <w:tc>
          <w:tcPr>
            <w:tcW w:w="4520" w:type="dxa"/>
            <w:vAlign w:val="bottom"/>
          </w:tcPr>
          <w:p>
            <w:pPr>
              <w:ind w:left="80"/>
              <w:spacing w:after="0"/>
              <w:rPr>
                <w:sz w:val="20"/>
                <w:szCs w:val="20"/>
                <w:color w:val="auto"/>
              </w:rPr>
            </w:pPr>
            <w:r>
              <w:rPr>
                <w:rFonts w:ascii="Arial" w:cs="Arial" w:eastAsia="Arial" w:hAnsi="Arial"/>
                <w:sz w:val="13"/>
                <w:szCs w:val="13"/>
                <w:color w:val="auto"/>
                <w:w w:val="91"/>
              </w:rPr>
              <w:t>Positioning A Subscriber Terminal In A Packet-Switched Mobile Telephony Network</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Using Both Packet-Switched And Circuit-Switched Messages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2"/>
              </w:rPr>
              <w:t>NL1330933</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w w:val="93"/>
              </w:rPr>
              <w:t>Association of TLLI And SCCP Connection To Enable Fast Deployment Of LCS In</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SE1330933</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w w:val="93"/>
              </w:rPr>
              <w:t>Association of TLLI And SCCP Connection To Enable Fast Deployment Of LCS In</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3"/>
              </w:rPr>
              <w:t>SG95367</w:t>
            </w:r>
          </w:p>
        </w:tc>
        <w:tc>
          <w:tcPr>
            <w:tcW w:w="4520" w:type="dxa"/>
            <w:vAlign w:val="bottom"/>
          </w:tcPr>
          <w:p>
            <w:pPr>
              <w:ind w:left="80"/>
              <w:spacing w:after="0"/>
              <w:rPr>
                <w:sz w:val="20"/>
                <w:szCs w:val="20"/>
                <w:color w:val="auto"/>
              </w:rPr>
            </w:pPr>
            <w:r>
              <w:rPr>
                <w:rFonts w:ascii="Arial" w:cs="Arial" w:eastAsia="Arial" w:hAnsi="Arial"/>
                <w:sz w:val="13"/>
                <w:szCs w:val="13"/>
                <w:color w:val="auto"/>
                <w:w w:val="91"/>
              </w:rPr>
              <w:t>Positioning A Subscriber Terminal In A Packet-Switched Mobile Telephony Network</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Using Both Packet-Switched And Circuit-Switched Messages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23-Oct-01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US7126940</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w w:val="91"/>
              </w:rPr>
              <w:t>Positioning A Subscriber Terminal In A Packet-Switched Mobile Telephone Network</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18-Oct-01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0"/>
              </w:rPr>
              <w:t>ZA200303108</w:t>
            </w:r>
          </w:p>
        </w:tc>
        <w:tc>
          <w:tcPr>
            <w:tcW w:w="4520" w:type="dxa"/>
            <w:vAlign w:val="bottom"/>
          </w:tcPr>
          <w:p>
            <w:pPr>
              <w:ind w:left="80"/>
              <w:spacing w:after="0"/>
              <w:rPr>
                <w:sz w:val="20"/>
                <w:szCs w:val="20"/>
                <w:color w:val="auto"/>
              </w:rPr>
            </w:pPr>
            <w:r>
              <w:rPr>
                <w:rFonts w:ascii="Arial" w:cs="Arial" w:eastAsia="Arial" w:hAnsi="Arial"/>
                <w:sz w:val="13"/>
                <w:szCs w:val="13"/>
                <w:color w:val="auto"/>
                <w:w w:val="91"/>
              </w:rPr>
              <w:t>Positioning A Subscriber Terminal In A Packet-Switched Mobile Telephony Network</w:t>
            </w:r>
          </w:p>
        </w:tc>
        <w:tc>
          <w:tcPr>
            <w:tcW w:w="1960" w:type="dxa"/>
            <w:vAlign w:val="bottom"/>
          </w:tcPr>
          <w:p>
            <w:pPr>
              <w:ind w:left="60"/>
              <w:spacing w:after="0"/>
              <w:rPr>
                <w:sz w:val="20"/>
                <w:szCs w:val="20"/>
                <w:color w:val="auto"/>
              </w:rPr>
            </w:pPr>
            <w:r>
              <w:rPr>
                <w:rFonts w:ascii="Arial" w:cs="Arial" w:eastAsia="Arial" w:hAnsi="Arial"/>
                <w:sz w:val="13"/>
                <w:szCs w:val="13"/>
                <w:color w:val="auto"/>
                <w:w w:val="98"/>
              </w:rPr>
              <w:t>Vaenttinen Veijo [Fi] Rajala Jussi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Using Both Packet-Switched And Circuit-Switched Messages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8"/>
              </w:rPr>
              <w:t>19-Jul-04</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US7647374</w:t>
            </w:r>
          </w:p>
        </w:tc>
        <w:tc>
          <w:tcPr>
            <w:tcW w:w="4520" w:type="dxa"/>
            <w:vAlign w:val="bottom"/>
          </w:tcPr>
          <w:p>
            <w:pPr>
              <w:ind w:left="80"/>
              <w:spacing w:after="0"/>
              <w:rPr>
                <w:sz w:val="20"/>
                <w:szCs w:val="20"/>
                <w:color w:val="auto"/>
              </w:rPr>
            </w:pPr>
            <w:r>
              <w:rPr>
                <w:rFonts w:ascii="Arial" w:cs="Arial" w:eastAsia="Arial" w:hAnsi="Arial"/>
                <w:sz w:val="13"/>
                <w:szCs w:val="13"/>
                <w:color w:val="auto"/>
                <w:w w:val="89"/>
              </w:rPr>
              <w:t>Method For Managing Sessions Between Network Parties, Methods, Network Element</w:t>
            </w:r>
          </w:p>
        </w:tc>
        <w:tc>
          <w:tcPr>
            <w:tcW w:w="1960" w:type="dxa"/>
            <w:vAlign w:val="bottom"/>
          </w:tcPr>
          <w:p>
            <w:pPr>
              <w:ind w:left="60"/>
              <w:spacing w:after="0"/>
              <w:rPr>
                <w:sz w:val="20"/>
                <w:szCs w:val="20"/>
                <w:color w:val="auto"/>
              </w:rPr>
            </w:pPr>
            <w:r>
              <w:rPr>
                <w:rFonts w:ascii="Arial" w:cs="Arial" w:eastAsia="Arial" w:hAnsi="Arial"/>
                <w:sz w:val="13"/>
                <w:szCs w:val="13"/>
                <w:color w:val="auto"/>
              </w:rPr>
              <w:t>Rajahalme Jarno [Fr] Bouret</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And Terminal For Managing Calls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Christopher [Fi]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77"/>
              <w:spacing w:after="0"/>
              <w:rPr>
                <w:sz w:val="20"/>
                <w:szCs w:val="20"/>
                <w:color w:val="auto"/>
              </w:rPr>
            </w:pPr>
            <w:r>
              <w:rPr>
                <w:rFonts w:ascii="Arial" w:cs="Arial" w:eastAsia="Arial" w:hAnsi="Arial"/>
                <w:sz w:val="13"/>
                <w:szCs w:val="13"/>
                <w:color w:val="auto"/>
                <w:w w:val="87"/>
              </w:rPr>
              <w:t>Pending</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11-Mar-03</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EP1500012</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System And Method For Charging For Data Reception</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w w:val="91"/>
              </w:rPr>
              <w:t>Grundstrom Mika [Fi] Salo Juha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4520" w:type="dxa"/>
            <w:vAlign w:val="bottom"/>
            <w:vMerge w:val="continue"/>
          </w:tcPr>
          <w:p>
            <w:pPr>
              <w:spacing w:after="0"/>
              <w:rPr>
                <w:sz w:val="13"/>
                <w:szCs w:val="13"/>
                <w:color w:val="auto"/>
              </w:rPr>
            </w:pPr>
          </w:p>
        </w:tc>
        <w:tc>
          <w:tcPr>
            <w:tcW w:w="1960" w:type="dxa"/>
            <w:vAlign w:val="bottom"/>
            <w:vMerge w:val="continue"/>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11-Mar-03</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9"/>
              </w:rPr>
              <w:t>CN1701329</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System And Method For Charging For Data Reception</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w w:val="91"/>
              </w:rPr>
              <w:t>Grundstrom Mika [Fi] Salo Juha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4520" w:type="dxa"/>
            <w:vAlign w:val="bottom"/>
            <w:vMerge w:val="continue"/>
          </w:tcPr>
          <w:p>
            <w:pPr>
              <w:spacing w:after="0"/>
              <w:rPr>
                <w:sz w:val="13"/>
                <w:szCs w:val="13"/>
                <w:color w:val="auto"/>
              </w:rPr>
            </w:pPr>
          </w:p>
        </w:tc>
        <w:tc>
          <w:tcPr>
            <w:tcW w:w="1960" w:type="dxa"/>
            <w:vAlign w:val="bottom"/>
            <w:vMerge w:val="continue"/>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12-Mar-02</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US7860806</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System And Method For Charging For Data Reception</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w w:val="91"/>
              </w:rPr>
              <w:t>Grundstrom Mika [Fi] Salo Juha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4520" w:type="dxa"/>
            <w:vAlign w:val="bottom"/>
            <w:vMerge w:val="continue"/>
          </w:tcPr>
          <w:p>
            <w:pPr>
              <w:spacing w:after="0"/>
              <w:rPr>
                <w:sz w:val="13"/>
                <w:szCs w:val="13"/>
                <w:color w:val="auto"/>
              </w:rPr>
            </w:pPr>
          </w:p>
        </w:tc>
        <w:tc>
          <w:tcPr>
            <w:tcW w:w="1960" w:type="dxa"/>
            <w:vAlign w:val="bottom"/>
            <w:vMerge w:val="continue"/>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2"/>
              </w:rPr>
              <w:t>23-Nov-01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EP1451994</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Method And System For Handling Network Congestion</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Kilkki Kalevi [Fi] Ruutu Jussi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0"/>
              </w:rPr>
              <w:t>10-May-04</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US7782777</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Method And System For Handling Network Congestion</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Kilkki Kalevi [Fi] Ruutu Jussi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20-Mar-03</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9"/>
              </w:rPr>
              <w:t>DE60307707.2</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Simple Admission Control For IP Based Networks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Lakkakorpi Jani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20-Mar-03</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EP1347603</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Simple Admission Control For IP Based Radio Access Networks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Lakkakorpi Jani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20-Mar-03</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FR1347603</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Simple Admission Control For IP Based Radio Access Networks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Lakkakorpi Jani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22-Mar-02</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US7489632</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Simple Admission Control For IP Based Networks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Lakkakorpi Jani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0"/>
              </w:rPr>
              <w:t>9-May-95</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US5682600</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Method For Starting A Short Message Transmission</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Salin Hannupekka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tcPr>
          <w:p>
            <w:pPr>
              <w:jc w:val="center"/>
              <w:spacing w:after="0"/>
              <w:rPr>
                <w:sz w:val="20"/>
                <w:szCs w:val="20"/>
                <w:color w:val="auto"/>
              </w:rPr>
            </w:pPr>
            <w:r>
              <w:rPr>
                <w:rFonts w:ascii="Arial" w:cs="Arial" w:eastAsia="Arial" w:hAnsi="Arial"/>
                <w:sz w:val="13"/>
                <w:szCs w:val="13"/>
                <w:color w:val="auto"/>
                <w:w w:val="85"/>
              </w:rPr>
              <w:t>24-Sep-93</w:t>
            </w:r>
          </w:p>
        </w:tc>
        <w:tc>
          <w:tcPr>
            <w:tcW w:w="920" w:type="dxa"/>
            <w:vAlign w:val="bottom"/>
          </w:tcPr>
          <w:p>
            <w:pPr>
              <w:jc w:val="center"/>
              <w:spacing w:after="0"/>
              <w:rPr>
                <w:sz w:val="20"/>
                <w:szCs w:val="20"/>
                <w:color w:val="auto"/>
              </w:rPr>
            </w:pPr>
            <w:r>
              <w:rPr>
                <w:rFonts w:ascii="Arial" w:cs="Arial" w:eastAsia="Arial" w:hAnsi="Arial"/>
                <w:sz w:val="13"/>
                <w:szCs w:val="13"/>
                <w:color w:val="auto"/>
                <w:w w:val="87"/>
              </w:rPr>
              <w:t>DE69331152.5</w:t>
            </w:r>
          </w:p>
        </w:tc>
        <w:tc>
          <w:tcPr>
            <w:tcW w:w="4520" w:type="dxa"/>
            <w:vAlign w:val="bottom"/>
          </w:tcPr>
          <w:p>
            <w:pPr>
              <w:ind w:left="80"/>
              <w:spacing w:after="0"/>
              <w:rPr>
                <w:sz w:val="20"/>
                <w:szCs w:val="20"/>
                <w:color w:val="auto"/>
              </w:rPr>
            </w:pPr>
            <w:r>
              <w:rPr>
                <w:rFonts w:ascii="Arial" w:cs="Arial" w:eastAsia="Arial" w:hAnsi="Arial"/>
                <w:sz w:val="13"/>
                <w:szCs w:val="13"/>
                <w:color w:val="auto"/>
              </w:rPr>
              <w:t>Soft Handoff In A Cellular Telecommunications System</w:t>
            </w:r>
          </w:p>
        </w:tc>
        <w:tc>
          <w:tcPr>
            <w:tcW w:w="1960" w:type="dxa"/>
            <w:vAlign w:val="bottom"/>
          </w:tcPr>
          <w:p>
            <w:pPr>
              <w:ind w:left="60"/>
              <w:spacing w:after="0"/>
              <w:rPr>
                <w:sz w:val="20"/>
                <w:szCs w:val="20"/>
                <w:color w:val="auto"/>
              </w:rPr>
            </w:pPr>
            <w:r>
              <w:rPr>
                <w:rFonts w:ascii="Arial" w:cs="Arial" w:eastAsia="Arial" w:hAnsi="Arial"/>
                <w:sz w:val="13"/>
                <w:szCs w:val="13"/>
                <w:color w:val="auto"/>
              </w:rPr>
              <w:t>Peter Muszynski [Fi]</w:t>
            </w:r>
          </w:p>
        </w:tc>
        <w:tc>
          <w:tcPr>
            <w:tcW w:w="48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12"/>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5"/>
              </w:rPr>
              <w:t>24-Sep-93</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8"/>
              </w:rPr>
              <w:t>EP720805</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Soft Handoff In A Cellular Telecommunications System</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Peter Muszynski[Fi]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tcPr>
          <w:p>
            <w:pPr>
              <w:jc w:val="center"/>
              <w:spacing w:after="0"/>
              <w:rPr>
                <w:sz w:val="20"/>
                <w:szCs w:val="20"/>
                <w:color w:val="auto"/>
              </w:rPr>
            </w:pPr>
            <w:r>
              <w:rPr>
                <w:rFonts w:ascii="Arial" w:cs="Arial" w:eastAsia="Arial" w:hAnsi="Arial"/>
                <w:sz w:val="13"/>
                <w:szCs w:val="13"/>
                <w:color w:val="auto"/>
                <w:w w:val="85"/>
              </w:rPr>
              <w:t>14-Jun-96</w:t>
            </w:r>
          </w:p>
        </w:tc>
        <w:tc>
          <w:tcPr>
            <w:tcW w:w="920" w:type="dxa"/>
            <w:vAlign w:val="bottom"/>
          </w:tcPr>
          <w:p>
            <w:pPr>
              <w:jc w:val="center"/>
              <w:spacing w:after="0"/>
              <w:rPr>
                <w:sz w:val="20"/>
                <w:szCs w:val="20"/>
                <w:color w:val="auto"/>
              </w:rPr>
            </w:pPr>
            <w:r>
              <w:rPr>
                <w:rFonts w:ascii="Arial" w:cs="Arial" w:eastAsia="Arial" w:hAnsi="Arial"/>
                <w:sz w:val="13"/>
                <w:szCs w:val="13"/>
                <w:color w:val="auto"/>
                <w:w w:val="87"/>
              </w:rPr>
              <w:t>US5722074</w:t>
            </w:r>
          </w:p>
        </w:tc>
        <w:tc>
          <w:tcPr>
            <w:tcW w:w="4520" w:type="dxa"/>
            <w:vAlign w:val="bottom"/>
          </w:tcPr>
          <w:p>
            <w:pPr>
              <w:ind w:left="80"/>
              <w:spacing w:after="0"/>
              <w:rPr>
                <w:sz w:val="20"/>
                <w:szCs w:val="20"/>
                <w:color w:val="auto"/>
              </w:rPr>
            </w:pPr>
            <w:r>
              <w:rPr>
                <w:rFonts w:ascii="Arial" w:cs="Arial" w:eastAsia="Arial" w:hAnsi="Arial"/>
                <w:sz w:val="13"/>
                <w:szCs w:val="13"/>
                <w:color w:val="auto"/>
              </w:rPr>
              <w:t>Soft Handoff In A Cellular Telecommunications System</w:t>
            </w:r>
          </w:p>
        </w:tc>
        <w:tc>
          <w:tcPr>
            <w:tcW w:w="1960" w:type="dxa"/>
            <w:vAlign w:val="bottom"/>
          </w:tcPr>
          <w:p>
            <w:pPr>
              <w:ind w:left="60"/>
              <w:spacing w:after="0"/>
              <w:rPr>
                <w:sz w:val="20"/>
                <w:szCs w:val="20"/>
                <w:color w:val="auto"/>
              </w:rPr>
            </w:pPr>
            <w:r>
              <w:rPr>
                <w:rFonts w:ascii="Arial" w:cs="Arial" w:eastAsia="Arial" w:hAnsi="Arial"/>
                <w:sz w:val="13"/>
                <w:szCs w:val="13"/>
                <w:color w:val="auto"/>
              </w:rPr>
              <w:t>Peter Muszynski[Fi]</w:t>
            </w:r>
          </w:p>
        </w:tc>
        <w:tc>
          <w:tcPr>
            <w:tcW w:w="48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12"/>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5"/>
              </w:rPr>
              <w:t>20-Sep-93</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EP0656167</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Method For Call Establishment</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Mäenpää, Sanaa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6"/>
              </w:rPr>
              <w:t>23-Feb-95</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US5600705</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Method For Call Establishment</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Mäenpää, Sanaa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3"/>
              </w:rPr>
              <w:t>29-Apr-03</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EP1500209</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Method For Limiting Signal And Transmitter</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Pajukoski Kari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20-Mar-03</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9"/>
              </w:rPr>
              <w:t>GB1500209</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New Clipping Method</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Pajukoski Kari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19-Oct-04</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US7940857</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Method For Limiting Signal And Transmitter</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Pajukoski Kari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tcPr>
          <w:p>
            <w:pPr>
              <w:jc w:val="center"/>
              <w:spacing w:after="0"/>
              <w:rPr>
                <w:sz w:val="20"/>
                <w:szCs w:val="20"/>
                <w:color w:val="auto"/>
              </w:rPr>
            </w:pPr>
            <w:r>
              <w:rPr>
                <w:rFonts w:ascii="Arial" w:cs="Arial" w:eastAsia="Arial" w:hAnsi="Arial"/>
                <w:sz w:val="13"/>
                <w:szCs w:val="13"/>
                <w:color w:val="auto"/>
                <w:w w:val="89"/>
              </w:rPr>
              <w:t>1-Dec-03</w:t>
            </w:r>
          </w:p>
        </w:tc>
        <w:tc>
          <w:tcPr>
            <w:tcW w:w="920" w:type="dxa"/>
            <w:vAlign w:val="bottom"/>
          </w:tcPr>
          <w:p>
            <w:pPr>
              <w:jc w:val="center"/>
              <w:spacing w:after="0"/>
              <w:rPr>
                <w:sz w:val="20"/>
                <w:szCs w:val="20"/>
                <w:color w:val="auto"/>
              </w:rPr>
            </w:pPr>
            <w:r>
              <w:rPr>
                <w:rFonts w:ascii="Arial" w:cs="Arial" w:eastAsia="Arial" w:hAnsi="Arial"/>
                <w:sz w:val="13"/>
                <w:szCs w:val="13"/>
                <w:color w:val="auto"/>
                <w:w w:val="90"/>
              </w:rPr>
              <w:t>DE1579640</w:t>
            </w:r>
          </w:p>
        </w:tc>
        <w:tc>
          <w:tcPr>
            <w:tcW w:w="4520" w:type="dxa"/>
            <w:vAlign w:val="bottom"/>
          </w:tcPr>
          <w:p>
            <w:pPr>
              <w:ind w:left="80"/>
              <w:spacing w:after="0"/>
              <w:rPr>
                <w:sz w:val="20"/>
                <w:szCs w:val="20"/>
                <w:color w:val="auto"/>
              </w:rPr>
            </w:pPr>
            <w:r>
              <w:rPr>
                <w:rFonts w:ascii="Arial" w:cs="Arial" w:eastAsia="Arial" w:hAnsi="Arial"/>
                <w:sz w:val="13"/>
                <w:szCs w:val="13"/>
                <w:color w:val="auto"/>
              </w:rPr>
              <w:t>Scheduling Retransmission In Access Networks</w:t>
            </w:r>
          </w:p>
        </w:tc>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1-Dec-03</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EP1579640</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Scheduling Retransmission In Radio Access Networks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Wigard Jeroen [Dk] Kolding Troels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[Dk] (+4)</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1-Dec-03</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ES2416357</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Scheduling Retransmission In Access Networks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Wigard Jeroen [Dk] Kolding Troels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[Dk] (+4)</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9"/>
              </w:rPr>
              <w:t>1-Dec-03</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FR1579640</w:t>
            </w: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Scheduling Retransmission In Access Networks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Wigard Jeroen [Dk] Kolding Troels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[Dk] (+4)</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-10254615</wp:posOffset>
            </wp:positionV>
            <wp:extent cx="7246620" cy="2571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-9739630</wp:posOffset>
            </wp:positionV>
            <wp:extent cx="7246620" cy="2571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-9225280</wp:posOffset>
            </wp:positionV>
            <wp:extent cx="7246620" cy="2571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-8710930</wp:posOffset>
            </wp:positionV>
            <wp:extent cx="7246620" cy="2571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-8195945</wp:posOffset>
            </wp:positionV>
            <wp:extent cx="7246620" cy="2571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-7681595</wp:posOffset>
            </wp:positionV>
            <wp:extent cx="7246620" cy="2571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-7167245</wp:posOffset>
            </wp:positionV>
            <wp:extent cx="7246620" cy="2571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-6652895</wp:posOffset>
            </wp:positionV>
            <wp:extent cx="7246620" cy="2571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-6137910</wp:posOffset>
            </wp:positionV>
            <wp:extent cx="7246620" cy="2571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-5623560</wp:posOffset>
            </wp:positionV>
            <wp:extent cx="7246620" cy="2571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-5109210</wp:posOffset>
            </wp:positionV>
            <wp:extent cx="7246620" cy="2571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-4594225</wp:posOffset>
            </wp:positionV>
            <wp:extent cx="7246620" cy="2571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-4079875</wp:posOffset>
            </wp:positionV>
            <wp:extent cx="7246620" cy="2571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-3565525</wp:posOffset>
            </wp:positionV>
            <wp:extent cx="7246620" cy="2571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-3050540</wp:posOffset>
            </wp:positionV>
            <wp:extent cx="7246620" cy="2571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-2536190</wp:posOffset>
            </wp:positionV>
            <wp:extent cx="7246620" cy="2571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-2021840</wp:posOffset>
            </wp:positionV>
            <wp:extent cx="7246620" cy="2571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-1506855</wp:posOffset>
            </wp:positionV>
            <wp:extent cx="7246620" cy="2571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-992505</wp:posOffset>
            </wp:positionV>
            <wp:extent cx="7246620" cy="2571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-478155</wp:posOffset>
            </wp:positionV>
            <wp:extent cx="7246620" cy="2571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36195</wp:posOffset>
            </wp:positionV>
            <wp:extent cx="7246620" cy="533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53340"/>
                    </a:xfrm>
                    <a:prstGeom prst="rect">
                      <a:avLst/>
                    </a:prstGeom>
                    <a:noFill/>
                  </pic:spPr>
                </pic:pic>
              </a:graphicData>
            </a:graphic>
          </wp:anchor>
        </w:drawing>
      </w:r>
    </w:p>
    <w:p>
      <w:pPr>
        <w:sectPr>
          <w:pgSz w:w="11900" w:h="16838" w:orient="portrait"/>
          <w:cols w:equalWidth="0" w:num="2">
            <w:col w:w="1800" w:space="300"/>
            <w:col w:w="9220"/>
          </w:cols>
          <w:pgMar w:left="280" w:top="111" w:right="299" w:bottom="0" w:gutter="0" w:footer="0" w:header="0"/>
        </w:sectPr>
      </w:pPr>
    </w:p>
    <w:bookmarkStart w:id="103" w:name="page104"/>
    <w:bookmarkEnd w:id="103"/>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40" w:type="dxa"/>
            <w:vAlign w:val="bottom"/>
          </w:tcPr>
          <w:p>
            <w:pPr>
              <w:jc w:val="center"/>
              <w:spacing w:after="0"/>
              <w:rPr>
                <w:sz w:val="20"/>
                <w:szCs w:val="20"/>
                <w:color w:val="auto"/>
              </w:rPr>
            </w:pPr>
            <w:r>
              <w:rPr>
                <w:rFonts w:ascii="Arial" w:cs="Arial" w:eastAsia="Arial" w:hAnsi="Arial"/>
                <w:sz w:val="13"/>
                <w:szCs w:val="13"/>
                <w:color w:val="auto"/>
                <w:w w:val="94"/>
              </w:rPr>
              <w:t>A23857VI-</w:t>
            </w:r>
          </w:p>
        </w:tc>
        <w:tc>
          <w:tcPr>
            <w:tcW w:w="880" w:type="dxa"/>
            <w:vAlign w:val="bottom"/>
          </w:tcPr>
          <w:p>
            <w:pPr>
              <w:jc w:val="center"/>
              <w:spacing w:after="0"/>
              <w:rPr>
                <w:sz w:val="20"/>
                <w:szCs w:val="20"/>
                <w:color w:val="auto"/>
              </w:rPr>
            </w:pPr>
            <w:r>
              <w:rPr>
                <w:rFonts w:ascii="Arial" w:cs="Arial" w:eastAsia="Arial" w:hAnsi="Arial"/>
                <w:sz w:val="13"/>
                <w:szCs w:val="13"/>
                <w:color w:val="auto"/>
                <w:w w:val="90"/>
              </w:rPr>
              <w:t>Vringo</w:t>
            </w:r>
          </w:p>
        </w:tc>
        <w:tc>
          <w:tcPr>
            <w:tcW w:w="280" w:type="dxa"/>
            <w:vAlign w:val="bottom"/>
          </w:tcPr>
          <w:p>
            <w:pPr>
              <w:ind w:left="100"/>
              <w:spacing w:after="0"/>
              <w:rPr>
                <w:sz w:val="20"/>
                <w:szCs w:val="20"/>
                <w:color w:val="auto"/>
              </w:rPr>
            </w:pPr>
            <w:r>
              <w:rPr>
                <w:rFonts w:ascii="Arial" w:cs="Arial" w:eastAsia="Arial" w:hAnsi="Arial"/>
                <w:sz w:val="13"/>
                <w:szCs w:val="13"/>
                <w:color w:val="auto"/>
                <w:w w:val="84"/>
              </w:rPr>
              <w:t>GB</w:t>
            </w:r>
          </w:p>
        </w:tc>
        <w:tc>
          <w:tcPr>
            <w:tcW w:w="0" w:type="dxa"/>
            <w:vAlign w:val="bottom"/>
          </w:tcPr>
          <w:p>
            <w:pPr>
              <w:spacing w:after="0"/>
              <w:rPr>
                <w:sz w:val="1"/>
                <w:szCs w:val="1"/>
                <w:color w:val="auto"/>
              </w:rPr>
            </w:pPr>
          </w:p>
        </w:tc>
      </w:tr>
      <w:tr>
        <w:trPr>
          <w:trHeight w:val="135"/>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A23857VI-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20"/>
              <w:spacing w:after="0" w:line="123" w:lineRule="exact"/>
              <w:rPr>
                <w:sz w:val="20"/>
                <w:szCs w:val="20"/>
                <w:color w:val="auto"/>
              </w:rPr>
            </w:pPr>
            <w:r>
              <w:rPr>
                <w:rFonts w:ascii="Arial" w:cs="Arial" w:eastAsia="Arial" w:hAnsi="Arial"/>
                <w:sz w:val="13"/>
                <w:szCs w:val="13"/>
                <w:color w:val="auto"/>
                <w:w w:val="83"/>
              </w:rPr>
              <w:t>NL</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NL01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A23857VI-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20"/>
              <w:spacing w:after="0" w:line="123" w:lineRule="exact"/>
              <w:rPr>
                <w:sz w:val="20"/>
                <w:szCs w:val="20"/>
                <w:color w:val="auto"/>
              </w:rPr>
            </w:pPr>
            <w:r>
              <w:rPr>
                <w:rFonts w:ascii="Arial" w:cs="Arial" w:eastAsia="Arial" w:hAnsi="Arial"/>
                <w:sz w:val="13"/>
                <w:szCs w:val="13"/>
                <w:color w:val="auto"/>
                <w:w w:val="77"/>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A2390VI-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ind w:left="100"/>
              <w:spacing w:after="0" w:line="135" w:lineRule="exact"/>
              <w:rPr>
                <w:sz w:val="20"/>
                <w:szCs w:val="20"/>
                <w:color w:val="auto"/>
              </w:rPr>
            </w:pPr>
            <w:r>
              <w:rPr>
                <w:rFonts w:ascii="Arial" w:cs="Arial" w:eastAsia="Arial" w:hAnsi="Arial"/>
                <w:sz w:val="13"/>
                <w:szCs w:val="13"/>
                <w:color w:val="auto"/>
                <w:w w:val="84"/>
              </w:rPr>
              <w:t>CN</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0"/>
              </w:rPr>
              <w:t>CN01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A2390VI-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ind w:left="120"/>
              <w:spacing w:after="0" w:line="135" w:lineRule="exact"/>
              <w:rPr>
                <w:sz w:val="20"/>
                <w:szCs w:val="20"/>
                <w:color w:val="auto"/>
              </w:rPr>
            </w:pPr>
            <w:r>
              <w:rPr>
                <w:rFonts w:ascii="Arial" w:cs="Arial" w:eastAsia="Arial" w:hAnsi="Arial"/>
                <w:sz w:val="13"/>
                <w:szCs w:val="13"/>
                <w:color w:val="auto"/>
                <w:w w:val="80"/>
              </w:rPr>
              <w:t>EP</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1"/>
              </w:rPr>
              <w:t>EP01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A2390VI-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ind w:left="120"/>
              <w:spacing w:after="0" w:line="135" w:lineRule="exact"/>
              <w:rPr>
                <w:sz w:val="20"/>
                <w:szCs w:val="20"/>
                <w:color w:val="auto"/>
              </w:rPr>
            </w:pPr>
            <w:r>
              <w:rPr>
                <w:rFonts w:ascii="Arial" w:cs="Arial" w:eastAsia="Arial" w:hAnsi="Arial"/>
                <w:sz w:val="13"/>
                <w:szCs w:val="13"/>
                <w:color w:val="auto"/>
                <w:w w:val="77"/>
              </w:rPr>
              <w:t>US</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8"/>
        </w:trPr>
        <w:tc>
          <w:tcPr>
            <w:tcW w:w="640" w:type="dxa"/>
            <w:vAlign w:val="bottom"/>
          </w:tcPr>
          <w:p>
            <w:pPr>
              <w:spacing w:after="0"/>
              <w:rPr>
                <w:sz w:val="6"/>
                <w:szCs w:val="6"/>
                <w:color w:val="auto"/>
              </w:rPr>
            </w:pPr>
          </w:p>
        </w:tc>
        <w:tc>
          <w:tcPr>
            <w:tcW w:w="880" w:type="dxa"/>
            <w:vAlign w:val="bottom"/>
          </w:tcPr>
          <w:p>
            <w:pPr>
              <w:jc w:val="center"/>
              <w:spacing w:after="0" w:line="78" w:lineRule="exact"/>
              <w:rPr>
                <w:sz w:val="20"/>
                <w:szCs w:val="20"/>
                <w:color w:val="auto"/>
              </w:rPr>
            </w:pPr>
            <w:r>
              <w:rPr>
                <w:rFonts w:ascii="Arial" w:cs="Arial" w:eastAsia="Arial" w:hAnsi="Arial"/>
                <w:sz w:val="8"/>
                <w:szCs w:val="8"/>
                <w:color w:val="auto"/>
              </w:rPr>
              <w:t>Vringo</w:t>
            </w: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1-Dec-03</w:t>
            </w:r>
          </w:p>
        </w:tc>
        <w:tc>
          <w:tcPr>
            <w:tcW w:w="860" w:type="dxa"/>
            <w:vAlign w:val="bottom"/>
          </w:tcPr>
          <w:p>
            <w:pPr>
              <w:jc w:val="center"/>
              <w:spacing w:after="0"/>
              <w:rPr>
                <w:sz w:val="20"/>
                <w:szCs w:val="20"/>
                <w:color w:val="auto"/>
              </w:rPr>
            </w:pPr>
            <w:r>
              <w:rPr>
                <w:rFonts w:ascii="Arial" w:cs="Arial" w:eastAsia="Arial" w:hAnsi="Arial"/>
                <w:sz w:val="13"/>
                <w:szCs w:val="13"/>
                <w:color w:val="auto"/>
                <w:w w:val="89"/>
              </w:rPr>
              <w:t>GB1579640</w:t>
            </w:r>
          </w:p>
        </w:tc>
        <w:tc>
          <w:tcPr>
            <w:tcW w:w="3920" w:type="dxa"/>
            <w:vAlign w:val="bottom"/>
          </w:tcPr>
          <w:p>
            <w:pPr>
              <w:ind w:left="120"/>
              <w:spacing w:after="0"/>
              <w:rPr>
                <w:sz w:val="20"/>
                <w:szCs w:val="20"/>
                <w:color w:val="auto"/>
              </w:rPr>
            </w:pPr>
            <w:r>
              <w:rPr>
                <w:rFonts w:ascii="Arial" w:cs="Arial" w:eastAsia="Arial" w:hAnsi="Arial"/>
                <w:sz w:val="13"/>
                <w:szCs w:val="13"/>
                <w:color w:val="auto"/>
              </w:rPr>
              <w:t>Scheduling Retransmission In Access Networks</w:t>
            </w:r>
          </w:p>
        </w:tc>
        <w:tc>
          <w:tcPr>
            <w:tcW w:w="2560" w:type="dxa"/>
            <w:vAlign w:val="bottom"/>
          </w:tcPr>
          <w:p>
            <w:pPr>
              <w:ind w:left="700"/>
              <w:spacing w:after="0"/>
              <w:rPr>
                <w:sz w:val="20"/>
                <w:szCs w:val="20"/>
                <w:color w:val="auto"/>
              </w:rPr>
            </w:pPr>
            <w:r>
              <w:rPr>
                <w:rFonts w:ascii="Arial" w:cs="Arial" w:eastAsia="Arial" w:hAnsi="Arial"/>
                <w:sz w:val="13"/>
                <w:szCs w:val="13"/>
                <w:color w:val="auto"/>
                <w:w w:val="92"/>
              </w:rPr>
              <w:t>Wigard Jeroen [Dk] Kolding Troels</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560" w:type="dxa"/>
            <w:vAlign w:val="bottom"/>
          </w:tcPr>
          <w:p>
            <w:pPr>
              <w:ind w:left="700"/>
              <w:spacing w:after="0"/>
              <w:rPr>
                <w:sz w:val="20"/>
                <w:szCs w:val="20"/>
                <w:color w:val="auto"/>
              </w:rPr>
            </w:pPr>
            <w:r>
              <w:rPr>
                <w:rFonts w:ascii="Arial" w:cs="Arial" w:eastAsia="Arial" w:hAnsi="Arial"/>
                <w:sz w:val="13"/>
                <w:szCs w:val="13"/>
                <w:color w:val="auto"/>
              </w:rPr>
              <w:t>[Dk] (+4)</w:t>
            </w:r>
          </w:p>
        </w:tc>
        <w:tc>
          <w:tcPr>
            <w:tcW w:w="52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312"/>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9"/>
              </w:rPr>
              <w:t>1-Dec-03</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2"/>
              </w:rPr>
              <w:t>NL1579640</w:t>
            </w:r>
          </w:p>
        </w:tc>
        <w:tc>
          <w:tcPr>
            <w:tcW w:w="3920" w:type="dxa"/>
            <w:vAlign w:val="bottom"/>
            <w:vMerge w:val="restart"/>
          </w:tcPr>
          <w:p>
            <w:pPr>
              <w:ind w:left="120"/>
              <w:spacing w:after="0"/>
              <w:rPr>
                <w:sz w:val="20"/>
                <w:szCs w:val="20"/>
                <w:color w:val="auto"/>
              </w:rPr>
            </w:pPr>
            <w:r>
              <w:rPr>
                <w:rFonts w:ascii="Arial" w:cs="Arial" w:eastAsia="Arial" w:hAnsi="Arial"/>
                <w:sz w:val="13"/>
                <w:szCs w:val="13"/>
                <w:color w:val="auto"/>
              </w:rPr>
              <w:t>Scheduling Retransmission In Access Networks</w:t>
            </w:r>
          </w:p>
        </w:tc>
        <w:tc>
          <w:tcPr>
            <w:tcW w:w="2560" w:type="dxa"/>
            <w:vAlign w:val="bottom"/>
          </w:tcPr>
          <w:p>
            <w:pPr>
              <w:ind w:left="700"/>
              <w:spacing w:after="0"/>
              <w:rPr>
                <w:sz w:val="20"/>
                <w:szCs w:val="20"/>
                <w:color w:val="auto"/>
              </w:rPr>
            </w:pPr>
            <w:r>
              <w:rPr>
                <w:rFonts w:ascii="Arial" w:cs="Arial" w:eastAsia="Arial" w:hAnsi="Arial"/>
                <w:sz w:val="13"/>
                <w:szCs w:val="13"/>
                <w:color w:val="auto"/>
                <w:w w:val="92"/>
              </w:rPr>
              <w:t>Wigard Jeroen [Dk] Kolding Troels</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3920" w:type="dxa"/>
            <w:vAlign w:val="bottom"/>
            <w:vMerge w:val="continue"/>
          </w:tcPr>
          <w:p>
            <w:pPr>
              <w:spacing w:after="0"/>
              <w:rPr>
                <w:sz w:val="8"/>
                <w:szCs w:val="8"/>
                <w:color w:val="auto"/>
              </w:rPr>
            </w:pPr>
          </w:p>
        </w:tc>
        <w:tc>
          <w:tcPr>
            <w:tcW w:w="2560" w:type="dxa"/>
            <w:vAlign w:val="bottom"/>
            <w:vMerge w:val="restart"/>
          </w:tcPr>
          <w:p>
            <w:pPr>
              <w:ind w:left="700"/>
              <w:spacing w:after="0"/>
              <w:rPr>
                <w:sz w:val="20"/>
                <w:szCs w:val="20"/>
                <w:color w:val="auto"/>
              </w:rPr>
            </w:pPr>
            <w:r>
              <w:rPr>
                <w:rFonts w:ascii="Arial" w:cs="Arial" w:eastAsia="Arial" w:hAnsi="Arial"/>
                <w:sz w:val="13"/>
                <w:szCs w:val="13"/>
                <w:color w:val="auto"/>
              </w:rPr>
              <w:t>[Dk] (+4)</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8"/>
              </w:rPr>
              <w:t>23-Dec-02</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87"/>
              </w:rPr>
              <w:t>US7489691</w:t>
            </w:r>
          </w:p>
        </w:tc>
        <w:tc>
          <w:tcPr>
            <w:tcW w:w="3920" w:type="dxa"/>
            <w:vAlign w:val="bottom"/>
            <w:vMerge w:val="restart"/>
          </w:tcPr>
          <w:p>
            <w:pPr>
              <w:ind w:left="120"/>
              <w:spacing w:after="0"/>
              <w:rPr>
                <w:sz w:val="20"/>
                <w:szCs w:val="20"/>
                <w:color w:val="auto"/>
              </w:rPr>
            </w:pPr>
            <w:r>
              <w:rPr>
                <w:rFonts w:ascii="Arial" w:cs="Arial" w:eastAsia="Arial" w:hAnsi="Arial"/>
                <w:sz w:val="13"/>
                <w:szCs w:val="13"/>
                <w:color w:val="auto"/>
              </w:rPr>
              <w:t>Scheduling Retransmission In Access Networks</w:t>
            </w:r>
          </w:p>
        </w:tc>
        <w:tc>
          <w:tcPr>
            <w:tcW w:w="2560" w:type="dxa"/>
            <w:vAlign w:val="bottom"/>
          </w:tcPr>
          <w:p>
            <w:pPr>
              <w:ind w:left="700"/>
              <w:spacing w:after="0"/>
              <w:rPr>
                <w:sz w:val="20"/>
                <w:szCs w:val="20"/>
                <w:color w:val="auto"/>
              </w:rPr>
            </w:pPr>
            <w:r>
              <w:rPr>
                <w:rFonts w:ascii="Arial" w:cs="Arial" w:eastAsia="Arial" w:hAnsi="Arial"/>
                <w:sz w:val="13"/>
                <w:szCs w:val="13"/>
                <w:color w:val="auto"/>
                <w:w w:val="92"/>
              </w:rPr>
              <w:t>Wigard Jeroen [Dk] Kolding Troels</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3920" w:type="dxa"/>
            <w:vAlign w:val="bottom"/>
            <w:vMerge w:val="continue"/>
          </w:tcPr>
          <w:p>
            <w:pPr>
              <w:spacing w:after="0"/>
              <w:rPr>
                <w:sz w:val="8"/>
                <w:szCs w:val="8"/>
                <w:color w:val="auto"/>
              </w:rPr>
            </w:pPr>
          </w:p>
        </w:tc>
        <w:tc>
          <w:tcPr>
            <w:tcW w:w="2560" w:type="dxa"/>
            <w:vAlign w:val="bottom"/>
            <w:vMerge w:val="restart"/>
          </w:tcPr>
          <w:p>
            <w:pPr>
              <w:ind w:left="700"/>
              <w:spacing w:after="0"/>
              <w:rPr>
                <w:sz w:val="20"/>
                <w:szCs w:val="20"/>
                <w:color w:val="auto"/>
              </w:rPr>
            </w:pPr>
            <w:r>
              <w:rPr>
                <w:rFonts w:ascii="Arial" w:cs="Arial" w:eastAsia="Arial" w:hAnsi="Arial"/>
                <w:sz w:val="13"/>
                <w:szCs w:val="13"/>
                <w:color w:val="auto"/>
              </w:rPr>
              <w:t>[Dk] (+4)</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90"/>
              </w:rPr>
              <w:t>6-Mar-96</w:t>
            </w:r>
          </w:p>
        </w:tc>
        <w:tc>
          <w:tcPr>
            <w:tcW w:w="860" w:type="dxa"/>
            <w:vAlign w:val="bottom"/>
          </w:tcPr>
          <w:p>
            <w:pPr>
              <w:jc w:val="center"/>
              <w:spacing w:after="0"/>
              <w:rPr>
                <w:sz w:val="20"/>
                <w:szCs w:val="20"/>
                <w:color w:val="auto"/>
              </w:rPr>
            </w:pPr>
            <w:r>
              <w:rPr>
                <w:rFonts w:ascii="Arial" w:cs="Arial" w:eastAsia="Arial" w:hAnsi="Arial"/>
                <w:sz w:val="13"/>
                <w:szCs w:val="13"/>
                <w:color w:val="auto"/>
                <w:w w:val="89"/>
              </w:rPr>
              <w:t>CN1099206</w:t>
            </w:r>
          </w:p>
        </w:tc>
        <w:tc>
          <w:tcPr>
            <w:tcW w:w="3920" w:type="dxa"/>
            <w:vAlign w:val="bottom"/>
          </w:tcPr>
          <w:p>
            <w:pPr>
              <w:ind w:left="120"/>
              <w:spacing w:after="0"/>
              <w:rPr>
                <w:sz w:val="20"/>
                <w:szCs w:val="20"/>
                <w:color w:val="auto"/>
              </w:rPr>
            </w:pPr>
            <w:r>
              <w:rPr>
                <w:rFonts w:ascii="Arial" w:cs="Arial" w:eastAsia="Arial" w:hAnsi="Arial"/>
                <w:sz w:val="13"/>
                <w:szCs w:val="13"/>
                <w:color w:val="auto"/>
              </w:rPr>
              <w:t>Facsimile Transmission In A Mobile Communication System</w:t>
            </w:r>
          </w:p>
        </w:tc>
        <w:tc>
          <w:tcPr>
            <w:tcW w:w="2560" w:type="dxa"/>
            <w:vAlign w:val="bottom"/>
          </w:tcPr>
          <w:p>
            <w:pPr>
              <w:ind w:left="700"/>
              <w:spacing w:after="0"/>
              <w:rPr>
                <w:sz w:val="20"/>
                <w:szCs w:val="20"/>
                <w:color w:val="auto"/>
              </w:rPr>
            </w:pPr>
            <w:r>
              <w:rPr>
                <w:rFonts w:ascii="Arial" w:cs="Arial" w:eastAsia="Arial" w:hAnsi="Arial"/>
                <w:sz w:val="13"/>
                <w:szCs w:val="13"/>
                <w:color w:val="auto"/>
              </w:rPr>
              <w:t>Raesaenen Juha [Fi]</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12"/>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0"/>
              </w:rPr>
              <w:t>6-Mar-96</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85"/>
              </w:rPr>
              <w:t>EP0759247</w:t>
            </w:r>
          </w:p>
        </w:tc>
        <w:tc>
          <w:tcPr>
            <w:tcW w:w="3920" w:type="dxa"/>
            <w:vAlign w:val="bottom"/>
            <w:vMerge w:val="restart"/>
          </w:tcPr>
          <w:p>
            <w:pPr>
              <w:ind w:left="120"/>
              <w:spacing w:after="0"/>
              <w:rPr>
                <w:sz w:val="20"/>
                <w:szCs w:val="20"/>
                <w:color w:val="auto"/>
              </w:rPr>
            </w:pPr>
            <w:r>
              <w:rPr>
                <w:rFonts w:ascii="Arial" w:cs="Arial" w:eastAsia="Arial" w:hAnsi="Arial"/>
                <w:sz w:val="13"/>
                <w:szCs w:val="13"/>
                <w:color w:val="auto"/>
              </w:rPr>
              <w:t>Facsimile Transmission In A Mobile Communication System</w:t>
            </w:r>
          </w:p>
        </w:tc>
        <w:tc>
          <w:tcPr>
            <w:tcW w:w="2560" w:type="dxa"/>
            <w:vAlign w:val="bottom"/>
            <w:vMerge w:val="restart"/>
          </w:tcPr>
          <w:p>
            <w:pPr>
              <w:ind w:left="700"/>
              <w:spacing w:after="0"/>
              <w:rPr>
                <w:sz w:val="20"/>
                <w:szCs w:val="20"/>
                <w:color w:val="auto"/>
              </w:rPr>
            </w:pPr>
            <w:r>
              <w:rPr>
                <w:rFonts w:ascii="Arial" w:cs="Arial" w:eastAsia="Arial" w:hAnsi="Arial"/>
                <w:sz w:val="13"/>
                <w:szCs w:val="13"/>
                <w:color w:val="auto"/>
              </w:rPr>
              <w:t>Räsänen Juha [Fi]</w:t>
            </w:r>
          </w:p>
        </w:tc>
        <w:tc>
          <w:tcPr>
            <w:tcW w:w="520" w:type="dxa"/>
            <w:vAlign w:val="bottom"/>
          </w:tcPr>
          <w:p>
            <w:pPr>
              <w:jc w:val="center"/>
              <w:ind w:left="1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3920" w:type="dxa"/>
            <w:vAlign w:val="bottom"/>
            <w:vMerge w:val="continue"/>
          </w:tcPr>
          <w:p>
            <w:pPr>
              <w:spacing w:after="0"/>
              <w:rPr>
                <w:sz w:val="8"/>
                <w:szCs w:val="8"/>
                <w:color w:val="auto"/>
              </w:rPr>
            </w:pPr>
          </w:p>
        </w:tc>
        <w:tc>
          <w:tcPr>
            <w:tcW w:w="2560" w:type="dxa"/>
            <w:vAlign w:val="bottom"/>
            <w:vMerge w:val="continue"/>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9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5-Nov-96</w:t>
            </w:r>
          </w:p>
        </w:tc>
        <w:tc>
          <w:tcPr>
            <w:tcW w:w="860" w:type="dxa"/>
            <w:vAlign w:val="bottom"/>
          </w:tcPr>
          <w:p>
            <w:pPr>
              <w:jc w:val="center"/>
              <w:spacing w:after="0"/>
              <w:rPr>
                <w:sz w:val="20"/>
                <w:szCs w:val="20"/>
                <w:color w:val="auto"/>
              </w:rPr>
            </w:pPr>
            <w:r>
              <w:rPr>
                <w:rFonts w:ascii="Arial" w:cs="Arial" w:eastAsia="Arial" w:hAnsi="Arial"/>
                <w:sz w:val="13"/>
                <w:szCs w:val="13"/>
                <w:color w:val="auto"/>
                <w:w w:val="87"/>
              </w:rPr>
              <w:t>US5805301</w:t>
            </w:r>
          </w:p>
        </w:tc>
        <w:tc>
          <w:tcPr>
            <w:tcW w:w="3920" w:type="dxa"/>
            <w:vAlign w:val="bottom"/>
          </w:tcPr>
          <w:p>
            <w:pPr>
              <w:ind w:left="120"/>
              <w:spacing w:after="0"/>
              <w:rPr>
                <w:sz w:val="20"/>
                <w:szCs w:val="20"/>
                <w:color w:val="auto"/>
              </w:rPr>
            </w:pPr>
            <w:r>
              <w:rPr>
                <w:rFonts w:ascii="Arial" w:cs="Arial" w:eastAsia="Arial" w:hAnsi="Arial"/>
                <w:sz w:val="13"/>
                <w:szCs w:val="13"/>
                <w:color w:val="auto"/>
              </w:rPr>
              <w:t>Facsimile Transmission In A Mobile Communication System</w:t>
            </w:r>
          </w:p>
        </w:tc>
        <w:tc>
          <w:tcPr>
            <w:tcW w:w="2560" w:type="dxa"/>
            <w:vAlign w:val="bottom"/>
          </w:tcPr>
          <w:p>
            <w:pPr>
              <w:ind w:left="700"/>
              <w:spacing w:after="0"/>
              <w:rPr>
                <w:sz w:val="20"/>
                <w:szCs w:val="20"/>
                <w:color w:val="auto"/>
              </w:rPr>
            </w:pPr>
            <w:r>
              <w:rPr>
                <w:rFonts w:ascii="Arial" w:cs="Arial" w:eastAsia="Arial" w:hAnsi="Arial"/>
                <w:sz w:val="13"/>
                <w:szCs w:val="13"/>
                <w:color w:val="auto"/>
              </w:rPr>
              <w:t>Räsänen Juha [Fi]</w:t>
            </w:r>
          </w:p>
        </w:tc>
        <w:tc>
          <w:tcPr>
            <w:tcW w:w="52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-1464310</wp:posOffset>
            </wp:positionV>
            <wp:extent cx="7246620" cy="2571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-949960</wp:posOffset>
            </wp:positionV>
            <wp:extent cx="7246620" cy="2571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-434975</wp:posOffset>
            </wp:positionV>
            <wp:extent cx="7246620" cy="2571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78740</wp:posOffset>
            </wp:positionV>
            <wp:extent cx="7246620" cy="2571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188" w:lineRule="exact"/>
        <w:rPr>
          <w:sz w:val="20"/>
          <w:szCs w:val="20"/>
          <w:color w:val="auto"/>
        </w:rPr>
      </w:pPr>
    </w:p>
    <w:p>
      <w:pPr>
        <w:sectPr>
          <w:pgSz w:w="11900" w:h="16900" w:orient="portrait"/>
          <w:cols w:equalWidth="0" w:num="2">
            <w:col w:w="1840" w:space="320"/>
            <w:col w:w="9260"/>
          </w:cols>
          <w:pgMar w:left="240" w:top="111" w:right="239" w:bottom="0" w:gutter="0" w:footer="0" w:header="0"/>
        </w:sectPr>
      </w:pPr>
    </w:p>
    <w:tbl>
      <w:tblPr>
        <w:tblLayout w:type="fixed"/>
        <w:tblInd w:w="40" w:type="dxa"/>
        <w:tblCellMar>
          <w:top w:w="0" w:type="dxa"/>
          <w:left w:w="0" w:type="dxa"/>
          <w:bottom w:w="0" w:type="dxa"/>
          <w:right w:w="0" w:type="dxa"/>
        </w:tblCellMar>
      </w:tblPr>
      <w:tr>
        <w:trPr>
          <w:trHeight w:val="125"/>
        </w:trPr>
        <w:tc>
          <w:tcPr>
            <w:tcW w:w="640" w:type="dxa"/>
            <w:vAlign w:val="bottom"/>
          </w:tcPr>
          <w:p>
            <w:pPr>
              <w:jc w:val="center"/>
              <w:spacing w:after="0" w:line="125" w:lineRule="exact"/>
              <w:rPr>
                <w:sz w:val="20"/>
                <w:szCs w:val="20"/>
                <w:color w:val="auto"/>
              </w:rPr>
            </w:pPr>
            <w:r>
              <w:rPr>
                <w:rFonts w:ascii="Arial" w:cs="Arial" w:eastAsia="Arial" w:hAnsi="Arial"/>
                <w:sz w:val="13"/>
                <w:szCs w:val="13"/>
                <w:color w:val="auto"/>
                <w:w w:val="95"/>
              </w:rPr>
              <w:t>A2398VI-</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37"/>
              <w:spacing w:after="0"/>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0"/>
              </w:rPr>
              <w:t>CN01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A2398VI-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1"/>
              </w:rPr>
              <w:t>EP01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A2398VI-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1"/>
              </w:rPr>
              <w:t>EP02</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A2398VI-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0"/>
              </w:rPr>
              <w:t>GB01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A2398VI-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1"/>
              </w:rPr>
              <w:t>IN</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IN01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A2398VI-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PH</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PH01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A2398VI-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4"/>
              </w:rPr>
              <w:t>SG</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0"/>
              </w:rPr>
              <w:t>SG01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A2398VI-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BE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BE01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CH</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CH01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FI</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FI01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KR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KR01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6"/>
              </w:rPr>
              <w:t>NL</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NL01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SE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SE01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A24835VI-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A25862VI-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A25862VI-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US02</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A25862VI-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US03</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A25975VI-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A25975VI-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US02</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A26053VI-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A26126VI-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A26505VI-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A26505VI-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A26505VI-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A26505VI-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35"/>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4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6"/>
              </w:rPr>
              <w:t>18-Feb-97</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9"/>
              </w:rPr>
              <w:t>CN1102015</w:t>
            </w:r>
          </w:p>
        </w:tc>
        <w:tc>
          <w:tcPr>
            <w:tcW w:w="4400" w:type="dxa"/>
            <w:vAlign w:val="bottom"/>
          </w:tcPr>
          <w:p>
            <w:pPr>
              <w:ind w:left="40"/>
              <w:spacing w:after="0" w:line="125" w:lineRule="exact"/>
              <w:rPr>
                <w:sz w:val="20"/>
                <w:szCs w:val="20"/>
                <w:color w:val="auto"/>
              </w:rPr>
            </w:pPr>
            <w:r>
              <w:rPr>
                <w:rFonts w:ascii="Arial" w:cs="Arial" w:eastAsia="Arial" w:hAnsi="Arial"/>
                <w:sz w:val="13"/>
                <w:szCs w:val="13"/>
                <w:color w:val="auto"/>
              </w:rPr>
              <w:t>Method And Arrangement For Making A Handover Decision In A Mobile</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400" w:type="dxa"/>
            <w:vAlign w:val="bottom"/>
            <w:vMerge w:val="restart"/>
          </w:tcPr>
          <w:p>
            <w:pPr>
              <w:ind w:left="40"/>
              <w:spacing w:after="0"/>
              <w:rPr>
                <w:sz w:val="20"/>
                <w:szCs w:val="20"/>
                <w:color w:val="auto"/>
              </w:rPr>
            </w:pPr>
            <w:r>
              <w:rPr>
                <w:rFonts w:ascii="Arial" w:cs="Arial" w:eastAsia="Arial" w:hAnsi="Arial"/>
                <w:sz w:val="13"/>
                <w:szCs w:val="13"/>
                <w:color w:val="auto"/>
              </w:rPr>
              <w:t>Communication System</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6"/>
              </w:rPr>
              <w:t>18-Feb-97</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8"/>
              </w:rPr>
              <w:t>EP885540</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And Arrangement For Making A Handover Decision In A Mobile</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400" w:type="dxa"/>
            <w:vAlign w:val="bottom"/>
            <w:vMerge w:val="restart"/>
          </w:tcPr>
          <w:p>
            <w:pPr>
              <w:ind w:left="40"/>
              <w:spacing w:after="0"/>
              <w:rPr>
                <w:sz w:val="20"/>
                <w:szCs w:val="20"/>
                <w:color w:val="auto"/>
              </w:rPr>
            </w:pPr>
            <w:r>
              <w:rPr>
                <w:rFonts w:ascii="Arial" w:cs="Arial" w:eastAsia="Arial" w:hAnsi="Arial"/>
                <w:sz w:val="13"/>
                <w:szCs w:val="13"/>
                <w:color w:val="auto"/>
              </w:rPr>
              <w:t>Communication System</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6"/>
              </w:rPr>
              <w:t>18-Feb-97</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5"/>
              </w:rPr>
              <w:t>EP0885540</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And Arrangement For Making A Handover Decision In A Mobile</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400" w:type="dxa"/>
            <w:vAlign w:val="bottom"/>
            <w:vMerge w:val="restart"/>
          </w:tcPr>
          <w:p>
            <w:pPr>
              <w:ind w:left="40"/>
              <w:spacing w:after="0"/>
              <w:rPr>
                <w:sz w:val="20"/>
                <w:szCs w:val="20"/>
                <w:color w:val="auto"/>
              </w:rPr>
            </w:pPr>
            <w:r>
              <w:rPr>
                <w:rFonts w:ascii="Arial" w:cs="Arial" w:eastAsia="Arial" w:hAnsi="Arial"/>
                <w:sz w:val="13"/>
                <w:szCs w:val="13"/>
                <w:color w:val="auto"/>
              </w:rPr>
              <w:t>Communication System</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6"/>
              </w:rPr>
              <w:t>18-Feb-97</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6"/>
              </w:rPr>
              <w:t>GB885540</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And Arrangement For Making A Handover Decision In A Mobile</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400" w:type="dxa"/>
            <w:vAlign w:val="bottom"/>
            <w:vMerge w:val="restart"/>
          </w:tcPr>
          <w:p>
            <w:pPr>
              <w:ind w:left="40"/>
              <w:spacing w:after="0"/>
              <w:rPr>
                <w:sz w:val="20"/>
                <w:szCs w:val="20"/>
                <w:color w:val="auto"/>
              </w:rPr>
            </w:pPr>
            <w:r>
              <w:rPr>
                <w:rFonts w:ascii="Arial" w:cs="Arial" w:eastAsia="Arial" w:hAnsi="Arial"/>
                <w:sz w:val="13"/>
                <w:szCs w:val="13"/>
                <w:color w:val="auto"/>
              </w:rPr>
              <w:t>Communication System</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6"/>
              </w:rPr>
              <w:t>14-Feb-97</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8"/>
              </w:rPr>
              <w:t>IN200572</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And Arrangement For Making A Handover Decision In A Mobile</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400" w:type="dxa"/>
            <w:vAlign w:val="bottom"/>
            <w:vMerge w:val="restart"/>
          </w:tcPr>
          <w:p>
            <w:pPr>
              <w:ind w:left="40"/>
              <w:spacing w:after="0"/>
              <w:rPr>
                <w:sz w:val="20"/>
                <w:szCs w:val="20"/>
                <w:color w:val="auto"/>
              </w:rPr>
            </w:pPr>
            <w:r>
              <w:rPr>
                <w:rFonts w:ascii="Arial" w:cs="Arial" w:eastAsia="Arial" w:hAnsi="Arial"/>
                <w:sz w:val="13"/>
                <w:szCs w:val="13"/>
                <w:color w:val="auto"/>
              </w:rPr>
              <w:t>Communication System</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6"/>
              </w:rPr>
              <w:t>17-Feb-97</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6"/>
              </w:rPr>
              <w:t>PH1-1997-55589</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And Arrangement For Making A Handover Decision In A Mobile</w:t>
            </w:r>
          </w:p>
        </w:tc>
        <w:tc>
          <w:tcPr>
            <w:tcW w:w="0" w:type="dxa"/>
            <w:vAlign w:val="bottom"/>
          </w:tcPr>
          <w:p>
            <w:pPr>
              <w:spacing w:after="0"/>
              <w:rPr>
                <w:sz w:val="1"/>
                <w:szCs w:val="1"/>
                <w:color w:val="auto"/>
              </w:rPr>
            </w:pPr>
          </w:p>
        </w:tc>
      </w:tr>
      <w:tr>
        <w:trPr>
          <w:trHeight w:val="160"/>
        </w:trPr>
        <w:tc>
          <w:tcPr>
            <w:tcW w:w="5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4400" w:type="dxa"/>
            <w:vAlign w:val="bottom"/>
          </w:tcPr>
          <w:p>
            <w:pPr>
              <w:ind w:left="40"/>
              <w:spacing w:after="0"/>
              <w:rPr>
                <w:sz w:val="20"/>
                <w:szCs w:val="20"/>
                <w:color w:val="auto"/>
              </w:rPr>
            </w:pPr>
            <w:r>
              <w:rPr>
                <w:rFonts w:ascii="Arial" w:cs="Arial" w:eastAsia="Arial" w:hAnsi="Arial"/>
                <w:sz w:val="13"/>
                <w:szCs w:val="13"/>
                <w:color w:val="auto"/>
              </w:rPr>
              <w:t>Communication System</w:t>
            </w: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6"/>
              </w:rPr>
              <w:t>18-Feb-97</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3"/>
              </w:rPr>
              <w:t>SG55627</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And Arrangement For Making A Handover Decision In A Mobile</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400" w:type="dxa"/>
            <w:vAlign w:val="bottom"/>
            <w:vMerge w:val="restart"/>
          </w:tcPr>
          <w:p>
            <w:pPr>
              <w:ind w:left="40"/>
              <w:spacing w:after="0"/>
              <w:rPr>
                <w:sz w:val="20"/>
                <w:szCs w:val="20"/>
                <w:color w:val="auto"/>
              </w:rPr>
            </w:pPr>
            <w:r>
              <w:rPr>
                <w:rFonts w:ascii="Arial" w:cs="Arial" w:eastAsia="Arial" w:hAnsi="Arial"/>
                <w:sz w:val="13"/>
                <w:szCs w:val="13"/>
                <w:color w:val="auto"/>
              </w:rPr>
              <w:t>Communication System</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0"/>
              </w:rPr>
              <w:t>8-Oct-98</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7"/>
              </w:rPr>
              <w:t>US6285884</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And Arrangement For Making A Handover Decision In A Mobile</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400" w:type="dxa"/>
            <w:vAlign w:val="bottom"/>
            <w:vMerge w:val="restart"/>
          </w:tcPr>
          <w:p>
            <w:pPr>
              <w:ind w:left="40"/>
              <w:spacing w:after="0"/>
              <w:rPr>
                <w:sz w:val="20"/>
                <w:szCs w:val="20"/>
                <w:color w:val="auto"/>
              </w:rPr>
            </w:pPr>
            <w:r>
              <w:rPr>
                <w:rFonts w:ascii="Arial" w:cs="Arial" w:eastAsia="Arial" w:hAnsi="Arial"/>
                <w:sz w:val="13"/>
                <w:szCs w:val="13"/>
                <w:color w:val="auto"/>
              </w:rPr>
              <w:t>Communication System</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6-Jul-00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5"/>
              </w:rPr>
              <w:t>BE1186119</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For Transmitting A Sequence Of Symbols</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6-Jul-00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9"/>
              </w:rPr>
              <w:t>CH1186119</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For Transmitting A Sequence Of Symbols</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28-Oct-10</w:t>
            </w:r>
          </w:p>
        </w:tc>
        <w:tc>
          <w:tcPr>
            <w:tcW w:w="1000" w:type="dxa"/>
            <w:vAlign w:val="bottom"/>
          </w:tcPr>
          <w:p>
            <w:pPr>
              <w:jc w:val="center"/>
              <w:spacing w:after="0"/>
              <w:rPr>
                <w:sz w:val="20"/>
                <w:szCs w:val="20"/>
                <w:color w:val="auto"/>
              </w:rPr>
            </w:pPr>
            <w:r>
              <w:rPr>
                <w:rFonts w:ascii="Arial" w:cs="Arial" w:eastAsia="Arial" w:hAnsi="Arial"/>
                <w:sz w:val="13"/>
                <w:szCs w:val="13"/>
                <w:color w:val="auto"/>
                <w:w w:val="88"/>
              </w:rPr>
              <w:t>CN101969326</w:t>
            </w:r>
          </w:p>
        </w:tc>
        <w:tc>
          <w:tcPr>
            <w:tcW w:w="4400" w:type="dxa"/>
            <w:vAlign w:val="bottom"/>
          </w:tcPr>
          <w:p>
            <w:pPr>
              <w:ind w:left="40"/>
              <w:spacing w:after="0"/>
              <w:rPr>
                <w:sz w:val="20"/>
                <w:szCs w:val="20"/>
                <w:color w:val="auto"/>
              </w:rPr>
            </w:pPr>
            <w:r>
              <w:rPr>
                <w:rFonts w:ascii="Arial" w:cs="Arial" w:eastAsia="Arial" w:hAnsi="Arial"/>
                <w:sz w:val="13"/>
                <w:szCs w:val="13"/>
                <w:color w:val="auto"/>
                <w:w w:val="94"/>
              </w:rPr>
              <w:t>Method For Transmitting A Sequence of Symbols, Device And Network Element</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6-Jul-00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9"/>
              </w:rPr>
              <w:t>DE60010882.1</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For Transmitting A Sequence Of Symbols</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6-Jul-00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5"/>
              </w:rPr>
              <w:t>EP1186119</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For Transmitting A Sequence Of Symbols</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6-Jul-00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5"/>
              </w:rPr>
              <w:t>ES2220484</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For Transmitting A Sequence Of Symbols</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9-Jul-99</w:t>
            </w:r>
          </w:p>
        </w:tc>
        <w:tc>
          <w:tcPr>
            <w:tcW w:w="1000" w:type="dxa"/>
            <w:vAlign w:val="bottom"/>
          </w:tcPr>
          <w:p>
            <w:pPr>
              <w:jc w:val="center"/>
              <w:spacing w:after="0"/>
              <w:rPr>
                <w:sz w:val="20"/>
                <w:szCs w:val="20"/>
                <w:color w:val="auto"/>
              </w:rPr>
            </w:pPr>
            <w:r>
              <w:rPr>
                <w:rFonts w:ascii="Arial" w:cs="Arial" w:eastAsia="Arial" w:hAnsi="Arial"/>
                <w:sz w:val="13"/>
                <w:szCs w:val="13"/>
                <w:color w:val="auto"/>
                <w:w w:val="87"/>
              </w:rPr>
              <w:t>FI111438</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For Transmitting A Sequence Of Symbols</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6-Jul-00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5"/>
              </w:rPr>
              <w:t>FR1186119</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For Transmitting A Sequence Of Symbols</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6-Jul-00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9"/>
              </w:rPr>
              <w:t>GB1186119</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For Transmitting A Sequence Of Symbols</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6-Jul-00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6"/>
              </w:rPr>
              <w:t>IT1186119</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For Transmitting A Sequence Of Symbols</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6-Jul-00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5"/>
              </w:rPr>
              <w:t>JP3977640</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For Transmitting A Sequence Of Symbols</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6-Jul-00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7"/>
              </w:rPr>
              <w:t>KR449817</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For Transmitting A Sequence Of Symbols</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6-Jul-00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9"/>
              </w:rPr>
              <w:t>NL1186119</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For Transmitting A Sequence Of Symbols</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6-Jul-00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5"/>
              </w:rPr>
              <w:t>SE1186119</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For Transmitting A Sequence Of Symbols</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8"/>
              </w:rPr>
              <w:t>17-Jul-06</w:t>
            </w:r>
          </w:p>
        </w:tc>
        <w:tc>
          <w:tcPr>
            <w:tcW w:w="1000" w:type="dxa"/>
            <w:vAlign w:val="bottom"/>
          </w:tcPr>
          <w:p>
            <w:pPr>
              <w:jc w:val="center"/>
              <w:spacing w:after="0"/>
              <w:rPr>
                <w:sz w:val="20"/>
                <w:szCs w:val="20"/>
                <w:color w:val="auto"/>
              </w:rPr>
            </w:pPr>
            <w:r>
              <w:rPr>
                <w:rFonts w:ascii="Arial" w:cs="Arial" w:eastAsia="Arial" w:hAnsi="Arial"/>
                <w:sz w:val="13"/>
                <w:szCs w:val="13"/>
                <w:color w:val="auto"/>
                <w:w w:val="87"/>
              </w:rPr>
              <w:t>US7724720</w:t>
            </w:r>
          </w:p>
        </w:tc>
        <w:tc>
          <w:tcPr>
            <w:tcW w:w="4400" w:type="dxa"/>
            <w:vAlign w:val="bottom"/>
          </w:tcPr>
          <w:p>
            <w:pPr>
              <w:ind w:left="40"/>
              <w:spacing w:after="0"/>
              <w:rPr>
                <w:sz w:val="20"/>
                <w:szCs w:val="20"/>
                <w:color w:val="auto"/>
              </w:rPr>
            </w:pPr>
            <w:r>
              <w:rPr>
                <w:rFonts w:ascii="Arial" w:cs="Arial" w:eastAsia="Arial" w:hAnsi="Arial"/>
                <w:sz w:val="13"/>
                <w:szCs w:val="13"/>
                <w:color w:val="auto"/>
              </w:rPr>
              <w:t>Method For Transmitting A Sequence Of Symbols</w:t>
            </w:r>
          </w:p>
        </w:tc>
        <w:tc>
          <w:tcPr>
            <w:tcW w:w="0" w:type="dxa"/>
            <w:vAlign w:val="bottom"/>
          </w:tcPr>
          <w:p>
            <w:pPr>
              <w:spacing w:after="0"/>
              <w:rPr>
                <w:sz w:val="1"/>
                <w:szCs w:val="1"/>
                <w:color w:val="auto"/>
              </w:rPr>
            </w:pPr>
          </w:p>
        </w:tc>
      </w:tr>
      <w:tr>
        <w:trPr>
          <w:trHeight w:val="312"/>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8"/>
              </w:rPr>
              <w:t>26-Dec-01</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7"/>
              </w:rPr>
              <w:t>US6901046</w:t>
            </w:r>
          </w:p>
        </w:tc>
        <w:tc>
          <w:tcPr>
            <w:tcW w:w="4400" w:type="dxa"/>
            <w:vAlign w:val="bottom"/>
          </w:tcPr>
          <w:p>
            <w:pPr>
              <w:ind w:left="40"/>
              <w:spacing w:after="0"/>
              <w:rPr>
                <w:sz w:val="20"/>
                <w:szCs w:val="20"/>
                <w:color w:val="auto"/>
              </w:rPr>
            </w:pPr>
            <w:r>
              <w:rPr>
                <w:rFonts w:ascii="Arial" w:cs="Arial" w:eastAsia="Arial" w:hAnsi="Arial"/>
                <w:sz w:val="13"/>
                <w:szCs w:val="13"/>
                <w:color w:val="auto"/>
                <w:w w:val="92"/>
              </w:rPr>
              <w:t>Method And Apparatus For Scheduling And Modulation And Coding Selection For</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400" w:type="dxa"/>
            <w:vAlign w:val="bottom"/>
            <w:vMerge w:val="restart"/>
          </w:tcPr>
          <w:p>
            <w:pPr>
              <w:ind w:left="40"/>
              <w:spacing w:after="0"/>
              <w:rPr>
                <w:sz w:val="20"/>
                <w:szCs w:val="20"/>
                <w:color w:val="auto"/>
              </w:rPr>
            </w:pPr>
            <w:r>
              <w:rPr>
                <w:rFonts w:ascii="Arial" w:cs="Arial" w:eastAsia="Arial" w:hAnsi="Arial"/>
                <w:sz w:val="13"/>
                <w:szCs w:val="13"/>
                <w:color w:val="auto"/>
                <w:w w:val="89"/>
              </w:rPr>
              <w:t>Supporting Quality Of Service In Transmissions On Forward Shared Radio Channels</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8"/>
              </w:rPr>
              <w:t>26-Jul-04</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7"/>
              </w:rPr>
              <w:t>US7561509</w:t>
            </w:r>
          </w:p>
        </w:tc>
        <w:tc>
          <w:tcPr>
            <w:tcW w:w="4400" w:type="dxa"/>
            <w:vAlign w:val="bottom"/>
          </w:tcPr>
          <w:p>
            <w:pPr>
              <w:ind w:left="40"/>
              <w:spacing w:after="0"/>
              <w:rPr>
                <w:sz w:val="20"/>
                <w:szCs w:val="20"/>
                <w:color w:val="auto"/>
              </w:rPr>
            </w:pPr>
            <w:r>
              <w:rPr>
                <w:rFonts w:ascii="Arial" w:cs="Arial" w:eastAsia="Arial" w:hAnsi="Arial"/>
                <w:sz w:val="13"/>
                <w:szCs w:val="13"/>
                <w:color w:val="auto"/>
                <w:w w:val="92"/>
              </w:rPr>
              <w:t>Method And Apparatus For Scheduling And Modulation And Coding Selection For</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400" w:type="dxa"/>
            <w:vAlign w:val="bottom"/>
            <w:vMerge w:val="restart"/>
          </w:tcPr>
          <w:p>
            <w:pPr>
              <w:ind w:left="40"/>
              <w:spacing w:after="0"/>
              <w:rPr>
                <w:sz w:val="20"/>
                <w:szCs w:val="20"/>
                <w:color w:val="auto"/>
              </w:rPr>
            </w:pPr>
            <w:r>
              <w:rPr>
                <w:rFonts w:ascii="Arial" w:cs="Arial" w:eastAsia="Arial" w:hAnsi="Arial"/>
                <w:sz w:val="13"/>
                <w:szCs w:val="13"/>
                <w:color w:val="auto"/>
                <w:w w:val="89"/>
              </w:rPr>
              <w:t>Supporting Quality Of Service In Transmissions On Forward Shared Radio Channels</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77"/>
              <w:spacing w:after="0"/>
              <w:rPr>
                <w:sz w:val="20"/>
                <w:szCs w:val="20"/>
                <w:color w:val="auto"/>
              </w:rPr>
            </w:pPr>
            <w:r>
              <w:rPr>
                <w:rFonts w:ascii="Arial" w:cs="Arial" w:eastAsia="Arial" w:hAnsi="Arial"/>
                <w:sz w:val="13"/>
                <w:szCs w:val="13"/>
                <w:color w:val="auto"/>
                <w:w w:val="87"/>
              </w:rPr>
              <w:t>Pending</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6"/>
              </w:rPr>
              <w:t>21-Feb-08</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8"/>
              </w:rPr>
              <w:t>US20080144570</w:t>
            </w:r>
          </w:p>
        </w:tc>
        <w:tc>
          <w:tcPr>
            <w:tcW w:w="4400" w:type="dxa"/>
            <w:vAlign w:val="bottom"/>
          </w:tcPr>
          <w:p>
            <w:pPr>
              <w:ind w:left="40"/>
              <w:spacing w:after="0"/>
              <w:rPr>
                <w:sz w:val="20"/>
                <w:szCs w:val="20"/>
                <w:color w:val="auto"/>
              </w:rPr>
            </w:pPr>
            <w:r>
              <w:rPr>
                <w:rFonts w:ascii="Arial" w:cs="Arial" w:eastAsia="Arial" w:hAnsi="Arial"/>
                <w:sz w:val="13"/>
                <w:szCs w:val="13"/>
                <w:color w:val="auto"/>
                <w:w w:val="92"/>
              </w:rPr>
              <w:t>Method And Apparatus For Scheduling And Modulation And Coding Selection For</w:t>
            </w:r>
          </w:p>
        </w:tc>
        <w:tc>
          <w:tcPr>
            <w:tcW w:w="0" w:type="dxa"/>
            <w:vAlign w:val="bottom"/>
          </w:tcPr>
          <w:p>
            <w:pPr>
              <w:spacing w:after="0"/>
              <w:rPr>
                <w:sz w:val="1"/>
                <w:szCs w:val="1"/>
                <w:color w:val="auto"/>
              </w:rPr>
            </w:pPr>
          </w:p>
        </w:tc>
      </w:tr>
      <w:tr>
        <w:trPr>
          <w:trHeight w:val="160"/>
        </w:trPr>
        <w:tc>
          <w:tcPr>
            <w:tcW w:w="5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4400" w:type="dxa"/>
            <w:vAlign w:val="bottom"/>
          </w:tcPr>
          <w:p>
            <w:pPr>
              <w:ind w:left="40"/>
              <w:spacing w:after="0"/>
              <w:rPr>
                <w:sz w:val="20"/>
                <w:szCs w:val="20"/>
                <w:color w:val="auto"/>
              </w:rPr>
            </w:pPr>
            <w:r>
              <w:rPr>
                <w:rFonts w:ascii="Arial" w:cs="Arial" w:eastAsia="Arial" w:hAnsi="Arial"/>
                <w:sz w:val="13"/>
                <w:szCs w:val="13"/>
                <w:color w:val="auto"/>
                <w:w w:val="89"/>
              </w:rPr>
              <w:t>Supporting Quality Of Service In Transmissions On Forward Shared Radio Channels</w:t>
            </w: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5"/>
              </w:rPr>
              <w:t>28-Jun-02</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7"/>
              </w:rPr>
              <w:t>US6665309</w:t>
            </w:r>
          </w:p>
        </w:tc>
        <w:tc>
          <w:tcPr>
            <w:tcW w:w="4400" w:type="dxa"/>
            <w:vAlign w:val="bottom"/>
          </w:tcPr>
          <w:p>
            <w:pPr>
              <w:ind w:left="40"/>
              <w:spacing w:after="0"/>
              <w:rPr>
                <w:sz w:val="20"/>
                <w:szCs w:val="20"/>
                <w:color w:val="auto"/>
              </w:rPr>
            </w:pPr>
            <w:r>
              <w:rPr>
                <w:rFonts w:ascii="Arial" w:cs="Arial" w:eastAsia="Arial" w:hAnsi="Arial"/>
                <w:sz w:val="13"/>
                <w:szCs w:val="13"/>
                <w:color w:val="auto"/>
                <w:w w:val="91"/>
              </w:rPr>
              <w:t>Apparatus, And Associated Method, For Generating Assignment Information Used</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400" w:type="dxa"/>
            <w:vAlign w:val="bottom"/>
            <w:vMerge w:val="restart"/>
          </w:tcPr>
          <w:p>
            <w:pPr>
              <w:ind w:left="40"/>
              <w:spacing w:after="0"/>
              <w:rPr>
                <w:sz w:val="20"/>
                <w:szCs w:val="20"/>
                <w:color w:val="auto"/>
              </w:rPr>
            </w:pPr>
            <w:r>
              <w:rPr>
                <w:rFonts w:ascii="Arial" w:cs="Arial" w:eastAsia="Arial" w:hAnsi="Arial"/>
                <w:sz w:val="13"/>
                <w:szCs w:val="13"/>
                <w:color w:val="auto"/>
              </w:rPr>
              <w:t>Pursuant To Channel Allocation In A Radio Communication System</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8"/>
              </w:rPr>
              <w:t>12-Dec-03</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7"/>
              </w:rPr>
              <w:t>US7050406</w:t>
            </w:r>
          </w:p>
        </w:tc>
        <w:tc>
          <w:tcPr>
            <w:tcW w:w="4400" w:type="dxa"/>
            <w:vAlign w:val="bottom"/>
          </w:tcPr>
          <w:p>
            <w:pPr>
              <w:ind w:left="40"/>
              <w:spacing w:after="0"/>
              <w:rPr>
                <w:sz w:val="20"/>
                <w:szCs w:val="20"/>
                <w:color w:val="auto"/>
              </w:rPr>
            </w:pPr>
            <w:r>
              <w:rPr>
                <w:rFonts w:ascii="Arial" w:cs="Arial" w:eastAsia="Arial" w:hAnsi="Arial"/>
                <w:sz w:val="13"/>
                <w:szCs w:val="13"/>
                <w:color w:val="auto"/>
                <w:w w:val="91"/>
              </w:rPr>
              <w:t>Apparatus, And Associated Method, For Generating Assignment Information Used</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400" w:type="dxa"/>
            <w:vAlign w:val="bottom"/>
            <w:vMerge w:val="restart"/>
          </w:tcPr>
          <w:p>
            <w:pPr>
              <w:ind w:left="40"/>
              <w:spacing w:after="0"/>
              <w:rPr>
                <w:sz w:val="20"/>
                <w:szCs w:val="20"/>
                <w:color w:val="auto"/>
              </w:rPr>
            </w:pPr>
            <w:r>
              <w:rPr>
                <w:rFonts w:ascii="Arial" w:cs="Arial" w:eastAsia="Arial" w:hAnsi="Arial"/>
                <w:sz w:val="13"/>
                <w:szCs w:val="13"/>
                <w:color w:val="auto"/>
              </w:rPr>
              <w:t>Pursuant To Channel Allocation In A Radio Communication System</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90"/>
              </w:rPr>
              <w:t>6-Apr-00</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7"/>
              </w:rPr>
              <w:t>US7085257</w:t>
            </w:r>
          </w:p>
        </w:tc>
        <w:tc>
          <w:tcPr>
            <w:tcW w:w="4400" w:type="dxa"/>
            <w:vAlign w:val="bottom"/>
          </w:tcPr>
          <w:p>
            <w:pPr>
              <w:ind w:left="40"/>
              <w:spacing w:after="0"/>
              <w:rPr>
                <w:sz w:val="20"/>
                <w:szCs w:val="20"/>
                <w:color w:val="auto"/>
              </w:rPr>
            </w:pPr>
            <w:r>
              <w:rPr>
                <w:rFonts w:ascii="Arial" w:cs="Arial" w:eastAsia="Arial" w:hAnsi="Arial"/>
                <w:sz w:val="13"/>
                <w:szCs w:val="13"/>
                <w:color w:val="auto"/>
                <w:w w:val="91"/>
              </w:rPr>
              <w:t>Method And System For Making Accessible Wirelessly A Network Phonebook And</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400" w:type="dxa"/>
            <w:vAlign w:val="bottom"/>
            <w:vMerge w:val="restart"/>
          </w:tcPr>
          <w:p>
            <w:pPr>
              <w:ind w:left="40"/>
              <w:spacing w:after="0"/>
              <w:rPr>
                <w:sz w:val="20"/>
                <w:szCs w:val="20"/>
                <w:color w:val="auto"/>
              </w:rPr>
            </w:pPr>
            <w:r>
              <w:rPr>
                <w:rFonts w:ascii="Arial" w:cs="Arial" w:eastAsia="Arial" w:hAnsi="Arial"/>
                <w:sz w:val="13"/>
                <w:szCs w:val="13"/>
                <w:color w:val="auto"/>
              </w:rPr>
              <w:t>Journal Database</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8"/>
              </w:rPr>
              <w:t>14-Dec-00</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7"/>
              </w:rPr>
              <w:t>US6965562</w:t>
            </w:r>
          </w:p>
        </w:tc>
        <w:tc>
          <w:tcPr>
            <w:tcW w:w="4400" w:type="dxa"/>
            <w:vAlign w:val="bottom"/>
          </w:tcPr>
          <w:p>
            <w:pPr>
              <w:ind w:left="40"/>
              <w:spacing w:after="0"/>
              <w:rPr>
                <w:sz w:val="20"/>
                <w:szCs w:val="20"/>
                <w:color w:val="auto"/>
              </w:rPr>
            </w:pPr>
            <w:r>
              <w:rPr>
                <w:rFonts w:ascii="Arial" w:cs="Arial" w:eastAsia="Arial" w:hAnsi="Arial"/>
                <w:sz w:val="13"/>
                <w:szCs w:val="13"/>
                <w:color w:val="auto"/>
                <w:w w:val="89"/>
              </w:rPr>
              <w:t>System And Method For Managing A Network To Sustain The Quality Of Voice Over</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400" w:type="dxa"/>
            <w:vAlign w:val="bottom"/>
            <w:vMerge w:val="restart"/>
          </w:tcPr>
          <w:p>
            <w:pPr>
              <w:ind w:left="40"/>
              <w:spacing w:after="0"/>
              <w:rPr>
                <w:sz w:val="20"/>
                <w:szCs w:val="20"/>
                <w:color w:val="auto"/>
              </w:rPr>
            </w:pPr>
            <w:r>
              <w:rPr>
                <w:rFonts w:ascii="Arial" w:cs="Arial" w:eastAsia="Arial" w:hAnsi="Arial"/>
                <w:sz w:val="13"/>
                <w:szCs w:val="13"/>
                <w:color w:val="auto"/>
              </w:rPr>
              <w:t>Internet Protocol Communications</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8"/>
              </w:rPr>
              <w:t>28-Jul-00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90"/>
              </w:rPr>
              <w:t>DE1073295</w:t>
            </w:r>
          </w:p>
        </w:tc>
        <w:tc>
          <w:tcPr>
            <w:tcW w:w="4400" w:type="dxa"/>
            <w:vAlign w:val="bottom"/>
          </w:tcPr>
          <w:p>
            <w:pPr>
              <w:ind w:left="40"/>
              <w:spacing w:after="0"/>
              <w:rPr>
                <w:sz w:val="20"/>
                <w:szCs w:val="20"/>
                <w:color w:val="auto"/>
              </w:rPr>
            </w:pPr>
            <w:r>
              <w:rPr>
                <w:rFonts w:ascii="Arial" w:cs="Arial" w:eastAsia="Arial" w:hAnsi="Arial"/>
                <w:sz w:val="13"/>
                <w:szCs w:val="13"/>
                <w:color w:val="auto"/>
              </w:rPr>
              <w:t>Internal Roaming</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8"/>
              </w:rPr>
              <w:t>28-Jul-00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5"/>
              </w:rPr>
              <w:t>EP1073295</w:t>
            </w:r>
          </w:p>
        </w:tc>
        <w:tc>
          <w:tcPr>
            <w:tcW w:w="4400" w:type="dxa"/>
            <w:vAlign w:val="bottom"/>
          </w:tcPr>
          <w:p>
            <w:pPr>
              <w:ind w:left="40"/>
              <w:spacing w:after="0"/>
              <w:rPr>
                <w:sz w:val="20"/>
                <w:szCs w:val="20"/>
                <w:color w:val="auto"/>
              </w:rPr>
            </w:pPr>
            <w:r>
              <w:rPr>
                <w:rFonts w:ascii="Arial" w:cs="Arial" w:eastAsia="Arial" w:hAnsi="Arial"/>
                <w:sz w:val="13"/>
                <w:szCs w:val="13"/>
                <w:color w:val="auto"/>
              </w:rPr>
              <w:t>Internal Roaming</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8"/>
              </w:rPr>
              <w:t>28-Jul-00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5"/>
              </w:rPr>
              <w:t>FR1073295</w:t>
            </w:r>
          </w:p>
        </w:tc>
        <w:tc>
          <w:tcPr>
            <w:tcW w:w="4400" w:type="dxa"/>
            <w:vAlign w:val="bottom"/>
          </w:tcPr>
          <w:p>
            <w:pPr>
              <w:ind w:left="40"/>
              <w:spacing w:after="0"/>
              <w:rPr>
                <w:sz w:val="20"/>
                <w:szCs w:val="20"/>
                <w:color w:val="auto"/>
              </w:rPr>
            </w:pPr>
            <w:r>
              <w:rPr>
                <w:rFonts w:ascii="Arial" w:cs="Arial" w:eastAsia="Arial" w:hAnsi="Arial"/>
                <w:sz w:val="13"/>
                <w:szCs w:val="13"/>
                <w:color w:val="auto"/>
              </w:rPr>
              <w:t>Internal Roaming</w:t>
            </w:r>
          </w:p>
        </w:tc>
        <w:tc>
          <w:tcPr>
            <w:tcW w:w="0" w:type="dxa"/>
            <w:vAlign w:val="bottom"/>
          </w:tcPr>
          <w:p>
            <w:pPr>
              <w:spacing w:after="0"/>
              <w:rPr>
                <w:sz w:val="1"/>
                <w:szCs w:val="1"/>
                <w:color w:val="auto"/>
              </w:rPr>
            </w:pPr>
          </w:p>
        </w:tc>
      </w:tr>
      <w:tr>
        <w:trPr>
          <w:trHeight w:val="40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40" w:type="dxa"/>
            <w:vAlign w:val="bottom"/>
          </w:tcPr>
          <w:p>
            <w:pPr>
              <w:jc w:val="center"/>
              <w:spacing w:after="0"/>
              <w:rPr>
                <w:sz w:val="20"/>
                <w:szCs w:val="20"/>
                <w:color w:val="auto"/>
              </w:rPr>
            </w:pPr>
            <w:r>
              <w:rPr>
                <w:rFonts w:ascii="Arial" w:cs="Arial" w:eastAsia="Arial" w:hAnsi="Arial"/>
                <w:sz w:val="13"/>
                <w:szCs w:val="13"/>
                <w:color w:val="auto"/>
                <w:w w:val="88"/>
              </w:rPr>
              <w:t>28-Jul-00</w:t>
            </w:r>
          </w:p>
        </w:tc>
        <w:tc>
          <w:tcPr>
            <w:tcW w:w="1000" w:type="dxa"/>
            <w:vAlign w:val="bottom"/>
          </w:tcPr>
          <w:p>
            <w:pPr>
              <w:jc w:val="center"/>
              <w:spacing w:after="0"/>
              <w:rPr>
                <w:sz w:val="20"/>
                <w:szCs w:val="20"/>
                <w:color w:val="auto"/>
              </w:rPr>
            </w:pPr>
            <w:r>
              <w:rPr>
                <w:rFonts w:ascii="Arial" w:cs="Arial" w:eastAsia="Arial" w:hAnsi="Arial"/>
                <w:sz w:val="13"/>
                <w:szCs w:val="13"/>
                <w:color w:val="auto"/>
                <w:w w:val="89"/>
              </w:rPr>
              <w:t>GB1073295</w:t>
            </w:r>
          </w:p>
        </w:tc>
        <w:tc>
          <w:tcPr>
            <w:tcW w:w="4400" w:type="dxa"/>
            <w:vAlign w:val="bottom"/>
          </w:tcPr>
          <w:p>
            <w:pPr>
              <w:ind w:left="40"/>
              <w:spacing w:after="0"/>
              <w:rPr>
                <w:sz w:val="20"/>
                <w:szCs w:val="20"/>
                <w:color w:val="auto"/>
              </w:rPr>
            </w:pPr>
            <w:r>
              <w:rPr>
                <w:rFonts w:ascii="Arial" w:cs="Arial" w:eastAsia="Arial" w:hAnsi="Arial"/>
                <w:sz w:val="13"/>
                <w:szCs w:val="13"/>
                <w:color w:val="auto"/>
              </w:rPr>
              <w:t>Internal Roaming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-8153400</wp:posOffset>
            </wp:positionV>
            <wp:extent cx="7246620" cy="2571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-7639050</wp:posOffset>
            </wp:positionV>
            <wp:extent cx="7246620" cy="2571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-7124065</wp:posOffset>
            </wp:positionV>
            <wp:extent cx="7246620" cy="2571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-6609715</wp:posOffset>
            </wp:positionV>
            <wp:extent cx="7246620" cy="2571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-6095365</wp:posOffset>
            </wp:positionV>
            <wp:extent cx="7246620" cy="2571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-5580380</wp:posOffset>
            </wp:positionV>
            <wp:extent cx="7246620" cy="2571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-5066030</wp:posOffset>
            </wp:positionV>
            <wp:extent cx="7246620" cy="2571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-4551680</wp:posOffset>
            </wp:positionV>
            <wp:extent cx="7246620" cy="2571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-4036695</wp:posOffset>
            </wp:positionV>
            <wp:extent cx="7246620" cy="2571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-3522345</wp:posOffset>
            </wp:positionV>
            <wp:extent cx="7246620" cy="2571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-3007995</wp:posOffset>
            </wp:positionV>
            <wp:extent cx="7246620" cy="2571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-2493645</wp:posOffset>
            </wp:positionV>
            <wp:extent cx="7246620" cy="2571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-1978660</wp:posOffset>
            </wp:positionV>
            <wp:extent cx="7246620" cy="2571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-1464310</wp:posOffset>
            </wp:positionV>
            <wp:extent cx="7246620" cy="2571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-949960</wp:posOffset>
            </wp:positionV>
            <wp:extent cx="7246620" cy="2571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-434975</wp:posOffset>
            </wp:positionV>
            <wp:extent cx="7246620" cy="2571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Vaara Tomi [Fi]</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Vaara Tomi [Fi]</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Vaara Tomi [Fi]</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Vaara Tomi [Fi]</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Vaara Tomi [Fi]</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Vaara Tomi [Fi]</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Vaara Tomi [Fi]</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Vaara Tomi [Fi]</w:t>
      </w:r>
    </w:p>
    <w:p>
      <w:pPr>
        <w:spacing w:after="0" w:line="188"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Korpela Sari [Fi] Koivisto Janne [Fi] (+1)</w:t>
      </w:r>
    </w:p>
    <w:p>
      <w:pPr>
        <w:spacing w:after="0" w:line="110" w:lineRule="exact"/>
        <w:rPr>
          <w:sz w:val="20"/>
          <w:szCs w:val="20"/>
          <w:color w:val="auto"/>
        </w:rPr>
      </w:pPr>
    </w:p>
    <w:p>
      <w:pPr>
        <w:ind w:right="280"/>
        <w:spacing w:after="0" w:line="237" w:lineRule="auto"/>
        <w:rPr>
          <w:sz w:val="20"/>
          <w:szCs w:val="20"/>
          <w:color w:val="auto"/>
        </w:rPr>
      </w:pPr>
      <w:r>
        <w:rPr>
          <w:rFonts w:ascii="Arial" w:cs="Arial" w:eastAsia="Arial" w:hAnsi="Arial"/>
          <w:sz w:val="13"/>
          <w:szCs w:val="13"/>
          <w:color w:val="auto"/>
        </w:rPr>
        <w:t>Hsu Liangchi Alan [Us] Cheng Mark W [Us] (+1)</w:t>
      </w:r>
    </w:p>
    <w:p>
      <w:pPr>
        <w:spacing w:after="0" w:line="110" w:lineRule="exact"/>
        <w:rPr>
          <w:sz w:val="20"/>
          <w:szCs w:val="20"/>
          <w:color w:val="auto"/>
        </w:rPr>
      </w:pPr>
    </w:p>
    <w:p>
      <w:pPr>
        <w:ind w:right="280"/>
        <w:spacing w:after="0" w:line="237" w:lineRule="auto"/>
        <w:rPr>
          <w:sz w:val="20"/>
          <w:szCs w:val="20"/>
          <w:color w:val="auto"/>
        </w:rPr>
      </w:pPr>
      <w:r>
        <w:rPr>
          <w:rFonts w:ascii="Arial" w:cs="Arial" w:eastAsia="Arial" w:hAnsi="Arial"/>
          <w:sz w:val="13"/>
          <w:szCs w:val="13"/>
          <w:color w:val="auto"/>
        </w:rPr>
        <w:t>Hsu Liangchi Alan [Us] Cheng Mark W [Us] (+1)</w:t>
      </w:r>
    </w:p>
    <w:p>
      <w:pPr>
        <w:spacing w:after="0" w:line="110" w:lineRule="exact"/>
        <w:rPr>
          <w:sz w:val="20"/>
          <w:szCs w:val="20"/>
          <w:color w:val="auto"/>
        </w:rPr>
      </w:pPr>
    </w:p>
    <w:p>
      <w:pPr>
        <w:ind w:right="280"/>
        <w:spacing w:after="0" w:line="237" w:lineRule="auto"/>
        <w:rPr>
          <w:sz w:val="20"/>
          <w:szCs w:val="20"/>
          <w:color w:val="auto"/>
        </w:rPr>
      </w:pPr>
      <w:r>
        <w:rPr>
          <w:rFonts w:ascii="Arial" w:cs="Arial" w:eastAsia="Arial" w:hAnsi="Arial"/>
          <w:sz w:val="13"/>
          <w:szCs w:val="13"/>
          <w:color w:val="auto"/>
        </w:rPr>
        <w:t>Hsu Liangchi Alan [Us] Cheng Mark W [Us] (+1)</w:t>
      </w:r>
    </w:p>
    <w:p>
      <w:pPr>
        <w:spacing w:after="0" w:line="110" w:lineRule="exact"/>
        <w:rPr>
          <w:sz w:val="20"/>
          <w:szCs w:val="20"/>
          <w:color w:val="auto"/>
        </w:rPr>
      </w:pPr>
    </w:p>
    <w:p>
      <w:pPr>
        <w:ind w:right="100"/>
        <w:spacing w:after="0" w:line="237" w:lineRule="auto"/>
        <w:rPr>
          <w:sz w:val="20"/>
          <w:szCs w:val="20"/>
          <w:color w:val="auto"/>
        </w:rPr>
      </w:pPr>
      <w:r>
        <w:rPr>
          <w:rFonts w:ascii="Arial" w:cs="Arial" w:eastAsia="Arial" w:hAnsi="Arial"/>
          <w:sz w:val="13"/>
          <w:szCs w:val="13"/>
          <w:color w:val="auto"/>
        </w:rPr>
        <w:t>Hsu Liangchi [Us] Niva Ilkka [Us] (+2)</w:t>
      </w:r>
    </w:p>
    <w:p>
      <w:pPr>
        <w:spacing w:after="0" w:line="110" w:lineRule="exact"/>
        <w:rPr>
          <w:sz w:val="20"/>
          <w:szCs w:val="20"/>
          <w:color w:val="auto"/>
        </w:rPr>
      </w:pPr>
    </w:p>
    <w:p>
      <w:pPr>
        <w:ind w:right="100"/>
        <w:spacing w:after="0" w:line="237" w:lineRule="auto"/>
        <w:rPr>
          <w:sz w:val="20"/>
          <w:szCs w:val="20"/>
          <w:color w:val="auto"/>
        </w:rPr>
      </w:pPr>
      <w:r>
        <w:rPr>
          <w:rFonts w:ascii="Arial" w:cs="Arial" w:eastAsia="Arial" w:hAnsi="Arial"/>
          <w:sz w:val="13"/>
          <w:szCs w:val="13"/>
          <w:color w:val="auto"/>
        </w:rPr>
        <w:t>Hsu Liangchi [Us] Niva Ilkka [Us] (+2)</w:t>
      </w:r>
    </w:p>
    <w:p>
      <w:pPr>
        <w:spacing w:after="0" w:line="110" w:lineRule="exact"/>
        <w:rPr>
          <w:sz w:val="20"/>
          <w:szCs w:val="20"/>
          <w:color w:val="auto"/>
        </w:rPr>
      </w:pPr>
    </w:p>
    <w:p>
      <w:pPr>
        <w:ind w:right="100"/>
        <w:spacing w:after="0" w:line="237" w:lineRule="auto"/>
        <w:rPr>
          <w:sz w:val="20"/>
          <w:szCs w:val="20"/>
          <w:color w:val="auto"/>
        </w:rPr>
      </w:pPr>
      <w:r>
        <w:rPr>
          <w:rFonts w:ascii="Arial" w:cs="Arial" w:eastAsia="Arial" w:hAnsi="Arial"/>
          <w:sz w:val="13"/>
          <w:szCs w:val="13"/>
          <w:color w:val="auto"/>
        </w:rPr>
        <w:t>Karves Heidi Heinonen Eeva-Liisa (+6)</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Tuomi Jukka [Fi]</w:t>
      </w:r>
    </w:p>
    <w:p>
      <w:pPr>
        <w:spacing w:after="0" w:line="188" w:lineRule="exact"/>
        <w:rPr>
          <w:sz w:val="20"/>
          <w:szCs w:val="20"/>
          <w:color w:val="auto"/>
        </w:rPr>
      </w:pPr>
    </w:p>
    <w:p>
      <w:pPr>
        <w:ind w:right="280"/>
        <w:spacing w:after="0" w:line="237" w:lineRule="auto"/>
        <w:rPr>
          <w:sz w:val="20"/>
          <w:szCs w:val="20"/>
          <w:color w:val="auto"/>
        </w:rPr>
      </w:pPr>
      <w:r>
        <w:rPr>
          <w:rFonts w:ascii="Arial" w:cs="Arial" w:eastAsia="Arial" w:hAnsi="Arial"/>
          <w:sz w:val="13"/>
          <w:szCs w:val="13"/>
          <w:color w:val="auto"/>
        </w:rPr>
        <w:t>Numminem Raili [Fi] Rissanen Pekka [Fi] (+1)</w:t>
      </w:r>
    </w:p>
    <w:p>
      <w:pPr>
        <w:spacing w:after="0" w:line="110" w:lineRule="exact"/>
        <w:rPr>
          <w:sz w:val="20"/>
          <w:szCs w:val="20"/>
          <w:color w:val="auto"/>
        </w:rPr>
      </w:pPr>
    </w:p>
    <w:p>
      <w:pPr>
        <w:ind w:right="280"/>
        <w:spacing w:after="0" w:line="237" w:lineRule="auto"/>
        <w:rPr>
          <w:sz w:val="20"/>
          <w:szCs w:val="20"/>
          <w:color w:val="auto"/>
        </w:rPr>
      </w:pPr>
      <w:r>
        <w:rPr>
          <w:rFonts w:ascii="Arial" w:cs="Arial" w:eastAsia="Arial" w:hAnsi="Arial"/>
          <w:sz w:val="13"/>
          <w:szCs w:val="13"/>
          <w:color w:val="auto"/>
        </w:rPr>
        <w:t>Numminem Raili [Fi] Rissanen Pekka [Fi] (+1)</w:t>
      </w:r>
    </w:p>
    <w:p>
      <w:pPr>
        <w:spacing w:after="0" w:line="110" w:lineRule="exact"/>
        <w:rPr>
          <w:sz w:val="20"/>
          <w:szCs w:val="20"/>
          <w:color w:val="auto"/>
        </w:rPr>
      </w:pPr>
    </w:p>
    <w:p>
      <w:pPr>
        <w:ind w:right="280"/>
        <w:spacing w:after="0" w:line="237" w:lineRule="auto"/>
        <w:rPr>
          <w:sz w:val="20"/>
          <w:szCs w:val="20"/>
          <w:color w:val="auto"/>
        </w:rPr>
      </w:pPr>
      <w:r>
        <w:rPr>
          <w:rFonts w:ascii="Arial" w:cs="Arial" w:eastAsia="Arial" w:hAnsi="Arial"/>
          <w:sz w:val="13"/>
          <w:szCs w:val="13"/>
          <w:color w:val="auto"/>
        </w:rPr>
        <w:t>Numminem Raili [Fi] Rissanen Pekka [Fi] (+1)</w:t>
      </w:r>
    </w:p>
    <w:p>
      <w:pPr>
        <w:spacing w:after="0" w:line="110" w:lineRule="exact"/>
        <w:rPr>
          <w:sz w:val="20"/>
          <w:szCs w:val="20"/>
          <w:color w:val="auto"/>
        </w:rPr>
      </w:pPr>
    </w:p>
    <w:p>
      <w:pPr>
        <w:ind w:right="280"/>
        <w:spacing w:after="0" w:line="237" w:lineRule="auto"/>
        <w:rPr>
          <w:sz w:val="20"/>
          <w:szCs w:val="20"/>
          <w:color w:val="auto"/>
        </w:rPr>
      </w:pPr>
      <w:r>
        <w:rPr>
          <w:rFonts w:ascii="Arial" w:cs="Arial" w:eastAsia="Arial" w:hAnsi="Arial"/>
          <w:sz w:val="13"/>
          <w:szCs w:val="13"/>
          <w:color w:val="auto"/>
        </w:rPr>
        <w:t>Numminem Raili [Fi] Rissanen Pekka [Fi] (+1)</w:t>
      </w:r>
    </w:p>
    <w:p>
      <w:pPr>
        <w:spacing w:after="0" w:line="20" w:lineRule="exact"/>
        <w:rPr>
          <w:sz w:val="20"/>
          <w:szCs w:val="20"/>
          <w:color w:val="auto"/>
        </w:rPr>
      </w:pPr>
      <w:r>
        <w:rPr>
          <w:sz w:val="20"/>
          <w:szCs w:val="20"/>
          <w:color w:val="auto"/>
        </w:rPr>
        <w:br w:type="column"/>
      </w:r>
    </w:p>
    <w:p>
      <w:pPr>
        <w:jc w:val="center"/>
        <w:ind w:right="60"/>
        <w:spacing w:after="0" w:line="216" w:lineRule="auto"/>
        <w:rPr>
          <w:sz w:val="20"/>
          <w:szCs w:val="20"/>
          <w:color w:val="auto"/>
        </w:rPr>
      </w:pPr>
      <w:r>
        <w:rPr>
          <w:rFonts w:ascii="Arial" w:cs="Arial" w:eastAsia="Arial" w:hAnsi="Arial"/>
          <w:sz w:val="13"/>
          <w:szCs w:val="13"/>
          <w:color w:val="auto"/>
        </w:rPr>
        <w:t>Not</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w:t>
      </w:r>
    </w:p>
    <w:p>
      <w:pPr>
        <w:jc w:val="center"/>
        <w:ind w:right="60"/>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w:t>
      </w:r>
    </w:p>
    <w:p>
      <w:pPr>
        <w:jc w:val="center"/>
        <w:ind w:right="60"/>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w:t>
      </w:r>
    </w:p>
    <w:p>
      <w:pPr>
        <w:jc w:val="center"/>
        <w:ind w:right="60"/>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w:t>
      </w:r>
    </w:p>
    <w:p>
      <w:pPr>
        <w:jc w:val="center"/>
        <w:ind w:right="60"/>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w:t>
      </w:r>
    </w:p>
    <w:p>
      <w:pPr>
        <w:jc w:val="center"/>
        <w:ind w:right="60"/>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w:t>
      </w:r>
    </w:p>
    <w:p>
      <w:pPr>
        <w:jc w:val="center"/>
        <w:ind w:right="60"/>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w:t>
      </w:r>
    </w:p>
    <w:p>
      <w:pPr>
        <w:jc w:val="center"/>
        <w:ind w:right="60"/>
        <w:spacing w:after="0"/>
        <w:rPr>
          <w:sz w:val="20"/>
          <w:szCs w:val="20"/>
          <w:color w:val="auto"/>
        </w:rPr>
      </w:pPr>
      <w:r>
        <w:rPr>
          <w:rFonts w:ascii="Arial" w:cs="Arial" w:eastAsia="Arial" w:hAnsi="Arial"/>
          <w:sz w:val="11"/>
          <w:szCs w:val="11"/>
          <w:color w:val="auto"/>
        </w:rPr>
        <w:t>Declared</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w:t>
      </w:r>
    </w:p>
    <w:p>
      <w:pPr>
        <w:jc w:val="center"/>
        <w:ind w:right="60"/>
        <w:spacing w:after="0"/>
        <w:rPr>
          <w:sz w:val="20"/>
          <w:szCs w:val="20"/>
          <w:color w:val="auto"/>
        </w:rPr>
      </w:pPr>
      <w:r>
        <w:rPr>
          <w:rFonts w:ascii="Arial" w:cs="Arial" w:eastAsia="Arial" w:hAnsi="Arial"/>
          <w:sz w:val="11"/>
          <w:szCs w:val="11"/>
          <w:color w:val="auto"/>
        </w:rPr>
        <w:t>Declared</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ETSI</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w:t>
      </w:r>
    </w:p>
    <w:p>
      <w:pPr>
        <w:jc w:val="center"/>
        <w:ind w:right="60"/>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w:t>
      </w:r>
    </w:p>
    <w:p>
      <w:pPr>
        <w:jc w:val="center"/>
        <w:ind w:right="60"/>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w:t>
      </w:r>
    </w:p>
    <w:p>
      <w:pPr>
        <w:jc w:val="center"/>
        <w:ind w:right="60"/>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w:t>
      </w:r>
    </w:p>
    <w:p>
      <w:pPr>
        <w:jc w:val="center"/>
        <w:ind w:right="60"/>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w:t>
      </w:r>
    </w:p>
    <w:p>
      <w:pPr>
        <w:jc w:val="center"/>
        <w:ind w:right="60"/>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Not</w:t>
      </w:r>
    </w:p>
    <w:p>
      <w:pPr>
        <w:jc w:val="center"/>
        <w:ind w:right="60"/>
        <w:spacing w:after="0"/>
        <w:rPr>
          <w:sz w:val="20"/>
          <w:szCs w:val="20"/>
          <w:color w:val="auto"/>
        </w:rPr>
      </w:pPr>
      <w:r>
        <w:rPr>
          <w:rFonts w:ascii="Arial" w:cs="Arial" w:eastAsia="Arial" w:hAnsi="Arial"/>
          <w:sz w:val="11"/>
          <w:szCs w:val="11"/>
          <w:color w:val="auto"/>
        </w:rPr>
        <w:t>Declared</w:t>
      </w:r>
    </w:p>
    <w:p>
      <w:pPr>
        <w:spacing w:after="0" w:line="77" w:lineRule="exact"/>
        <w:rPr>
          <w:sz w:val="20"/>
          <w:szCs w:val="20"/>
          <w:color w:val="auto"/>
        </w:rPr>
      </w:pPr>
    </w:p>
    <w:p>
      <w:pPr>
        <w:sectPr>
          <w:pgSz w:w="11900" w:h="16900" w:orient="portrait"/>
          <w:cols w:equalWidth="0" w:num="4">
            <w:col w:w="1840" w:space="300"/>
            <w:col w:w="6700" w:space="140"/>
            <w:col w:w="1860" w:space="60"/>
            <w:col w:w="520"/>
          </w:cols>
          <w:pgMar w:left="240" w:top="111" w:right="239" w:bottom="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680" w:type="dxa"/>
            <w:vAlign w:val="bottom"/>
            <w:shd w:val="clear" w:color="auto" w:fill="CCFFCC"/>
          </w:tcPr>
          <w:p>
            <w:pPr>
              <w:jc w:val="center"/>
              <w:spacing w:after="0" w:line="125" w:lineRule="exact"/>
              <w:rPr>
                <w:sz w:val="20"/>
                <w:szCs w:val="20"/>
                <w:color w:val="auto"/>
              </w:rPr>
            </w:pPr>
            <w:r>
              <w:rPr>
                <w:rFonts w:ascii="Arial" w:cs="Arial" w:eastAsia="Arial" w:hAnsi="Arial"/>
                <w:sz w:val="13"/>
                <w:szCs w:val="13"/>
                <w:color w:val="auto"/>
                <w:w w:val="94"/>
              </w:rPr>
              <w:t>A26505VI-</w:t>
            </w:r>
          </w:p>
        </w:tc>
        <w:tc>
          <w:tcPr>
            <w:tcW w:w="880" w:type="dxa"/>
            <w:vAlign w:val="bottom"/>
            <w:shd w:val="clear" w:color="auto" w:fill="CCFFCC"/>
          </w:tcPr>
          <w:p>
            <w:pPr>
              <w:jc w:val="center"/>
              <w:spacing w:after="0" w:line="125" w:lineRule="exact"/>
              <w:rPr>
                <w:sz w:val="20"/>
                <w:szCs w:val="20"/>
                <w:color w:val="auto"/>
              </w:rPr>
            </w:pPr>
            <w:r>
              <w:rPr>
                <w:rFonts w:ascii="Arial" w:cs="Arial" w:eastAsia="Arial" w:hAnsi="Arial"/>
                <w:sz w:val="13"/>
                <w:szCs w:val="13"/>
                <w:color w:val="auto"/>
                <w:w w:val="90"/>
              </w:rPr>
              <w:t>Vringo</w:t>
            </w:r>
          </w:p>
        </w:tc>
        <w:tc>
          <w:tcPr>
            <w:tcW w:w="440" w:type="dxa"/>
            <w:vAlign w:val="bottom"/>
            <w:shd w:val="clear" w:color="auto" w:fill="CCFFCC"/>
          </w:tcPr>
          <w:p>
            <w:pPr>
              <w:ind w:left="120"/>
              <w:spacing w:after="0" w:line="125" w:lineRule="exact"/>
              <w:rPr>
                <w:sz w:val="20"/>
                <w:szCs w:val="20"/>
                <w:color w:val="auto"/>
              </w:rPr>
            </w:pPr>
            <w:r>
              <w:rPr>
                <w:rFonts w:ascii="Arial" w:cs="Arial" w:eastAsia="Arial" w:hAnsi="Arial"/>
                <w:sz w:val="13"/>
                <w:szCs w:val="13"/>
                <w:color w:val="auto"/>
              </w:rPr>
              <w:t>NL</w:t>
            </w:r>
          </w:p>
        </w:tc>
        <w:tc>
          <w:tcPr>
            <w:tcW w:w="720" w:type="dxa"/>
            <w:vAlign w:val="bottom"/>
            <w:shd w:val="clear" w:color="auto" w:fill="CCFFCC"/>
          </w:tcPr>
          <w:p>
            <w:pPr>
              <w:ind w:left="160"/>
              <w:spacing w:after="0" w:line="125" w:lineRule="exact"/>
              <w:rPr>
                <w:sz w:val="20"/>
                <w:szCs w:val="20"/>
                <w:color w:val="auto"/>
              </w:rPr>
            </w:pPr>
            <w:r>
              <w:rPr>
                <w:rFonts w:ascii="Arial" w:cs="Arial" w:eastAsia="Arial" w:hAnsi="Arial"/>
                <w:sz w:val="13"/>
                <w:szCs w:val="13"/>
                <w:color w:val="auto"/>
              </w:rPr>
              <w:t>Granted</w:t>
            </w:r>
          </w:p>
        </w:tc>
        <w:tc>
          <w:tcPr>
            <w:tcW w:w="780" w:type="dxa"/>
            <w:vAlign w:val="bottom"/>
            <w:shd w:val="clear" w:color="auto" w:fill="CCFFCC"/>
          </w:tcPr>
          <w:p>
            <w:pPr>
              <w:ind w:left="140"/>
              <w:spacing w:after="0" w:line="125" w:lineRule="exact"/>
              <w:rPr>
                <w:sz w:val="20"/>
                <w:szCs w:val="20"/>
                <w:color w:val="auto"/>
              </w:rPr>
            </w:pPr>
            <w:r>
              <w:rPr>
                <w:rFonts w:ascii="Arial" w:cs="Arial" w:eastAsia="Arial" w:hAnsi="Arial"/>
                <w:sz w:val="13"/>
                <w:szCs w:val="13"/>
                <w:color w:val="auto"/>
              </w:rPr>
              <w:t>28-Jul-00</w:t>
            </w:r>
          </w:p>
        </w:tc>
        <w:tc>
          <w:tcPr>
            <w:tcW w:w="860" w:type="dxa"/>
            <w:vAlign w:val="bottom"/>
            <w:shd w:val="clear" w:color="auto" w:fill="CCFFCC"/>
          </w:tcPr>
          <w:p>
            <w:pPr>
              <w:ind w:left="140"/>
              <w:spacing w:after="0" w:line="125" w:lineRule="exact"/>
              <w:rPr>
                <w:sz w:val="20"/>
                <w:szCs w:val="20"/>
                <w:color w:val="auto"/>
              </w:rPr>
            </w:pPr>
            <w:r>
              <w:rPr>
                <w:rFonts w:ascii="Arial" w:cs="Arial" w:eastAsia="Arial" w:hAnsi="Arial"/>
                <w:sz w:val="13"/>
                <w:szCs w:val="13"/>
                <w:color w:val="auto"/>
              </w:rPr>
              <w:t>NL1073295</w:t>
            </w:r>
          </w:p>
        </w:tc>
        <w:tc>
          <w:tcPr>
            <w:tcW w:w="2800" w:type="dxa"/>
            <w:vAlign w:val="bottom"/>
            <w:shd w:val="clear" w:color="auto" w:fill="CCFFCC"/>
          </w:tcPr>
          <w:p>
            <w:pPr>
              <w:ind w:left="120"/>
              <w:spacing w:after="0" w:line="125" w:lineRule="exact"/>
              <w:rPr>
                <w:sz w:val="20"/>
                <w:szCs w:val="20"/>
                <w:color w:val="auto"/>
              </w:rPr>
            </w:pPr>
            <w:r>
              <w:rPr>
                <w:rFonts w:ascii="Arial" w:cs="Arial" w:eastAsia="Arial" w:hAnsi="Arial"/>
                <w:sz w:val="13"/>
                <w:szCs w:val="13"/>
                <w:color w:val="auto"/>
              </w:rPr>
              <w:t>Internal Roaming</w:t>
            </w:r>
          </w:p>
        </w:tc>
        <w:tc>
          <w:tcPr>
            <w:tcW w:w="3580" w:type="dxa"/>
            <w:vAlign w:val="bottom"/>
            <w:shd w:val="clear" w:color="auto" w:fill="CCFFCC"/>
          </w:tcPr>
          <w:p>
            <w:pPr>
              <w:ind w:left="1820"/>
              <w:spacing w:after="0" w:line="125" w:lineRule="exact"/>
              <w:rPr>
                <w:sz w:val="20"/>
                <w:szCs w:val="20"/>
                <w:color w:val="auto"/>
              </w:rPr>
            </w:pPr>
            <w:r>
              <w:rPr>
                <w:rFonts w:ascii="Arial" w:cs="Arial" w:eastAsia="Arial" w:hAnsi="Arial"/>
                <w:sz w:val="13"/>
                <w:szCs w:val="13"/>
                <w:color w:val="auto"/>
                <w:w w:val="99"/>
              </w:rPr>
              <w:t>Numminem Raili [Fi] Rissanen</w:t>
            </w:r>
          </w:p>
        </w:tc>
        <w:tc>
          <w:tcPr>
            <w:tcW w:w="680" w:type="dxa"/>
            <w:vAlign w:val="bottom"/>
            <w:shd w:val="clear" w:color="auto" w:fill="CCFFCC"/>
          </w:tcPr>
          <w:p>
            <w:pPr>
              <w:jc w:val="center"/>
              <w:ind w:left="57"/>
              <w:spacing w:after="0" w:line="125" w:lineRule="exact"/>
              <w:rPr>
                <w:sz w:val="20"/>
                <w:szCs w:val="20"/>
                <w:color w:val="auto"/>
              </w:rPr>
            </w:pPr>
            <w:r>
              <w:rPr>
                <w:rFonts w:ascii="Arial" w:cs="Arial" w:eastAsia="Arial" w:hAnsi="Arial"/>
                <w:sz w:val="13"/>
                <w:szCs w:val="13"/>
                <w:color w:val="auto"/>
                <w:w w:val="98"/>
              </w:rPr>
              <w:t>Not</w:t>
            </w:r>
          </w:p>
        </w:tc>
      </w:tr>
      <w:tr>
        <w:trPr>
          <w:trHeight w:val="160"/>
        </w:trPr>
        <w:tc>
          <w:tcPr>
            <w:tcW w:w="680" w:type="dxa"/>
            <w:vAlign w:val="bottom"/>
            <w:shd w:val="clear" w:color="auto" w:fill="CCFFCC"/>
          </w:tcPr>
          <w:p>
            <w:pPr>
              <w:jc w:val="center"/>
              <w:spacing w:after="0"/>
              <w:rPr>
                <w:sz w:val="20"/>
                <w:szCs w:val="20"/>
                <w:color w:val="auto"/>
              </w:rPr>
            </w:pPr>
            <w:r>
              <w:rPr>
                <w:rFonts w:ascii="Arial" w:cs="Arial" w:eastAsia="Arial" w:hAnsi="Arial"/>
                <w:sz w:val="13"/>
                <w:szCs w:val="13"/>
                <w:color w:val="auto"/>
                <w:w w:val="96"/>
              </w:rPr>
              <w:t>NL01</w:t>
            </w:r>
          </w:p>
        </w:tc>
        <w:tc>
          <w:tcPr>
            <w:tcW w:w="880" w:type="dxa"/>
            <w:vAlign w:val="bottom"/>
            <w:shd w:val="clear" w:color="auto" w:fill="CCFFCC"/>
          </w:tcPr>
          <w:p>
            <w:pPr>
              <w:jc w:val="center"/>
              <w:spacing w:after="0"/>
              <w:rPr>
                <w:sz w:val="20"/>
                <w:szCs w:val="20"/>
                <w:color w:val="auto"/>
              </w:rPr>
            </w:pPr>
            <w:r>
              <w:rPr>
                <w:rFonts w:ascii="Arial" w:cs="Arial" w:eastAsia="Arial" w:hAnsi="Arial"/>
                <w:sz w:val="13"/>
                <w:szCs w:val="13"/>
                <w:color w:val="auto"/>
                <w:w w:val="89"/>
              </w:rPr>
              <w:t>Infrastructure,</w:t>
            </w:r>
          </w:p>
        </w:tc>
        <w:tc>
          <w:tcPr>
            <w:tcW w:w="44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780" w:type="dxa"/>
            <w:vAlign w:val="bottom"/>
            <w:shd w:val="clear" w:color="auto" w:fill="CCFFCC"/>
          </w:tcPr>
          <w:p>
            <w:pPr>
              <w:spacing w:after="0"/>
              <w:rPr>
                <w:sz w:val="13"/>
                <w:szCs w:val="13"/>
                <w:color w:val="auto"/>
              </w:rPr>
            </w:pPr>
          </w:p>
        </w:tc>
        <w:tc>
          <w:tcPr>
            <w:tcW w:w="860" w:type="dxa"/>
            <w:vAlign w:val="bottom"/>
            <w:shd w:val="clear" w:color="auto" w:fill="CCFFCC"/>
          </w:tcPr>
          <w:p>
            <w:pPr>
              <w:spacing w:after="0"/>
              <w:rPr>
                <w:sz w:val="13"/>
                <w:szCs w:val="13"/>
                <w:color w:val="auto"/>
              </w:rPr>
            </w:pPr>
          </w:p>
        </w:tc>
        <w:tc>
          <w:tcPr>
            <w:tcW w:w="2800" w:type="dxa"/>
            <w:vAlign w:val="bottom"/>
            <w:shd w:val="clear" w:color="auto" w:fill="CCFFCC"/>
          </w:tcPr>
          <w:p>
            <w:pPr>
              <w:spacing w:after="0"/>
              <w:rPr>
                <w:sz w:val="13"/>
                <w:szCs w:val="13"/>
                <w:color w:val="auto"/>
              </w:rPr>
            </w:pPr>
          </w:p>
        </w:tc>
        <w:tc>
          <w:tcPr>
            <w:tcW w:w="3580" w:type="dxa"/>
            <w:vAlign w:val="bottom"/>
            <w:shd w:val="clear" w:color="auto" w:fill="CCFFCC"/>
          </w:tcPr>
          <w:p>
            <w:pPr>
              <w:ind w:left="1820"/>
              <w:spacing w:after="0"/>
              <w:rPr>
                <w:sz w:val="20"/>
                <w:szCs w:val="20"/>
                <w:color w:val="auto"/>
              </w:rPr>
            </w:pPr>
            <w:r>
              <w:rPr>
                <w:rFonts w:ascii="Arial" w:cs="Arial" w:eastAsia="Arial" w:hAnsi="Arial"/>
                <w:sz w:val="13"/>
                <w:szCs w:val="13"/>
                <w:color w:val="auto"/>
              </w:rPr>
              <w:t>Pekka [Fi] (+1)</w:t>
            </w:r>
          </w:p>
        </w:tc>
        <w:tc>
          <w:tcPr>
            <w:tcW w:w="680" w:type="dxa"/>
            <w:vAlign w:val="bottom"/>
            <w:shd w:val="clear" w:color="auto" w:fill="CCFFCC"/>
          </w:tcPr>
          <w:p>
            <w:pPr>
              <w:jc w:val="center"/>
              <w:ind w:left="37"/>
              <w:spacing w:after="0"/>
              <w:rPr>
                <w:sz w:val="20"/>
                <w:szCs w:val="20"/>
                <w:color w:val="auto"/>
              </w:rPr>
            </w:pPr>
            <w:r>
              <w:rPr>
                <w:rFonts w:ascii="Arial" w:cs="Arial" w:eastAsia="Arial" w:hAnsi="Arial"/>
                <w:sz w:val="13"/>
                <w:szCs w:val="13"/>
                <w:color w:val="auto"/>
                <w:w w:val="88"/>
              </w:rPr>
              <w:t>Declared</w:t>
            </w:r>
          </w:p>
        </w:tc>
      </w:tr>
      <w:tr>
        <w:trPr>
          <w:trHeight w:val="73"/>
        </w:trPr>
        <w:tc>
          <w:tcPr>
            <w:tcW w:w="680" w:type="dxa"/>
            <w:vAlign w:val="bottom"/>
            <w:shd w:val="clear" w:color="auto" w:fill="CCFFCC"/>
          </w:tcPr>
          <w:p>
            <w:pPr>
              <w:spacing w:after="0"/>
              <w:rPr>
                <w:sz w:val="6"/>
                <w:szCs w:val="6"/>
                <w:color w:val="auto"/>
              </w:rPr>
            </w:pPr>
          </w:p>
        </w:tc>
        <w:tc>
          <w:tcPr>
            <w:tcW w:w="880" w:type="dxa"/>
            <w:vAlign w:val="bottom"/>
            <w:shd w:val="clear" w:color="auto" w:fill="CCFFCC"/>
          </w:tcPr>
          <w:p>
            <w:pPr>
              <w:spacing w:after="0"/>
              <w:rPr>
                <w:sz w:val="6"/>
                <w:szCs w:val="6"/>
                <w:color w:val="auto"/>
              </w:rPr>
            </w:pPr>
          </w:p>
        </w:tc>
        <w:tc>
          <w:tcPr>
            <w:tcW w:w="440" w:type="dxa"/>
            <w:vAlign w:val="bottom"/>
            <w:shd w:val="clear" w:color="auto" w:fill="CCFFCC"/>
          </w:tcPr>
          <w:p>
            <w:pPr>
              <w:spacing w:after="0"/>
              <w:rPr>
                <w:sz w:val="6"/>
                <w:szCs w:val="6"/>
                <w:color w:val="auto"/>
              </w:rPr>
            </w:pPr>
          </w:p>
        </w:tc>
        <w:tc>
          <w:tcPr>
            <w:tcW w:w="720" w:type="dxa"/>
            <w:vAlign w:val="bottom"/>
            <w:shd w:val="clear" w:color="auto" w:fill="CCFFCC"/>
          </w:tcPr>
          <w:p>
            <w:pPr>
              <w:spacing w:after="0"/>
              <w:rPr>
                <w:sz w:val="6"/>
                <w:szCs w:val="6"/>
                <w:color w:val="auto"/>
              </w:rPr>
            </w:pPr>
          </w:p>
        </w:tc>
        <w:tc>
          <w:tcPr>
            <w:tcW w:w="780" w:type="dxa"/>
            <w:vAlign w:val="bottom"/>
            <w:shd w:val="clear" w:color="auto" w:fill="CCFFCC"/>
          </w:tcPr>
          <w:p>
            <w:pPr>
              <w:spacing w:after="0"/>
              <w:rPr>
                <w:sz w:val="6"/>
                <w:szCs w:val="6"/>
                <w:color w:val="auto"/>
              </w:rPr>
            </w:pPr>
          </w:p>
        </w:tc>
        <w:tc>
          <w:tcPr>
            <w:tcW w:w="860" w:type="dxa"/>
            <w:vAlign w:val="bottom"/>
            <w:shd w:val="clear" w:color="auto" w:fill="CCFFCC"/>
          </w:tcPr>
          <w:p>
            <w:pPr>
              <w:spacing w:after="0"/>
              <w:rPr>
                <w:sz w:val="6"/>
                <w:szCs w:val="6"/>
                <w:color w:val="auto"/>
              </w:rPr>
            </w:pPr>
          </w:p>
        </w:tc>
        <w:tc>
          <w:tcPr>
            <w:tcW w:w="2800" w:type="dxa"/>
            <w:vAlign w:val="bottom"/>
            <w:shd w:val="clear" w:color="auto" w:fill="CCFFCC"/>
          </w:tcPr>
          <w:p>
            <w:pPr>
              <w:spacing w:after="0"/>
              <w:rPr>
                <w:sz w:val="6"/>
                <w:szCs w:val="6"/>
                <w:color w:val="auto"/>
              </w:rPr>
            </w:pPr>
          </w:p>
        </w:tc>
        <w:tc>
          <w:tcPr>
            <w:tcW w:w="3580" w:type="dxa"/>
            <w:vAlign w:val="bottom"/>
            <w:shd w:val="clear" w:color="auto" w:fill="CCFFCC"/>
          </w:tcPr>
          <w:p>
            <w:pPr>
              <w:spacing w:after="0"/>
              <w:rPr>
                <w:sz w:val="6"/>
                <w:szCs w:val="6"/>
                <w:color w:val="auto"/>
              </w:rPr>
            </w:pPr>
          </w:p>
        </w:tc>
        <w:tc>
          <w:tcPr>
            <w:tcW w:w="680" w:type="dxa"/>
            <w:vAlign w:val="bottom"/>
            <w:shd w:val="clear" w:color="auto" w:fill="CCFFCC"/>
          </w:tcPr>
          <w:p>
            <w:pPr>
              <w:spacing w:after="0"/>
              <w:rPr>
                <w:sz w:val="6"/>
                <w:szCs w:val="6"/>
                <w:color w:val="auto"/>
              </w:rPr>
            </w:pPr>
          </w:p>
        </w:tc>
      </w:tr>
    </w:tbl>
    <w:p>
      <w:pPr>
        <w:sectPr>
          <w:pgSz w:w="11900" w:h="16900" w:orient="portrait"/>
          <w:cols w:equalWidth="0" w:num="1">
            <w:col w:w="11420"/>
          </w:cols>
          <w:pgMar w:left="240" w:top="111" w:right="239" w:bottom="0" w:gutter="0" w:footer="0" w:header="0"/>
          <w:type w:val="continuous"/>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A26505VI-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A2651VI-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DE01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A2651VI-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1"/>
              </w:rPr>
              <w:t>EP01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A2651VI-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A27006VI-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A27006VI-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A27006VI-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FI</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FI01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A27006VI-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A27006VI-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A27006VI-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SE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SE01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A27006VI-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A27008VI-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A27008VI-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A27008VI-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FI</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FI01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A27008VI-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A27008VI-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A27008VI-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6"/>
              </w:rPr>
              <w:t>NL</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NL01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A27008VI-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A27014VI-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A2702VI-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A2704VI-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99"/>
              </w:rPr>
              <w:t>AU</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AU01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A2704VI-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99"/>
              </w:rPr>
              <w:t>CA</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CA01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A2704VI-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0"/>
              </w:rPr>
              <w:t>CN01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A2704VI-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DE01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A2704VI-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1"/>
              </w:rPr>
              <w:t>EP01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A2704VI-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1"/>
              </w:rPr>
              <w:t>ES</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1"/>
              </w:rPr>
              <w:t>ES01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A2704VI-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rPr>
              <w:t>FI</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FI01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A2704VI-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7"/>
              </w:rPr>
              <w:t>FR01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A2704VI-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0"/>
              </w:rPr>
              <w:t>GB01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A2704VI-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9"/>
              </w:rPr>
              <w:t>IT01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A2704VI-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7"/>
              </w:rPr>
              <w:t>JP01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A2704VI-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2"/>
              </w:rPr>
              <w:t>NZ</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NZ01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A2704VI-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A29648VI-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FI</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FI01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A29648VI-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A30602VI-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A30625VI-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A30625VI-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A30625VI-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A30625VI-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KR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KR01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40" w:type="dxa"/>
            <w:vAlign w:val="bottom"/>
          </w:tcPr>
          <w:p>
            <w:pPr>
              <w:jc w:val="center"/>
              <w:spacing w:after="0"/>
              <w:rPr>
                <w:sz w:val="20"/>
                <w:szCs w:val="20"/>
                <w:color w:val="auto"/>
              </w:rPr>
            </w:pPr>
            <w:r>
              <w:rPr>
                <w:rFonts w:ascii="Arial" w:cs="Arial" w:eastAsia="Arial" w:hAnsi="Arial"/>
                <w:sz w:val="13"/>
                <w:szCs w:val="13"/>
                <w:color w:val="auto"/>
                <w:w w:val="94"/>
              </w:rPr>
              <w:t>A30625VI-</w:t>
            </w:r>
          </w:p>
        </w:tc>
        <w:tc>
          <w:tcPr>
            <w:tcW w:w="880" w:type="dxa"/>
            <w:vAlign w:val="bottom"/>
          </w:tcPr>
          <w:p>
            <w:pPr>
              <w:jc w:val="center"/>
              <w:spacing w:after="0"/>
              <w:rPr>
                <w:sz w:val="20"/>
                <w:szCs w:val="20"/>
                <w:color w:val="auto"/>
              </w:rPr>
            </w:pPr>
            <w:r>
              <w:rPr>
                <w:rFonts w:ascii="Arial" w:cs="Arial" w:eastAsia="Arial" w:hAnsi="Arial"/>
                <w:sz w:val="13"/>
                <w:szCs w:val="13"/>
                <w:color w:val="auto"/>
                <w:w w:val="90"/>
              </w:rPr>
              <w:t>Vringo</w:t>
            </w:r>
          </w:p>
        </w:tc>
        <w:tc>
          <w:tcPr>
            <w:tcW w:w="280" w:type="dxa"/>
            <w:vAlign w:val="bottom"/>
          </w:tcPr>
          <w:p>
            <w:pPr>
              <w:jc w:val="center"/>
              <w:ind w:left="57"/>
              <w:spacing w:after="0"/>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30-Mar-04</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US7171209</w:t>
            </w:r>
          </w:p>
        </w:tc>
        <w:tc>
          <w:tcPr>
            <w:tcW w:w="4500" w:type="dxa"/>
            <w:vAlign w:val="bottom"/>
          </w:tcPr>
          <w:p>
            <w:pPr>
              <w:ind w:left="60"/>
              <w:spacing w:after="0"/>
              <w:rPr>
                <w:sz w:val="20"/>
                <w:szCs w:val="20"/>
                <w:color w:val="auto"/>
              </w:rPr>
            </w:pPr>
            <w:r>
              <w:rPr>
                <w:rFonts w:ascii="Arial" w:cs="Arial" w:eastAsia="Arial" w:hAnsi="Arial"/>
                <w:sz w:val="13"/>
                <w:szCs w:val="13"/>
                <w:color w:val="auto"/>
                <w:w w:val="90"/>
              </w:rPr>
              <w:t>System And Method For Allowing Subscribers To Make Internal Calls While Roaming</w:t>
            </w:r>
          </w:p>
        </w:tc>
        <w:tc>
          <w:tcPr>
            <w:tcW w:w="1960" w:type="dxa"/>
            <w:vAlign w:val="bottom"/>
          </w:tcPr>
          <w:p>
            <w:pPr>
              <w:ind w:left="60"/>
              <w:spacing w:after="0"/>
              <w:rPr>
                <w:sz w:val="20"/>
                <w:szCs w:val="20"/>
                <w:color w:val="auto"/>
              </w:rPr>
            </w:pPr>
            <w:r>
              <w:rPr>
                <w:rFonts w:ascii="Arial" w:cs="Arial" w:eastAsia="Arial" w:hAnsi="Arial"/>
                <w:sz w:val="13"/>
                <w:szCs w:val="13"/>
                <w:color w:val="auto"/>
              </w:rPr>
              <w:t>Numminem Raili [Fi] Rissanen</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To Other Networks</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Pekka [Fi] (+1)</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8"/>
              </w:rPr>
              <w:t>14-Dec-93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DE69326903.0</w:t>
            </w:r>
          </w:p>
        </w:tc>
        <w:tc>
          <w:tcPr>
            <w:tcW w:w="4500" w:type="dxa"/>
            <w:vAlign w:val="bottom"/>
          </w:tcPr>
          <w:p>
            <w:pPr>
              <w:ind w:left="60"/>
              <w:spacing w:after="0"/>
              <w:rPr>
                <w:sz w:val="20"/>
                <w:szCs w:val="20"/>
                <w:color w:val="auto"/>
              </w:rPr>
            </w:pPr>
            <w:r>
              <w:rPr>
                <w:rFonts w:ascii="Arial" w:cs="Arial" w:eastAsia="Arial" w:hAnsi="Arial"/>
                <w:sz w:val="13"/>
                <w:szCs w:val="13"/>
                <w:color w:val="auto"/>
                <w:w w:val="91"/>
              </w:rPr>
              <w:t>A Method For Congestion Management In A Frame Relay Network And A Node In A</w:t>
            </w:r>
          </w:p>
        </w:tc>
        <w:tc>
          <w:tcPr>
            <w:tcW w:w="1960" w:type="dxa"/>
            <w:vAlign w:val="bottom"/>
          </w:tcPr>
          <w:p>
            <w:pPr>
              <w:ind w:left="60"/>
              <w:spacing w:after="0"/>
              <w:rPr>
                <w:sz w:val="20"/>
                <w:szCs w:val="20"/>
                <w:color w:val="auto"/>
              </w:rPr>
            </w:pPr>
            <w:r>
              <w:rPr>
                <w:rFonts w:ascii="Arial" w:cs="Arial" w:eastAsia="Arial" w:hAnsi="Arial"/>
                <w:sz w:val="13"/>
                <w:szCs w:val="13"/>
                <w:color w:val="auto"/>
                <w:w w:val="93"/>
              </w:rPr>
              <w:t>Peltola Tero [Fi] Matkaselka Jorma</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Frame Relay Network</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(+5)</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8"/>
              </w:rPr>
              <w:t>14-Dec-93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8"/>
              </w:rPr>
              <w:t>EP788698</w:t>
            </w:r>
          </w:p>
        </w:tc>
        <w:tc>
          <w:tcPr>
            <w:tcW w:w="4500" w:type="dxa"/>
            <w:vAlign w:val="bottom"/>
          </w:tcPr>
          <w:p>
            <w:pPr>
              <w:ind w:left="60"/>
              <w:spacing w:after="0"/>
              <w:rPr>
                <w:sz w:val="20"/>
                <w:szCs w:val="20"/>
                <w:color w:val="auto"/>
              </w:rPr>
            </w:pPr>
            <w:r>
              <w:rPr>
                <w:rFonts w:ascii="Arial" w:cs="Arial" w:eastAsia="Arial" w:hAnsi="Arial"/>
                <w:sz w:val="13"/>
                <w:szCs w:val="13"/>
                <w:color w:val="auto"/>
                <w:w w:val="91"/>
              </w:rPr>
              <w:t>A Method For Congestion Management In A Frame Relay Network And A Node In A</w:t>
            </w:r>
          </w:p>
        </w:tc>
        <w:tc>
          <w:tcPr>
            <w:tcW w:w="1960" w:type="dxa"/>
            <w:vAlign w:val="bottom"/>
          </w:tcPr>
          <w:p>
            <w:pPr>
              <w:ind w:left="60"/>
              <w:spacing w:after="0"/>
              <w:rPr>
                <w:sz w:val="20"/>
                <w:szCs w:val="20"/>
                <w:color w:val="auto"/>
              </w:rPr>
            </w:pPr>
            <w:r>
              <w:rPr>
                <w:rFonts w:ascii="Arial" w:cs="Arial" w:eastAsia="Arial" w:hAnsi="Arial"/>
                <w:sz w:val="13"/>
                <w:szCs w:val="13"/>
                <w:color w:val="auto"/>
                <w:w w:val="93"/>
              </w:rPr>
              <w:t>Peltola Tero [Fi] Matkaselka Jorma</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Frame Relay Network</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(+5)</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3"/>
              </w:rPr>
              <w:t>1-Aug-95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US5638359</w:t>
            </w:r>
          </w:p>
        </w:tc>
        <w:tc>
          <w:tcPr>
            <w:tcW w:w="4500" w:type="dxa"/>
            <w:vAlign w:val="bottom"/>
          </w:tcPr>
          <w:p>
            <w:pPr>
              <w:ind w:left="60"/>
              <w:spacing w:after="0"/>
              <w:rPr>
                <w:sz w:val="20"/>
                <w:szCs w:val="20"/>
                <w:color w:val="auto"/>
              </w:rPr>
            </w:pPr>
            <w:r>
              <w:rPr>
                <w:rFonts w:ascii="Arial" w:cs="Arial" w:eastAsia="Arial" w:hAnsi="Arial"/>
                <w:sz w:val="13"/>
                <w:szCs w:val="13"/>
                <w:color w:val="auto"/>
                <w:w w:val="93"/>
              </w:rPr>
              <w:t>Method For Congestion Management In A Frame Relay Network And A Node In A</w:t>
            </w:r>
          </w:p>
        </w:tc>
        <w:tc>
          <w:tcPr>
            <w:tcW w:w="1960" w:type="dxa"/>
            <w:vAlign w:val="bottom"/>
          </w:tcPr>
          <w:p>
            <w:pPr>
              <w:ind w:left="60"/>
              <w:spacing w:after="0"/>
              <w:rPr>
                <w:sz w:val="20"/>
                <w:szCs w:val="20"/>
                <w:color w:val="auto"/>
              </w:rPr>
            </w:pPr>
            <w:r>
              <w:rPr>
                <w:rFonts w:ascii="Arial" w:cs="Arial" w:eastAsia="Arial" w:hAnsi="Arial"/>
                <w:sz w:val="13"/>
                <w:szCs w:val="13"/>
                <w:color w:val="auto"/>
                <w:w w:val="93"/>
              </w:rPr>
              <w:t>Peltola Tero [Fi] Matkaselka Jorma</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Frame Relay</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(+5)</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14-Sep-00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DE60002904.2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Apparatus And Method For Remotely Monitoring An Area</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Casais Eduardo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14-Sep-00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EP1221149</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Apparatus And Method For Remotely Monitoring An Area</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Casais Eduardo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14-Sep-00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6"/>
              </w:rPr>
              <w:t>FI1221149</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Assembly And Associated Method, For Remotely Monitoring A Surveillance</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Casais Eduardo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14-Sep-00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FR1221149</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Assembly And Associated Method, For Remotely Monitoring A Surveillance</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Casais Eduardo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14-Sep-00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GB1221149</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Assembly And Associated Method, For Remotely Monitoring A Surveillance</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Casais Eduardo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14-Sep-00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SE1221149</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Assembly And Associated Method, For Remotely Monitoring A Surveillance</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Casais Eduardo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15-Sep-99</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US6288641</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w w:val="94"/>
              </w:rPr>
              <w:t>Assembly, And Associated Method, For Remotely Monitoring A Surveillance Area</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Casais Eduardo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7-Jun-00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DE60006821.8</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License Control At A Gateway Server</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Solala Erkki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7-Jun-00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EP1197036</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License Control At A Gateway Server</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Solala Erkki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30-Jun-99</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FI111583</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License Control At A Gateway Server</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Solala Erkki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7-Jun-00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FR1197036</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License Control At A Gateway Server</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Solala Erkki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7-Jun-00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GB1197036</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License Control At A Gateway Server</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Solala Erkki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7-Jun-00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2"/>
              </w:rPr>
              <w:t>NL1197036</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License Control At A Gateway Server</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Solala Erkki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0"/>
              </w:rPr>
              <w:t>7-Mar-02</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US7193995</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License Control At A Gateway Server</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Solala Erkki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3"/>
              </w:rPr>
              <w:t>30-Apr-01</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US7333946</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Ticketing With Printing Option</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Sipponen Juha-Pekka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18-Jun-97</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US6064648</w:t>
            </w:r>
          </w:p>
        </w:tc>
        <w:tc>
          <w:tcPr>
            <w:tcW w:w="4500" w:type="dxa"/>
            <w:vAlign w:val="bottom"/>
          </w:tcPr>
          <w:p>
            <w:pPr>
              <w:ind w:left="60"/>
              <w:spacing w:after="0"/>
              <w:rPr>
                <w:sz w:val="20"/>
                <w:szCs w:val="20"/>
                <w:color w:val="auto"/>
              </w:rPr>
            </w:pPr>
            <w:r>
              <w:rPr>
                <w:rFonts w:ascii="Arial" w:cs="Arial" w:eastAsia="Arial" w:hAnsi="Arial"/>
                <w:sz w:val="13"/>
                <w:szCs w:val="13"/>
                <w:color w:val="auto"/>
                <w:w w:val="97"/>
              </w:rPr>
              <w:t>Method For Notifying A Frame Relay Network Of Traffic Congestion In An ATM</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Hellman Esko Flinck Hannu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Network</w:t>
            </w: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13-Jan-95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1"/>
              </w:rPr>
              <w:t>AU696034</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And System For Controlling Statistically Multiplexed ATM Bus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Flinck Hannu [Fi] Kaukanen Osmo</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(+2)</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13-Jan-95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0"/>
              </w:rPr>
              <w:t>CA2181333</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And System For Controlling Statistically Multiplexed ATM Bus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Flinck Hannu [Fi] Kaukanen Osmo</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(+2)</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13-Jan-95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CN1154301</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And System For Controlling Statistically Multiplexed ATM Bus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Flinck Hannu [Fi] Kaukanen Osmo</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(+2)</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13-Jan-95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DE69528819.9</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And System For Controlling Statistically Multiplexed ATM Bus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Flinck Hannu [Fi] Kaukanen Osmo</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(+2)</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13-Jan-95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8"/>
              </w:rPr>
              <w:t>EP740875</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And System For Controlling Statistically Multiplexed ATM Bus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Flinck Hannu [Fi] Kaukanen Osmo</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(+2)</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13-Jan-95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ES2186710</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And System For Controlling Statistically Multiplexed ATM Bus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Flinck Hannu [Fi] Kaukanen Osmo</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(+2)</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17-Jan-94</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FI94816</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And System For Controlling Statistically Multiplexed Atm Bus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Flinck Hannu [Fi] Kaukanen Osmo</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(+2)</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13-Jan-95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8"/>
              </w:rPr>
              <w:t>FR740875</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And System For Controlling Statistically Multiplexed ATM Bus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Flinck Hannu [Fi] Kaukanen Osmo</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(+2)</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13-Jan-95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6"/>
              </w:rPr>
              <w:t>GB740875</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And System For Controlling Statistically Multiplexed ATM Bus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Flinck Hannu [Fi] Kaukanen Osmo</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(+2)</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13-Jan-95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0"/>
              </w:rPr>
              <w:t>IT740875</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And System For Controlling Statistically Multiplexed ATM Bus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Flinck Hannu [Fi] Kaukanen Osmo</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(+2)</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13-Jan-95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JP2927553</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And System For Controlling Statistically Multiplexed ATM Bus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Flinck Hannu [Fi] Kaukanen Osmo</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(+2)</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13-Jan-95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8"/>
              </w:rPr>
              <w:t>NZ278086</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Controlling Multiplexed ATM Bus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Flinck Hannu [Fi] Kaukanen Osmo</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(+2)</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8"/>
              </w:rPr>
              <w:t>16-Jul-96</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US5841774</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And System For Controlling Statistically Multiplexed ATM Bus</w:t>
            </w:r>
          </w:p>
        </w:tc>
        <w:tc>
          <w:tcPr>
            <w:tcW w:w="1960" w:type="dxa"/>
            <w:vAlign w:val="bottom"/>
          </w:tcPr>
          <w:p>
            <w:pPr>
              <w:ind w:left="60"/>
              <w:spacing w:after="0"/>
              <w:rPr>
                <w:sz w:val="20"/>
                <w:szCs w:val="20"/>
                <w:color w:val="auto"/>
              </w:rPr>
            </w:pPr>
            <w:r>
              <w:rPr>
                <w:rFonts w:ascii="Arial" w:cs="Arial" w:eastAsia="Arial" w:hAnsi="Arial"/>
                <w:sz w:val="13"/>
                <w:szCs w:val="13"/>
                <w:color w:val="auto"/>
                <w:w w:val="94"/>
              </w:rPr>
              <w:t>Flinck Hannu [Fi] Kaukanen Osmo</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[Fi] (+2)</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16-Jun-00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FI111899</w:t>
            </w:r>
          </w:p>
        </w:tc>
        <w:tc>
          <w:tcPr>
            <w:tcW w:w="4500" w:type="dxa"/>
            <w:vAlign w:val="bottom"/>
          </w:tcPr>
          <w:p>
            <w:pPr>
              <w:ind w:left="60"/>
              <w:spacing w:after="0"/>
              <w:rPr>
                <w:sz w:val="20"/>
                <w:szCs w:val="20"/>
                <w:color w:val="auto"/>
              </w:rPr>
            </w:pPr>
            <w:r>
              <w:rPr>
                <w:rFonts w:ascii="Arial" w:cs="Arial" w:eastAsia="Arial" w:hAnsi="Arial"/>
                <w:sz w:val="13"/>
                <w:szCs w:val="13"/>
                <w:color w:val="auto"/>
                <w:w w:val="93"/>
              </w:rPr>
              <w:t>Method For Addressing Billing In A Message Service, Messaging Service System,</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Sivula Timo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Server And Terminal</w:t>
            </w: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15-Jun-01</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US7590225</w:t>
            </w:r>
          </w:p>
        </w:tc>
        <w:tc>
          <w:tcPr>
            <w:tcW w:w="4500" w:type="dxa"/>
            <w:vAlign w:val="bottom"/>
          </w:tcPr>
          <w:p>
            <w:pPr>
              <w:ind w:left="60"/>
              <w:spacing w:after="0"/>
              <w:rPr>
                <w:sz w:val="20"/>
                <w:szCs w:val="20"/>
                <w:color w:val="auto"/>
              </w:rPr>
            </w:pPr>
            <w:r>
              <w:rPr>
                <w:rFonts w:ascii="Arial" w:cs="Arial" w:eastAsia="Arial" w:hAnsi="Arial"/>
                <w:sz w:val="13"/>
                <w:szCs w:val="13"/>
                <w:color w:val="auto"/>
                <w:w w:val="93"/>
              </w:rPr>
              <w:t>Method For Addressing Billing In A Message Service, Messaging Service System,</w:t>
            </w: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Sivula Timo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Server And Terminal</w:t>
            </w:r>
          </w:p>
        </w:tc>
        <w:tc>
          <w:tcPr>
            <w:tcW w:w="196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9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28-Oct-02</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US6930988</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Method And System For Fast IP Connectivity In A Mobile Network</w:t>
            </w:r>
          </w:p>
        </w:tc>
        <w:tc>
          <w:tcPr>
            <w:tcW w:w="1960" w:type="dxa"/>
            <w:vAlign w:val="bottom"/>
          </w:tcPr>
          <w:p>
            <w:pPr>
              <w:ind w:left="60"/>
              <w:spacing w:after="0"/>
              <w:rPr>
                <w:sz w:val="20"/>
                <w:szCs w:val="20"/>
                <w:color w:val="auto"/>
              </w:rPr>
            </w:pPr>
            <w:r>
              <w:rPr>
                <w:rFonts w:ascii="Arial" w:cs="Arial" w:eastAsia="Arial" w:hAnsi="Arial"/>
                <w:sz w:val="13"/>
                <w:szCs w:val="13"/>
                <w:color w:val="auto"/>
                <w:w w:val="92"/>
              </w:rPr>
              <w:t>Koodli Rajeev [Us] Perkins Charles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E [Us]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0"/>
              </w:rPr>
              <w:t>8-Oct-03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DE60331848.7</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Mobile Router Cost Metric For Routing Protocol Updates In Mobile Router</w:t>
            </w:r>
          </w:p>
        </w:tc>
        <w:tc>
          <w:tcPr>
            <w:tcW w:w="1960" w:type="dxa"/>
            <w:vAlign w:val="bottom"/>
          </w:tcPr>
          <w:p>
            <w:pPr>
              <w:ind w:left="60"/>
              <w:spacing w:after="0"/>
              <w:rPr>
                <w:sz w:val="20"/>
                <w:szCs w:val="20"/>
                <w:color w:val="auto"/>
              </w:rPr>
            </w:pPr>
            <w:r>
              <w:rPr>
                <w:rFonts w:ascii="Arial" w:cs="Arial" w:eastAsia="Arial" w:hAnsi="Arial"/>
                <w:sz w:val="13"/>
                <w:szCs w:val="13"/>
                <w:color w:val="auto"/>
                <w:w w:val="86"/>
              </w:rPr>
              <w:t>Sahasrabudhe Meghana Malinen Jari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T</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0"/>
              </w:rPr>
              <w:t>8-Oct-03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EP1559242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w w:val="92"/>
              </w:rPr>
              <w:t>System And Method For Mobile Router Cost Metric Updates For Routing Protocols</w:t>
            </w:r>
          </w:p>
        </w:tc>
        <w:tc>
          <w:tcPr>
            <w:tcW w:w="1960" w:type="dxa"/>
            <w:vAlign w:val="bottom"/>
          </w:tcPr>
          <w:p>
            <w:pPr>
              <w:ind w:left="60"/>
              <w:spacing w:after="0"/>
              <w:rPr>
                <w:sz w:val="20"/>
                <w:szCs w:val="20"/>
                <w:color w:val="auto"/>
              </w:rPr>
            </w:pPr>
            <w:r>
              <w:rPr>
                <w:rFonts w:ascii="Arial" w:cs="Arial" w:eastAsia="Arial" w:hAnsi="Arial"/>
                <w:sz w:val="13"/>
                <w:szCs w:val="13"/>
                <w:color w:val="auto"/>
                <w:w w:val="86"/>
              </w:rPr>
              <w:t>Sahasrabudhe Meghana Malinen Jari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T</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0"/>
              </w:rPr>
              <w:t>8-Oct-03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GB1559242</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Mobile Router Cost Metric For Routing Protocol Updates In Mobile Router</w:t>
            </w:r>
          </w:p>
        </w:tc>
        <w:tc>
          <w:tcPr>
            <w:tcW w:w="1960" w:type="dxa"/>
            <w:vAlign w:val="bottom"/>
          </w:tcPr>
          <w:p>
            <w:pPr>
              <w:ind w:left="60"/>
              <w:spacing w:after="0"/>
              <w:rPr>
                <w:sz w:val="20"/>
                <w:szCs w:val="20"/>
                <w:color w:val="auto"/>
              </w:rPr>
            </w:pPr>
            <w:r>
              <w:rPr>
                <w:rFonts w:ascii="Arial" w:cs="Arial" w:eastAsia="Arial" w:hAnsi="Arial"/>
                <w:sz w:val="13"/>
                <w:szCs w:val="13"/>
                <w:color w:val="auto"/>
                <w:w w:val="86"/>
              </w:rPr>
              <w:t>Sahasrabudhe Meghana Malinen Jari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T</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0"/>
              </w:rPr>
              <w:t>8-Oct-03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KR10-0745206</w:t>
            </w: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w w:val="92"/>
              </w:rPr>
              <w:t>System And Method For Mobile Router Cost Metric Updates For Routing Protocols</w:t>
            </w:r>
          </w:p>
        </w:tc>
        <w:tc>
          <w:tcPr>
            <w:tcW w:w="1960" w:type="dxa"/>
            <w:vAlign w:val="bottom"/>
          </w:tcPr>
          <w:p>
            <w:pPr>
              <w:ind w:left="60"/>
              <w:spacing w:after="0"/>
              <w:rPr>
                <w:sz w:val="20"/>
                <w:szCs w:val="20"/>
                <w:color w:val="auto"/>
              </w:rPr>
            </w:pPr>
            <w:r>
              <w:rPr>
                <w:rFonts w:ascii="Arial" w:cs="Arial" w:eastAsia="Arial" w:hAnsi="Arial"/>
                <w:sz w:val="13"/>
                <w:szCs w:val="13"/>
                <w:color w:val="auto"/>
                <w:w w:val="86"/>
              </w:rPr>
              <w:t>Sahasrabudhe Meghana Malinen Jari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3"/>
                <w:szCs w:val="13"/>
                <w:color w:val="auto"/>
              </w:rPr>
              <w:t>T</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7-Nov-02</w:t>
            </w:r>
          </w:p>
        </w:tc>
        <w:tc>
          <w:tcPr>
            <w:tcW w:w="960" w:type="dxa"/>
            <w:vAlign w:val="bottom"/>
          </w:tcPr>
          <w:p>
            <w:pPr>
              <w:jc w:val="center"/>
              <w:spacing w:after="0"/>
              <w:rPr>
                <w:sz w:val="20"/>
                <w:szCs w:val="20"/>
                <w:color w:val="auto"/>
              </w:rPr>
            </w:pPr>
            <w:r>
              <w:rPr>
                <w:rFonts w:ascii="Arial" w:cs="Arial" w:eastAsia="Arial" w:hAnsi="Arial"/>
                <w:sz w:val="13"/>
                <w:szCs w:val="13"/>
                <w:color w:val="auto"/>
                <w:w w:val="87"/>
              </w:rPr>
              <w:t>US7035940</w:t>
            </w:r>
          </w:p>
        </w:tc>
        <w:tc>
          <w:tcPr>
            <w:tcW w:w="4500" w:type="dxa"/>
            <w:vAlign w:val="bottom"/>
          </w:tcPr>
          <w:p>
            <w:pPr>
              <w:ind w:left="60"/>
              <w:spacing w:after="0"/>
              <w:rPr>
                <w:sz w:val="20"/>
                <w:szCs w:val="20"/>
                <w:color w:val="auto"/>
              </w:rPr>
            </w:pPr>
            <w:r>
              <w:rPr>
                <w:rFonts w:ascii="Arial" w:cs="Arial" w:eastAsia="Arial" w:hAnsi="Arial"/>
                <w:sz w:val="13"/>
                <w:szCs w:val="13"/>
                <w:color w:val="auto"/>
                <w:w w:val="92"/>
              </w:rPr>
              <w:t>System And Method For Mobile Router Cost Metric Updates For Routing Protocols</w:t>
            </w:r>
          </w:p>
        </w:tc>
        <w:tc>
          <w:tcPr>
            <w:tcW w:w="1960" w:type="dxa"/>
            <w:vAlign w:val="bottom"/>
          </w:tcPr>
          <w:p>
            <w:pPr>
              <w:ind w:left="60"/>
              <w:spacing w:after="0"/>
              <w:rPr>
                <w:sz w:val="20"/>
                <w:szCs w:val="20"/>
                <w:color w:val="auto"/>
              </w:rPr>
            </w:pPr>
            <w:r>
              <w:rPr>
                <w:rFonts w:ascii="Arial" w:cs="Arial" w:eastAsia="Arial" w:hAnsi="Arial"/>
                <w:sz w:val="13"/>
                <w:szCs w:val="13"/>
                <w:color w:val="auto"/>
                <w:w w:val="86"/>
              </w:rPr>
              <w:t>Sahasrabudhe Meghana Malinen Jari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-10468610</wp:posOffset>
            </wp:positionV>
            <wp:extent cx="7246620" cy="857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-10125710</wp:posOffset>
            </wp:positionV>
            <wp:extent cx="7246620" cy="2571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-9611360</wp:posOffset>
            </wp:positionV>
            <wp:extent cx="7246620" cy="2571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-9097010</wp:posOffset>
            </wp:positionV>
            <wp:extent cx="7246620" cy="2571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-8582025</wp:posOffset>
            </wp:positionV>
            <wp:extent cx="7246620" cy="2571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-8067675</wp:posOffset>
            </wp:positionV>
            <wp:extent cx="7246620" cy="2571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-7553325</wp:posOffset>
            </wp:positionV>
            <wp:extent cx="7246620" cy="2571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-7038340</wp:posOffset>
            </wp:positionV>
            <wp:extent cx="7246620" cy="2571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-6523990</wp:posOffset>
            </wp:positionV>
            <wp:extent cx="7246620" cy="2571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-6009640</wp:posOffset>
            </wp:positionV>
            <wp:extent cx="7246620" cy="2571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-5494655</wp:posOffset>
            </wp:positionV>
            <wp:extent cx="7246620" cy="2571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-4980305</wp:posOffset>
            </wp:positionV>
            <wp:extent cx="7246620" cy="2571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-4465955</wp:posOffset>
            </wp:positionV>
            <wp:extent cx="7246620" cy="2571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-3950970</wp:posOffset>
            </wp:positionV>
            <wp:extent cx="7246620" cy="2571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-3436620</wp:posOffset>
            </wp:positionV>
            <wp:extent cx="7246620" cy="2571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-2922270</wp:posOffset>
            </wp:positionV>
            <wp:extent cx="7246620" cy="2571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-2407285</wp:posOffset>
            </wp:positionV>
            <wp:extent cx="7246620" cy="2571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-1892935</wp:posOffset>
            </wp:positionV>
            <wp:extent cx="7246620" cy="2571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-1378585</wp:posOffset>
            </wp:positionV>
            <wp:extent cx="7246620" cy="2571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-864235</wp:posOffset>
            </wp:positionV>
            <wp:extent cx="7246620" cy="2571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-349250</wp:posOffset>
            </wp:positionV>
            <wp:extent cx="7246620" cy="2571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ectPr>
          <w:pgSz w:w="11900" w:h="16838" w:orient="portrait"/>
          <w:cols w:equalWidth="0" w:num="2">
            <w:col w:w="1800" w:space="320"/>
            <w:col w:w="9200"/>
          </w:cols>
          <w:pgMar w:left="280" w:top="111" w:right="299" w:bottom="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49"/>
        </w:trPr>
        <w:tc>
          <w:tcPr>
            <w:tcW w:w="640" w:type="dxa"/>
            <w:vAlign w:val="bottom"/>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Infrastructure,</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A31502VI-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A33025VI-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A33025VI-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A33025VI-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A33025VI-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A33025VI-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A33025VI-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A33025VI-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A33025VI-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A36688VI-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A36740VI-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A36740VI-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A37366VI-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A39894VI-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A39894VI-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A39894VI-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A39894VI-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A39894VI-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PL</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5"/>
              </w:rPr>
              <w:t>PL01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A39894VI-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2"/>
              </w:rPr>
              <w:t>RO</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8"/>
              </w:rPr>
              <w:t>RO01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A39894VI-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SE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SE01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A39894VI-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6"/>
              </w:rPr>
              <w:t>AT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9"/>
              </w:rPr>
              <w:t>AT01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AU</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AU01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CH</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CH01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CN02</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HU</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HU01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IN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IN01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KR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KR01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6"/>
              </w:rPr>
              <w:t>NL</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NL01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2"/>
              </w:rPr>
              <w:t>RO</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8"/>
              </w:rPr>
              <w:t>RO01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SE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SE01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35"/>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T</w:t>
            </w:r>
          </w:p>
        </w:tc>
        <w:tc>
          <w:tcPr>
            <w:tcW w:w="480" w:type="dxa"/>
            <w:vAlign w:val="bottom"/>
          </w:tcPr>
          <w:p>
            <w:pPr>
              <w:ind w:left="20"/>
              <w:spacing w:after="0"/>
              <w:rPr>
                <w:sz w:val="20"/>
                <w:szCs w:val="20"/>
                <w:color w:val="auto"/>
              </w:rPr>
            </w:pPr>
            <w:r>
              <w:rPr>
                <w:rFonts w:ascii="Arial" w:cs="Arial" w:eastAsia="Arial" w:hAnsi="Arial"/>
                <w:sz w:val="13"/>
                <w:szCs w:val="13"/>
                <w:color w:val="auto"/>
                <w:w w:val="84"/>
              </w:rPr>
              <w:t>Declared</w:t>
            </w:r>
          </w:p>
        </w:tc>
        <w:tc>
          <w:tcPr>
            <w:tcW w:w="0" w:type="dxa"/>
            <w:vAlign w:val="bottom"/>
          </w:tcPr>
          <w:p>
            <w:pPr>
              <w:spacing w:after="0"/>
              <w:rPr>
                <w:sz w:val="1"/>
                <w:szCs w:val="1"/>
                <w:color w:val="auto"/>
              </w:rPr>
            </w:pPr>
          </w:p>
        </w:tc>
      </w:tr>
      <w:tr>
        <w:trPr>
          <w:trHeight w:val="312"/>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5"/>
              </w:rPr>
              <w:t>14-Jun-00</w:t>
            </w:r>
          </w:p>
        </w:tc>
        <w:tc>
          <w:tcPr>
            <w:tcW w:w="6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US6741555</w:t>
            </w:r>
          </w:p>
        </w:tc>
        <w:tc>
          <w:tcPr>
            <w:tcW w:w="4520" w:type="dxa"/>
            <w:vAlign w:val="bottom"/>
          </w:tcPr>
          <w:p>
            <w:pPr>
              <w:ind w:left="60"/>
              <w:spacing w:after="0"/>
              <w:rPr>
                <w:sz w:val="20"/>
                <w:szCs w:val="20"/>
                <w:color w:val="auto"/>
              </w:rPr>
            </w:pPr>
            <w:r>
              <w:rPr>
                <w:rFonts w:ascii="Arial" w:cs="Arial" w:eastAsia="Arial" w:hAnsi="Arial"/>
                <w:sz w:val="13"/>
                <w:szCs w:val="13"/>
                <w:color w:val="auto"/>
                <w:w w:val="99"/>
              </w:rPr>
              <w:t>Enhancement Of Explicit Congestion Notification (ECN) For Wireless Network</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Li Xiang [Cn] Wu Jing [Ca] (+2)</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Applications</w:t>
            </w:r>
          </w:p>
        </w:tc>
        <w:tc>
          <w:tcPr>
            <w:tcW w:w="194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37"/>
              <w:spacing w:after="0"/>
              <w:rPr>
                <w:sz w:val="20"/>
                <w:szCs w:val="20"/>
                <w:color w:val="auto"/>
              </w:rPr>
            </w:pPr>
            <w:r>
              <w:rPr>
                <w:rFonts w:ascii="Arial" w:cs="Arial" w:eastAsia="Arial" w:hAnsi="Arial"/>
                <w:sz w:val="13"/>
                <w:szCs w:val="13"/>
                <w:color w:val="auto"/>
                <w:w w:val="85"/>
              </w:rPr>
              <w:t>7-Jun-02</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8"/>
              </w:rPr>
              <w:t>CN1270494C</w:t>
            </w:r>
          </w:p>
        </w:tc>
        <w:tc>
          <w:tcPr>
            <w:tcW w:w="4520" w:type="dxa"/>
            <w:vAlign w:val="bottom"/>
          </w:tcPr>
          <w:p>
            <w:pPr>
              <w:ind w:left="60"/>
              <w:spacing w:after="0"/>
              <w:rPr>
                <w:sz w:val="20"/>
                <w:szCs w:val="20"/>
                <w:color w:val="auto"/>
              </w:rPr>
            </w:pPr>
            <w:r>
              <w:rPr>
                <w:rFonts w:ascii="Arial" w:cs="Arial" w:eastAsia="Arial" w:hAnsi="Arial"/>
                <w:sz w:val="13"/>
                <w:szCs w:val="13"/>
                <w:color w:val="auto"/>
                <w:w w:val="94"/>
              </w:rPr>
              <w:t>Methods For Identifying User Device In Communication Systems, Communication</w:t>
            </w:r>
          </w:p>
        </w:tc>
        <w:tc>
          <w:tcPr>
            <w:tcW w:w="1940" w:type="dxa"/>
            <w:vAlign w:val="bottom"/>
          </w:tcPr>
          <w:p>
            <w:pPr>
              <w:ind w:left="40"/>
              <w:spacing w:after="0"/>
              <w:rPr>
                <w:sz w:val="20"/>
                <w:szCs w:val="20"/>
                <w:color w:val="auto"/>
              </w:rPr>
            </w:pPr>
            <w:r>
              <w:rPr>
                <w:rFonts w:ascii="Arial" w:cs="Arial" w:eastAsia="Arial" w:hAnsi="Arial"/>
                <w:sz w:val="13"/>
                <w:szCs w:val="13"/>
                <w:color w:val="auto"/>
                <w:w w:val="91"/>
              </w:rPr>
              <w:t>Haverinen Henry [Fi] Malinen Jari T</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Systems And Apparatus</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1720" w:type="dxa"/>
            <w:vAlign w:val="bottom"/>
            <w:gridSpan w:val="3"/>
            <w:vMerge w:val="restart"/>
          </w:tcPr>
          <w:p>
            <w:pPr>
              <w:ind w:left="120"/>
              <w:spacing w:after="0"/>
              <w:rPr>
                <w:sz w:val="20"/>
                <w:szCs w:val="20"/>
                <w:color w:val="auto"/>
              </w:rPr>
            </w:pPr>
            <w:r>
              <w:rPr>
                <w:rFonts w:ascii="Arial" w:cs="Arial" w:eastAsia="Arial" w:hAnsi="Arial"/>
                <w:sz w:val="13"/>
                <w:szCs w:val="13"/>
                <w:color w:val="auto"/>
                <w:w w:val="98"/>
              </w:rPr>
              <w:t>28-May-02   DE60208990.5</w:t>
            </w:r>
          </w:p>
        </w:tc>
        <w:tc>
          <w:tcPr>
            <w:tcW w:w="4520" w:type="dxa"/>
            <w:vAlign w:val="bottom"/>
          </w:tcPr>
          <w:p>
            <w:pPr>
              <w:ind w:left="60"/>
              <w:spacing w:after="0"/>
              <w:rPr>
                <w:sz w:val="20"/>
                <w:szCs w:val="20"/>
                <w:color w:val="auto"/>
              </w:rPr>
            </w:pPr>
            <w:r>
              <w:rPr>
                <w:rFonts w:ascii="Arial" w:cs="Arial" w:eastAsia="Arial" w:hAnsi="Arial"/>
                <w:sz w:val="13"/>
                <w:szCs w:val="13"/>
                <w:color w:val="auto"/>
                <w:w w:val="91"/>
              </w:rPr>
              <w:t>A Method For Distinguishing Clients In A Communication System, A Communication</w:t>
            </w:r>
          </w:p>
        </w:tc>
        <w:tc>
          <w:tcPr>
            <w:tcW w:w="1940" w:type="dxa"/>
            <w:vAlign w:val="bottom"/>
          </w:tcPr>
          <w:p>
            <w:pPr>
              <w:ind w:left="40"/>
              <w:spacing w:after="0"/>
              <w:rPr>
                <w:sz w:val="20"/>
                <w:szCs w:val="20"/>
                <w:color w:val="auto"/>
              </w:rPr>
            </w:pPr>
            <w:r>
              <w:rPr>
                <w:rFonts w:ascii="Arial" w:cs="Arial" w:eastAsia="Arial" w:hAnsi="Arial"/>
                <w:sz w:val="13"/>
                <w:szCs w:val="13"/>
                <w:color w:val="auto"/>
                <w:w w:val="91"/>
              </w:rPr>
              <w:t>Haverinen Henry [Fi] Malinen Jari T</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System, And A Communication Device</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0"/>
              </w:rPr>
              <w:t>28-May-02</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EP1265420</w:t>
            </w:r>
          </w:p>
        </w:tc>
        <w:tc>
          <w:tcPr>
            <w:tcW w:w="4520" w:type="dxa"/>
            <w:vAlign w:val="bottom"/>
          </w:tcPr>
          <w:p>
            <w:pPr>
              <w:ind w:left="60"/>
              <w:spacing w:after="0"/>
              <w:rPr>
                <w:sz w:val="20"/>
                <w:szCs w:val="20"/>
                <w:color w:val="auto"/>
              </w:rPr>
            </w:pPr>
            <w:r>
              <w:rPr>
                <w:rFonts w:ascii="Arial" w:cs="Arial" w:eastAsia="Arial" w:hAnsi="Arial"/>
                <w:sz w:val="13"/>
                <w:szCs w:val="13"/>
                <w:color w:val="auto"/>
                <w:w w:val="91"/>
              </w:rPr>
              <w:t>A Method For Distinguishing Clients In A Communication System, A Communication</w:t>
            </w:r>
          </w:p>
        </w:tc>
        <w:tc>
          <w:tcPr>
            <w:tcW w:w="1940" w:type="dxa"/>
            <w:vAlign w:val="bottom"/>
          </w:tcPr>
          <w:p>
            <w:pPr>
              <w:ind w:left="40"/>
              <w:spacing w:after="0"/>
              <w:rPr>
                <w:sz w:val="20"/>
                <w:szCs w:val="20"/>
                <w:color w:val="auto"/>
              </w:rPr>
            </w:pPr>
            <w:r>
              <w:rPr>
                <w:rFonts w:ascii="Arial" w:cs="Arial" w:eastAsia="Arial" w:hAnsi="Arial"/>
                <w:sz w:val="13"/>
                <w:szCs w:val="13"/>
                <w:color w:val="auto"/>
                <w:w w:val="91"/>
              </w:rPr>
              <w:t>Haverinen Henry [Fi] Malinen Jari T</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System, And A Communication Device</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0"/>
              </w:rPr>
              <w:t>28-May-02</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ES2256432</w:t>
            </w:r>
          </w:p>
        </w:tc>
        <w:tc>
          <w:tcPr>
            <w:tcW w:w="4520" w:type="dxa"/>
            <w:vAlign w:val="bottom"/>
          </w:tcPr>
          <w:p>
            <w:pPr>
              <w:ind w:left="60"/>
              <w:spacing w:after="0"/>
              <w:rPr>
                <w:sz w:val="20"/>
                <w:szCs w:val="20"/>
                <w:color w:val="auto"/>
              </w:rPr>
            </w:pPr>
            <w:r>
              <w:rPr>
                <w:rFonts w:ascii="Arial" w:cs="Arial" w:eastAsia="Arial" w:hAnsi="Arial"/>
                <w:sz w:val="13"/>
                <w:szCs w:val="13"/>
                <w:color w:val="auto"/>
                <w:w w:val="91"/>
              </w:rPr>
              <w:t>A Method For Distinguishing Clients In A Communication System, A Communication</w:t>
            </w:r>
          </w:p>
        </w:tc>
        <w:tc>
          <w:tcPr>
            <w:tcW w:w="1940" w:type="dxa"/>
            <w:vAlign w:val="bottom"/>
          </w:tcPr>
          <w:p>
            <w:pPr>
              <w:ind w:left="40"/>
              <w:spacing w:after="0"/>
              <w:rPr>
                <w:sz w:val="20"/>
                <w:szCs w:val="20"/>
                <w:color w:val="auto"/>
              </w:rPr>
            </w:pPr>
            <w:r>
              <w:rPr>
                <w:rFonts w:ascii="Arial" w:cs="Arial" w:eastAsia="Arial" w:hAnsi="Arial"/>
                <w:sz w:val="13"/>
                <w:szCs w:val="13"/>
                <w:color w:val="auto"/>
                <w:w w:val="91"/>
              </w:rPr>
              <w:t>Haverinen Henry [Fi] Malinen Jari T</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System, And A Communication Device</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0"/>
              </w:rPr>
              <w:t>28-May-02</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FR1265420</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Method Of Telling A Wireless Client From A Local Server</w:t>
            </w:r>
          </w:p>
        </w:tc>
        <w:tc>
          <w:tcPr>
            <w:tcW w:w="1940" w:type="dxa"/>
            <w:vAlign w:val="bottom"/>
          </w:tcPr>
          <w:p>
            <w:pPr>
              <w:ind w:left="40"/>
              <w:spacing w:after="0"/>
              <w:rPr>
                <w:sz w:val="20"/>
                <w:szCs w:val="20"/>
                <w:color w:val="auto"/>
              </w:rPr>
            </w:pPr>
            <w:r>
              <w:rPr>
                <w:rFonts w:ascii="Arial" w:cs="Arial" w:eastAsia="Arial" w:hAnsi="Arial"/>
                <w:sz w:val="13"/>
                <w:szCs w:val="13"/>
                <w:color w:val="auto"/>
                <w:w w:val="91"/>
              </w:rPr>
              <w:t>Haverinen Henry [Fi] Malinen Jari T</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0"/>
              </w:rPr>
              <w:t>28-May-02</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GB1265420</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Method Of Telling A Wireless Client From A Local Server</w:t>
            </w:r>
          </w:p>
        </w:tc>
        <w:tc>
          <w:tcPr>
            <w:tcW w:w="1940" w:type="dxa"/>
            <w:vAlign w:val="bottom"/>
          </w:tcPr>
          <w:p>
            <w:pPr>
              <w:ind w:left="40"/>
              <w:spacing w:after="0"/>
              <w:rPr>
                <w:sz w:val="20"/>
                <w:szCs w:val="20"/>
                <w:color w:val="auto"/>
              </w:rPr>
            </w:pPr>
            <w:r>
              <w:rPr>
                <w:rFonts w:ascii="Arial" w:cs="Arial" w:eastAsia="Arial" w:hAnsi="Arial"/>
                <w:sz w:val="13"/>
                <w:szCs w:val="13"/>
                <w:color w:val="auto"/>
                <w:w w:val="91"/>
              </w:rPr>
              <w:t>Haverinen Henry [Fi] Malinen Jari T</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0"/>
              </w:rPr>
              <w:t>28-May-02</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0"/>
              </w:rPr>
              <w:t>IT1265420</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Method Of Telling A Wireless Client From A Local Server</w:t>
            </w:r>
          </w:p>
        </w:tc>
        <w:tc>
          <w:tcPr>
            <w:tcW w:w="1940" w:type="dxa"/>
            <w:vAlign w:val="bottom"/>
          </w:tcPr>
          <w:p>
            <w:pPr>
              <w:ind w:left="40"/>
              <w:spacing w:after="0"/>
              <w:rPr>
                <w:sz w:val="20"/>
                <w:szCs w:val="20"/>
                <w:color w:val="auto"/>
              </w:rPr>
            </w:pPr>
            <w:r>
              <w:rPr>
                <w:rFonts w:ascii="Arial" w:cs="Arial" w:eastAsia="Arial" w:hAnsi="Arial"/>
                <w:sz w:val="13"/>
                <w:szCs w:val="13"/>
                <w:color w:val="auto"/>
                <w:w w:val="91"/>
              </w:rPr>
              <w:t>Haverinen Henry [Fi] Malinen Jari T</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37"/>
              <w:spacing w:after="0"/>
              <w:rPr>
                <w:sz w:val="20"/>
                <w:szCs w:val="20"/>
                <w:color w:val="auto"/>
              </w:rPr>
            </w:pPr>
            <w:r>
              <w:rPr>
                <w:rFonts w:ascii="Arial" w:cs="Arial" w:eastAsia="Arial" w:hAnsi="Arial"/>
                <w:sz w:val="13"/>
                <w:szCs w:val="13"/>
                <w:color w:val="auto"/>
                <w:w w:val="85"/>
              </w:rPr>
              <w:t>7-Jun-01</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US7085808</w:t>
            </w:r>
          </w:p>
        </w:tc>
        <w:tc>
          <w:tcPr>
            <w:tcW w:w="4520" w:type="dxa"/>
            <w:vAlign w:val="bottom"/>
          </w:tcPr>
          <w:p>
            <w:pPr>
              <w:ind w:left="60"/>
              <w:spacing w:after="0"/>
              <w:rPr>
                <w:sz w:val="20"/>
                <w:szCs w:val="20"/>
                <w:color w:val="auto"/>
              </w:rPr>
            </w:pPr>
            <w:r>
              <w:rPr>
                <w:rFonts w:ascii="Arial" w:cs="Arial" w:eastAsia="Arial" w:hAnsi="Arial"/>
                <w:sz w:val="13"/>
                <w:szCs w:val="13"/>
                <w:color w:val="auto"/>
                <w:w w:val="94"/>
              </w:rPr>
              <w:t>Method For Distinguishing Clients In A Communication System, A Communication</w:t>
            </w:r>
          </w:p>
        </w:tc>
        <w:tc>
          <w:tcPr>
            <w:tcW w:w="1940" w:type="dxa"/>
            <w:vAlign w:val="bottom"/>
          </w:tcPr>
          <w:p>
            <w:pPr>
              <w:ind w:left="40"/>
              <w:spacing w:after="0"/>
              <w:rPr>
                <w:sz w:val="20"/>
                <w:szCs w:val="20"/>
                <w:color w:val="auto"/>
              </w:rPr>
            </w:pPr>
            <w:r>
              <w:rPr>
                <w:rFonts w:ascii="Arial" w:cs="Arial" w:eastAsia="Arial" w:hAnsi="Arial"/>
                <w:sz w:val="13"/>
                <w:szCs w:val="13"/>
                <w:color w:val="auto"/>
                <w:w w:val="91"/>
              </w:rPr>
              <w:t>Haverinen Henry [Fi] Malinen Jari T</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System; And A Communication Device</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[Us]</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tcPr>
          <w:p>
            <w:pPr>
              <w:jc w:val="center"/>
              <w:ind w:left="17"/>
              <w:spacing w:after="0"/>
              <w:rPr>
                <w:sz w:val="20"/>
                <w:szCs w:val="20"/>
                <w:color w:val="auto"/>
              </w:rPr>
            </w:pPr>
            <w:r>
              <w:rPr>
                <w:rFonts w:ascii="Arial" w:cs="Arial" w:eastAsia="Arial" w:hAnsi="Arial"/>
                <w:sz w:val="13"/>
                <w:szCs w:val="13"/>
                <w:color w:val="auto"/>
                <w:w w:val="85"/>
              </w:rPr>
              <w:t>19-Jun-03</w:t>
            </w:r>
          </w:p>
        </w:tc>
        <w:tc>
          <w:tcPr>
            <w:tcW w:w="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7"/>
              </w:rPr>
              <w:t>US7103681</w:t>
            </w:r>
          </w:p>
        </w:tc>
        <w:tc>
          <w:tcPr>
            <w:tcW w:w="4520" w:type="dxa"/>
            <w:vAlign w:val="bottom"/>
          </w:tcPr>
          <w:p>
            <w:pPr>
              <w:ind w:left="60"/>
              <w:spacing w:after="0"/>
              <w:rPr>
                <w:sz w:val="20"/>
                <w:szCs w:val="20"/>
                <w:color w:val="auto"/>
              </w:rPr>
            </w:pPr>
            <w:r>
              <w:rPr>
                <w:rFonts w:ascii="Arial" w:cs="Arial" w:eastAsia="Arial" w:hAnsi="Arial"/>
                <w:sz w:val="13"/>
                <w:szCs w:val="13"/>
                <w:color w:val="auto"/>
                <w:w w:val="90"/>
              </w:rPr>
              <w:t>System For Rendering Multimedia Messages By Providing, In A Multimedia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Coulombe Stephane [Us]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520" w:type="dxa"/>
            <w:vAlign w:val="bottom"/>
          </w:tcPr>
          <w:p>
            <w:pPr>
              <w:ind w:left="60"/>
              <w:spacing w:after="0"/>
              <w:rPr>
                <w:sz w:val="20"/>
                <w:szCs w:val="20"/>
                <w:color w:val="auto"/>
              </w:rPr>
            </w:pPr>
            <w:r>
              <w:rPr>
                <w:rFonts w:ascii="Arial" w:cs="Arial" w:eastAsia="Arial" w:hAnsi="Arial"/>
                <w:sz w:val="13"/>
                <w:szCs w:val="13"/>
                <w:color w:val="auto"/>
              </w:rPr>
              <w:t>Url For Downloadable Software To A Receiving Terminal</w:t>
            </w:r>
          </w:p>
        </w:tc>
        <w:tc>
          <w:tcPr>
            <w:tcW w:w="194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560" w:type="dxa"/>
            <w:vAlign w:val="bottom"/>
          </w:tcPr>
          <w:p>
            <w:pPr>
              <w:jc w:val="center"/>
              <w:ind w:right="37"/>
              <w:spacing w:after="0"/>
              <w:rPr>
                <w:sz w:val="20"/>
                <w:szCs w:val="20"/>
                <w:color w:val="auto"/>
              </w:rPr>
            </w:pPr>
            <w:r>
              <w:rPr>
                <w:rFonts w:ascii="Arial" w:cs="Arial" w:eastAsia="Arial" w:hAnsi="Arial"/>
                <w:sz w:val="13"/>
                <w:szCs w:val="13"/>
                <w:color w:val="auto"/>
                <w:w w:val="87"/>
              </w:rPr>
              <w:t>Pending</w:t>
            </w:r>
          </w:p>
        </w:tc>
        <w:tc>
          <w:tcPr>
            <w:tcW w:w="700" w:type="dxa"/>
            <w:vAlign w:val="bottom"/>
          </w:tcPr>
          <w:p>
            <w:pPr>
              <w:jc w:val="center"/>
              <w:ind w:left="37"/>
              <w:spacing w:after="0"/>
              <w:rPr>
                <w:sz w:val="20"/>
                <w:szCs w:val="20"/>
                <w:color w:val="auto"/>
              </w:rPr>
            </w:pPr>
            <w:r>
              <w:rPr>
                <w:rFonts w:ascii="Arial" w:cs="Arial" w:eastAsia="Arial" w:hAnsi="Arial"/>
                <w:sz w:val="13"/>
                <w:szCs w:val="13"/>
                <w:color w:val="auto"/>
                <w:w w:val="89"/>
              </w:rPr>
              <w:t>28-Oct-04</w:t>
            </w:r>
          </w:p>
        </w:tc>
        <w:tc>
          <w:tcPr>
            <w:tcW w:w="6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5"/>
              </w:rPr>
              <w:t>EP1680879</w:t>
            </w:r>
          </w:p>
        </w:tc>
        <w:tc>
          <w:tcPr>
            <w:tcW w:w="4520" w:type="dxa"/>
            <w:vAlign w:val="bottom"/>
          </w:tcPr>
          <w:p>
            <w:pPr>
              <w:ind w:left="60"/>
              <w:spacing w:after="0"/>
              <w:rPr>
                <w:sz w:val="20"/>
                <w:szCs w:val="20"/>
                <w:color w:val="auto"/>
              </w:rPr>
            </w:pPr>
            <w:r>
              <w:rPr>
                <w:rFonts w:ascii="Arial" w:cs="Arial" w:eastAsia="Arial" w:hAnsi="Arial"/>
                <w:sz w:val="13"/>
                <w:szCs w:val="13"/>
                <w:color w:val="auto"/>
                <w:w w:val="90"/>
              </w:rPr>
              <w:t>System, Apparatus, And Method For Communicating Capabilities Of A Mobile Device</w:t>
            </w:r>
          </w:p>
        </w:tc>
        <w:tc>
          <w:tcPr>
            <w:tcW w:w="1940" w:type="dxa"/>
            <w:vAlign w:val="bottom"/>
          </w:tcPr>
          <w:p>
            <w:pPr>
              <w:ind w:left="40"/>
              <w:spacing w:after="0"/>
              <w:rPr>
                <w:sz w:val="20"/>
                <w:szCs w:val="20"/>
                <w:color w:val="auto"/>
              </w:rPr>
            </w:pPr>
            <w:r>
              <w:rPr>
                <w:rFonts w:ascii="Arial" w:cs="Arial" w:eastAsia="Arial" w:hAnsi="Arial"/>
                <w:sz w:val="13"/>
                <w:szCs w:val="13"/>
                <w:color w:val="auto"/>
                <w:w w:val="99"/>
              </w:rPr>
              <w:t>Tervo Timo P [Fi] Lindroos Martti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[Fi]</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190"/>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93"/>
              </w:rPr>
              <w:t>3-Nov-03</w:t>
            </w:r>
          </w:p>
        </w:tc>
        <w:tc>
          <w:tcPr>
            <w:tcW w:w="6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US7478146</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w w:val="90"/>
              </w:rPr>
              <w:t>System, Apparatus, And Method For Communicating Capabilities Of A Mobile Device</w:t>
            </w:r>
          </w:p>
        </w:tc>
        <w:tc>
          <w:tcPr>
            <w:tcW w:w="1940" w:type="dxa"/>
            <w:vAlign w:val="bottom"/>
          </w:tcPr>
          <w:p>
            <w:pPr>
              <w:ind w:left="40"/>
              <w:spacing w:after="0"/>
              <w:rPr>
                <w:sz w:val="20"/>
                <w:szCs w:val="20"/>
                <w:color w:val="auto"/>
              </w:rPr>
            </w:pPr>
            <w:r>
              <w:rPr>
                <w:rFonts w:ascii="Arial" w:cs="Arial" w:eastAsia="Arial" w:hAnsi="Arial"/>
                <w:sz w:val="13"/>
                <w:szCs w:val="13"/>
                <w:color w:val="auto"/>
                <w:w w:val="99"/>
              </w:rPr>
              <w:t>Tervo Timo P [Fi] Lindroos Martti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5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4520" w:type="dxa"/>
            <w:vAlign w:val="bottom"/>
            <w:vMerge w:val="continue"/>
          </w:tcPr>
          <w:p>
            <w:pPr>
              <w:spacing w:after="0"/>
              <w:rPr>
                <w:sz w:val="13"/>
                <w:szCs w:val="13"/>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[Fi]</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5"/>
              </w:rPr>
              <w:t>30-Jan-04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US7627692</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Multiplexing Of Compressed Control And User-Plane Messages</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Pessi Pekka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77"/>
              <w:spacing w:after="0"/>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5"/>
              </w:rPr>
              <w:t>23-Jun-04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CN1823545</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Method And Device For Enhanced Fast Handover Procedures</w:t>
            </w:r>
          </w:p>
        </w:tc>
        <w:tc>
          <w:tcPr>
            <w:tcW w:w="1940" w:type="dxa"/>
            <w:vAlign w:val="bottom"/>
          </w:tcPr>
          <w:p>
            <w:pPr>
              <w:ind w:left="40"/>
              <w:spacing w:after="0"/>
              <w:rPr>
                <w:sz w:val="20"/>
                <w:szCs w:val="20"/>
                <w:color w:val="auto"/>
              </w:rPr>
            </w:pPr>
            <w:r>
              <w:rPr>
                <w:rFonts w:ascii="Arial" w:cs="Arial" w:eastAsia="Arial" w:hAnsi="Arial"/>
                <w:sz w:val="13"/>
                <w:szCs w:val="13"/>
                <w:color w:val="auto"/>
              </w:rPr>
              <w:t>Alarcon Leopoldo [Es] Grech</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Sandro [Fi]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5"/>
              </w:rPr>
              <w:t>23-Jun-04</w:t>
            </w:r>
          </w:p>
        </w:tc>
        <w:tc>
          <w:tcPr>
            <w:tcW w:w="5540" w:type="dxa"/>
            <w:vAlign w:val="bottom"/>
            <w:gridSpan w:val="3"/>
            <w:vMerge w:val="restart"/>
          </w:tcPr>
          <w:p>
            <w:pPr>
              <w:jc w:val="right"/>
              <w:ind w:right="117"/>
              <w:spacing w:after="0"/>
              <w:rPr>
                <w:sz w:val="20"/>
                <w:szCs w:val="20"/>
                <w:color w:val="auto"/>
              </w:rPr>
            </w:pPr>
            <w:r>
              <w:rPr>
                <w:rFonts w:ascii="Arial" w:cs="Arial" w:eastAsia="Arial" w:hAnsi="Arial"/>
                <w:sz w:val="13"/>
                <w:szCs w:val="13"/>
                <w:color w:val="auto"/>
                <w:w w:val="90"/>
              </w:rPr>
              <w:t>DE602004033083.3 A Mechanism For Enabling A Mobile Node To Engage In IP Signaling With Its Off-</w:t>
            </w:r>
          </w:p>
        </w:tc>
        <w:tc>
          <w:tcPr>
            <w:tcW w:w="1940" w:type="dxa"/>
            <w:vAlign w:val="bottom"/>
          </w:tcPr>
          <w:p>
            <w:pPr>
              <w:ind w:left="40"/>
              <w:spacing w:after="0"/>
              <w:rPr>
                <w:sz w:val="20"/>
                <w:szCs w:val="20"/>
                <w:color w:val="auto"/>
              </w:rPr>
            </w:pPr>
            <w:r>
              <w:rPr>
                <w:rFonts w:ascii="Arial" w:cs="Arial" w:eastAsia="Arial" w:hAnsi="Arial"/>
                <w:sz w:val="13"/>
                <w:szCs w:val="13"/>
                <w:color w:val="auto"/>
              </w:rPr>
              <w:t>Alarcon Leopoldo [Es] Grech</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540" w:type="dxa"/>
            <w:vAlign w:val="bottom"/>
            <w:gridSpan w:val="3"/>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Sandro [Fi]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5"/>
              </w:rPr>
              <w:t>23-Jun-04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EP1645157</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Enhanced Fast Handover Procedures</w:t>
            </w:r>
          </w:p>
        </w:tc>
        <w:tc>
          <w:tcPr>
            <w:tcW w:w="1940" w:type="dxa"/>
            <w:vAlign w:val="bottom"/>
          </w:tcPr>
          <w:p>
            <w:pPr>
              <w:ind w:left="40"/>
              <w:spacing w:after="0"/>
              <w:rPr>
                <w:sz w:val="20"/>
                <w:szCs w:val="20"/>
                <w:color w:val="auto"/>
              </w:rPr>
            </w:pPr>
            <w:r>
              <w:rPr>
                <w:rFonts w:ascii="Arial" w:cs="Arial" w:eastAsia="Arial" w:hAnsi="Arial"/>
                <w:sz w:val="13"/>
                <w:szCs w:val="13"/>
                <w:color w:val="auto"/>
              </w:rPr>
              <w:t>Alarcon Leopoldo [Es] Grech</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Sandro [Fi]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5"/>
              </w:rPr>
              <w:t>23-Jun-04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GB1645157</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w w:val="94"/>
              </w:rPr>
              <w:t>A Mechanism For Enabling A Mobile Node To Engage In IP Signaling With Its Off-</w:t>
            </w:r>
          </w:p>
        </w:tc>
        <w:tc>
          <w:tcPr>
            <w:tcW w:w="1940" w:type="dxa"/>
            <w:vAlign w:val="bottom"/>
          </w:tcPr>
          <w:p>
            <w:pPr>
              <w:ind w:left="40"/>
              <w:spacing w:after="0"/>
              <w:rPr>
                <w:sz w:val="20"/>
                <w:szCs w:val="20"/>
                <w:color w:val="auto"/>
              </w:rPr>
            </w:pPr>
            <w:r>
              <w:rPr>
                <w:rFonts w:ascii="Arial" w:cs="Arial" w:eastAsia="Arial" w:hAnsi="Arial"/>
                <w:sz w:val="13"/>
                <w:szCs w:val="13"/>
                <w:color w:val="auto"/>
              </w:rPr>
              <w:t>Alarcon Leopoldo [Es] Grech</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Sandro [Fi]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5"/>
              </w:rPr>
              <w:t>23-Jun-04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PL1645157</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w w:val="94"/>
              </w:rPr>
              <w:t>A Mechanism For Enabling A Mobile Node To Engage In IP Signaling With Its Off-</w:t>
            </w:r>
          </w:p>
        </w:tc>
        <w:tc>
          <w:tcPr>
            <w:tcW w:w="1940" w:type="dxa"/>
            <w:vAlign w:val="bottom"/>
          </w:tcPr>
          <w:p>
            <w:pPr>
              <w:ind w:left="40"/>
              <w:spacing w:after="0"/>
              <w:rPr>
                <w:sz w:val="20"/>
                <w:szCs w:val="20"/>
                <w:color w:val="auto"/>
              </w:rPr>
            </w:pPr>
            <w:r>
              <w:rPr>
                <w:rFonts w:ascii="Arial" w:cs="Arial" w:eastAsia="Arial" w:hAnsi="Arial"/>
                <w:sz w:val="13"/>
                <w:szCs w:val="13"/>
                <w:color w:val="auto"/>
              </w:rPr>
              <w:t>Alarcon Leopoldo [Es] Grech</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Sandro [Fi]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5"/>
              </w:rPr>
              <w:t>23-Jun-04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8"/>
              </w:rPr>
              <w:t>RO1645157</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w w:val="94"/>
              </w:rPr>
              <w:t>A Mechanism For Enabling A Mobile Node To Engage In IP Signaling With Its Off-</w:t>
            </w:r>
          </w:p>
        </w:tc>
        <w:tc>
          <w:tcPr>
            <w:tcW w:w="1940" w:type="dxa"/>
            <w:vAlign w:val="bottom"/>
          </w:tcPr>
          <w:p>
            <w:pPr>
              <w:ind w:left="40"/>
              <w:spacing w:after="0"/>
              <w:rPr>
                <w:sz w:val="20"/>
                <w:szCs w:val="20"/>
                <w:color w:val="auto"/>
              </w:rPr>
            </w:pPr>
            <w:r>
              <w:rPr>
                <w:rFonts w:ascii="Arial" w:cs="Arial" w:eastAsia="Arial" w:hAnsi="Arial"/>
                <w:sz w:val="13"/>
                <w:szCs w:val="13"/>
                <w:color w:val="auto"/>
              </w:rPr>
              <w:t>Alarcon Leopoldo [Es] Grech</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Sandro [Fi]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5"/>
              </w:rPr>
              <w:t>23-Jun-04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SE1645157</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w w:val="94"/>
              </w:rPr>
              <w:t>A Mechanism For Enabling A Mobile Node To Engage In IP Signaling With Its Off-</w:t>
            </w:r>
          </w:p>
        </w:tc>
        <w:tc>
          <w:tcPr>
            <w:tcW w:w="1940" w:type="dxa"/>
            <w:vAlign w:val="bottom"/>
          </w:tcPr>
          <w:p>
            <w:pPr>
              <w:ind w:left="40"/>
              <w:spacing w:after="0"/>
              <w:rPr>
                <w:sz w:val="20"/>
                <w:szCs w:val="20"/>
                <w:color w:val="auto"/>
              </w:rPr>
            </w:pPr>
            <w:r>
              <w:rPr>
                <w:rFonts w:ascii="Arial" w:cs="Arial" w:eastAsia="Arial" w:hAnsi="Arial"/>
                <w:sz w:val="13"/>
                <w:szCs w:val="13"/>
                <w:color w:val="auto"/>
              </w:rPr>
              <w:t>Alarcon Leopoldo [Es] Grech</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Sandro [Fi]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37"/>
              <w:spacing w:after="0"/>
              <w:rPr>
                <w:sz w:val="20"/>
                <w:szCs w:val="20"/>
                <w:color w:val="auto"/>
              </w:rPr>
            </w:pPr>
            <w:r>
              <w:rPr>
                <w:rFonts w:ascii="Arial" w:cs="Arial" w:eastAsia="Arial" w:hAnsi="Arial"/>
                <w:sz w:val="13"/>
                <w:szCs w:val="13"/>
                <w:color w:val="auto"/>
                <w:w w:val="86"/>
              </w:rPr>
              <w:t>12-Feb-04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US7917152</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Enhanced Fast Handover Procedures</w:t>
            </w:r>
          </w:p>
        </w:tc>
        <w:tc>
          <w:tcPr>
            <w:tcW w:w="1940" w:type="dxa"/>
            <w:vAlign w:val="bottom"/>
          </w:tcPr>
          <w:p>
            <w:pPr>
              <w:ind w:left="40"/>
              <w:spacing w:after="0"/>
              <w:rPr>
                <w:sz w:val="20"/>
                <w:szCs w:val="20"/>
                <w:color w:val="auto"/>
              </w:rPr>
            </w:pPr>
            <w:r>
              <w:rPr>
                <w:rFonts w:ascii="Arial" w:cs="Arial" w:eastAsia="Arial" w:hAnsi="Arial"/>
                <w:sz w:val="13"/>
                <w:szCs w:val="13"/>
                <w:color w:val="auto"/>
              </w:rPr>
              <w:t>Alarcon Leopoldo [Es] Grech</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Sandro [Fi]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AT367027</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Indicating Initial Floor State In SDP</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5480" w:type="dxa"/>
            <w:vAlign w:val="bottom"/>
            <w:gridSpan w:val="2"/>
            <w:vMerge w:val="restart"/>
          </w:tcPr>
          <w:p>
            <w:pPr>
              <w:jc w:val="right"/>
              <w:ind w:right="2037"/>
              <w:spacing w:after="0"/>
              <w:rPr>
                <w:sz w:val="20"/>
                <w:szCs w:val="20"/>
                <w:color w:val="auto"/>
              </w:rPr>
            </w:pPr>
            <w:r>
              <w:rPr>
                <w:rFonts w:ascii="Arial" w:cs="Arial" w:eastAsia="Arial" w:hAnsi="Arial"/>
                <w:sz w:val="13"/>
                <w:szCs w:val="13"/>
                <w:color w:val="auto"/>
                <w:w w:val="92"/>
              </w:rPr>
              <w:t>AU2004309946  Method And Device For Push-To-Talk Service</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480" w:type="dxa"/>
            <w:vAlign w:val="bottom"/>
            <w:gridSpan w:val="2"/>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CH1700419</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Indicating Initial Floor State In SDP</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5480" w:type="dxa"/>
            <w:vAlign w:val="bottom"/>
            <w:gridSpan w:val="2"/>
            <w:vMerge w:val="restart"/>
          </w:tcPr>
          <w:p>
            <w:pPr>
              <w:jc w:val="right"/>
              <w:ind w:right="2037"/>
              <w:spacing w:after="0"/>
              <w:rPr>
                <w:sz w:val="20"/>
                <w:szCs w:val="20"/>
                <w:color w:val="auto"/>
              </w:rPr>
            </w:pPr>
            <w:r>
              <w:rPr>
                <w:rFonts w:ascii="Arial" w:cs="Arial" w:eastAsia="Arial" w:hAnsi="Arial"/>
                <w:sz w:val="13"/>
                <w:szCs w:val="13"/>
                <w:color w:val="auto"/>
                <w:w w:val="93"/>
              </w:rPr>
              <w:t>CN100495973   Method And Device For Push-To-Talk Service</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480" w:type="dxa"/>
            <w:vAlign w:val="bottom"/>
            <w:gridSpan w:val="2"/>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77"/>
              <w:spacing w:after="0"/>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5480" w:type="dxa"/>
            <w:vAlign w:val="bottom"/>
            <w:gridSpan w:val="2"/>
            <w:vMerge w:val="restart"/>
          </w:tcPr>
          <w:p>
            <w:pPr>
              <w:jc w:val="right"/>
              <w:ind w:right="2037"/>
              <w:spacing w:after="0"/>
              <w:rPr>
                <w:sz w:val="20"/>
                <w:szCs w:val="20"/>
                <w:color w:val="auto"/>
              </w:rPr>
            </w:pPr>
            <w:r>
              <w:rPr>
                <w:rFonts w:ascii="Arial" w:cs="Arial" w:eastAsia="Arial" w:hAnsi="Arial"/>
                <w:sz w:val="13"/>
                <w:szCs w:val="13"/>
                <w:color w:val="auto"/>
                <w:w w:val="93"/>
              </w:rPr>
              <w:t>CN101505455   Method And Device For Push-To-Talk Service</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480" w:type="dxa"/>
            <w:vAlign w:val="bottom"/>
            <w:gridSpan w:val="2"/>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5540" w:type="dxa"/>
            <w:vAlign w:val="bottom"/>
            <w:gridSpan w:val="3"/>
            <w:vMerge w:val="restart"/>
          </w:tcPr>
          <w:p>
            <w:pPr>
              <w:jc w:val="right"/>
              <w:ind w:right="2037"/>
              <w:spacing w:after="0"/>
              <w:rPr>
                <w:sz w:val="20"/>
                <w:szCs w:val="20"/>
                <w:color w:val="auto"/>
              </w:rPr>
            </w:pPr>
            <w:r>
              <w:rPr>
                <w:rFonts w:ascii="Arial" w:cs="Arial" w:eastAsia="Arial" w:hAnsi="Arial"/>
                <w:sz w:val="13"/>
                <w:szCs w:val="13"/>
                <w:color w:val="auto"/>
                <w:w w:val="88"/>
              </w:rPr>
              <w:t>DE602004007552.3 Method And Device For Push-To-Talk Service</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540" w:type="dxa"/>
            <w:vAlign w:val="bottom"/>
            <w:gridSpan w:val="3"/>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EP1700419</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Method And Device For Push-To-Talk Service</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ES2289586</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Method And Device For Push-To-Talk Service</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FR1700419</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Indicating Initial Floor State In SDP</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GB1700419</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Indicating Initial Floor State In SDP</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HU1700419</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Indicating Initial Floor State In SDP</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5"/>
              </w:rPr>
              <w:t>28-Jun-06</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9"/>
              </w:rPr>
              <w:t>3722/DELNP/2</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Method And Device For Push-To-Talk Service</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0"/>
              </w:rPr>
              <w:t>IT1700419</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Indicating Initial Floor State In SDP</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JP4078381</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Method And Device For Push-To-Talk Service</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5480" w:type="dxa"/>
            <w:vAlign w:val="bottom"/>
            <w:gridSpan w:val="2"/>
            <w:vMerge w:val="restart"/>
          </w:tcPr>
          <w:p>
            <w:pPr>
              <w:jc w:val="right"/>
              <w:ind w:right="2037"/>
              <w:spacing w:after="0"/>
              <w:rPr>
                <w:sz w:val="20"/>
                <w:szCs w:val="20"/>
                <w:color w:val="auto"/>
              </w:rPr>
            </w:pPr>
            <w:r>
              <w:rPr>
                <w:rFonts w:ascii="Arial" w:cs="Arial" w:eastAsia="Arial" w:hAnsi="Arial"/>
                <w:sz w:val="13"/>
                <w:szCs w:val="13"/>
                <w:color w:val="auto"/>
                <w:w w:val="93"/>
              </w:rPr>
              <w:t>KR10-0761805  Method And Device For Push-To-Talk Service</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480" w:type="dxa"/>
            <w:vAlign w:val="bottom"/>
            <w:gridSpan w:val="2"/>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92"/>
              </w:rPr>
              <w:t>NL1700419</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Indicating Initial Floor State In SDP</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8"/>
              </w:rPr>
              <w:t>RO1700419</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Indicating Initial Floor State In SDP</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8"/>
              </w:rPr>
              <w:t>16-Dec-04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5"/>
              </w:rPr>
              <w:t>SE1700419</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Indicating Initial Floor State In SDP</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jc w:val="center"/>
              <w:ind w:right="37"/>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ind w:left="17"/>
              <w:spacing w:after="0"/>
              <w:rPr>
                <w:sz w:val="20"/>
                <w:szCs w:val="20"/>
                <w:color w:val="auto"/>
              </w:rPr>
            </w:pPr>
            <w:r>
              <w:rPr>
                <w:rFonts w:ascii="Arial" w:cs="Arial" w:eastAsia="Arial" w:hAnsi="Arial"/>
                <w:sz w:val="13"/>
                <w:szCs w:val="13"/>
                <w:color w:val="auto"/>
                <w:w w:val="89"/>
              </w:rPr>
              <w:t>26-Mar-04</w:t>
            </w:r>
          </w:p>
        </w:tc>
        <w:tc>
          <w:tcPr>
            <w:tcW w:w="60" w:type="dxa"/>
            <w:vAlign w:val="bottom"/>
          </w:tcPr>
          <w:p>
            <w:pPr>
              <w:spacing w:after="0"/>
              <w:rPr>
                <w:sz w:val="21"/>
                <w:szCs w:val="21"/>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w w:val="87"/>
              </w:rPr>
              <w:t>US7920499</w:t>
            </w:r>
          </w:p>
        </w:tc>
        <w:tc>
          <w:tcPr>
            <w:tcW w:w="4520" w:type="dxa"/>
            <w:vAlign w:val="bottom"/>
            <w:vMerge w:val="restart"/>
          </w:tcPr>
          <w:p>
            <w:pPr>
              <w:ind w:left="60"/>
              <w:spacing w:after="0"/>
              <w:rPr>
                <w:sz w:val="20"/>
                <w:szCs w:val="20"/>
                <w:color w:val="auto"/>
              </w:rPr>
            </w:pPr>
            <w:r>
              <w:rPr>
                <w:rFonts w:ascii="Arial" w:cs="Arial" w:eastAsia="Arial" w:hAnsi="Arial"/>
                <w:sz w:val="13"/>
                <w:szCs w:val="13"/>
                <w:color w:val="auto"/>
              </w:rPr>
              <w:t>Activation Of Services In A Communication System</w:t>
            </w:r>
          </w:p>
        </w:tc>
        <w:tc>
          <w:tcPr>
            <w:tcW w:w="1940" w:type="dxa"/>
            <w:vAlign w:val="bottom"/>
          </w:tcPr>
          <w:p>
            <w:pPr>
              <w:ind w:left="40"/>
              <w:spacing w:after="0"/>
              <w:rPr>
                <w:sz w:val="20"/>
                <w:szCs w:val="20"/>
                <w:color w:val="auto"/>
              </w:rPr>
            </w:pPr>
            <w:r>
              <w:rPr>
                <w:rFonts w:ascii="Arial" w:cs="Arial" w:eastAsia="Arial" w:hAnsi="Arial"/>
                <w:sz w:val="13"/>
                <w:szCs w:val="13"/>
                <w:color w:val="auto"/>
              </w:rPr>
              <w:t>Isomäki Markus [Fi] Poikselkä</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rPr>
              <w:t>OMA</w:t>
            </w:r>
          </w:p>
        </w:tc>
        <w:tc>
          <w:tcPr>
            <w:tcW w:w="0" w:type="dxa"/>
            <w:vAlign w:val="bottom"/>
          </w:tcPr>
          <w:p>
            <w:pPr>
              <w:spacing w:after="0"/>
              <w:rPr>
                <w:sz w:val="1"/>
                <w:szCs w:val="1"/>
                <w:color w:val="auto"/>
              </w:rPr>
            </w:pPr>
          </w:p>
        </w:tc>
      </w:tr>
      <w:tr>
        <w:trPr>
          <w:trHeight w:val="93"/>
        </w:trPr>
        <w:tc>
          <w:tcPr>
            <w:tcW w:w="5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52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Miikka [Fi] +1)</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-10254615</wp:posOffset>
            </wp:positionV>
            <wp:extent cx="7246620" cy="2571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-9739630</wp:posOffset>
            </wp:positionV>
            <wp:extent cx="7246620" cy="2571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-9225280</wp:posOffset>
            </wp:positionV>
            <wp:extent cx="7246620" cy="2571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-8710930</wp:posOffset>
            </wp:positionV>
            <wp:extent cx="7246620" cy="2571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-8195945</wp:posOffset>
            </wp:positionV>
            <wp:extent cx="7246620" cy="2571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-7681595</wp:posOffset>
            </wp:positionV>
            <wp:extent cx="7246620" cy="2571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-7167245</wp:posOffset>
            </wp:positionV>
            <wp:extent cx="7246620" cy="2571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-6652895</wp:posOffset>
            </wp:positionV>
            <wp:extent cx="7246620" cy="2571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-6137910</wp:posOffset>
            </wp:positionV>
            <wp:extent cx="7246620" cy="2571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-5623560</wp:posOffset>
            </wp:positionV>
            <wp:extent cx="7246620" cy="2571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-5109210</wp:posOffset>
            </wp:positionV>
            <wp:extent cx="7246620" cy="2571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-4594225</wp:posOffset>
            </wp:positionV>
            <wp:extent cx="7246620" cy="2571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-4079875</wp:posOffset>
            </wp:positionV>
            <wp:extent cx="7246620" cy="2571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-3565525</wp:posOffset>
            </wp:positionV>
            <wp:extent cx="7246620" cy="2571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-3050540</wp:posOffset>
            </wp:positionV>
            <wp:extent cx="7246620" cy="2571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-2536190</wp:posOffset>
            </wp:positionV>
            <wp:extent cx="7246620" cy="2571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-2021840</wp:posOffset>
            </wp:positionV>
            <wp:extent cx="7246620" cy="2571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-1506855</wp:posOffset>
            </wp:positionV>
            <wp:extent cx="7246620" cy="2571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-992505</wp:posOffset>
            </wp:positionV>
            <wp:extent cx="7246620" cy="2571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-478155</wp:posOffset>
            </wp:positionV>
            <wp:extent cx="7246620" cy="2571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36195</wp:posOffset>
            </wp:positionV>
            <wp:extent cx="7246620" cy="533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53340"/>
                    </a:xfrm>
                    <a:prstGeom prst="rect">
                      <a:avLst/>
                    </a:prstGeom>
                    <a:noFill/>
                  </pic:spPr>
                </pic:pic>
              </a:graphicData>
            </a:graphic>
          </wp:anchor>
        </w:drawing>
      </w:r>
    </w:p>
    <w:p>
      <w:pPr>
        <w:sectPr>
          <w:pgSz w:w="11900" w:h="16838" w:orient="portrait"/>
          <w:cols w:equalWidth="0" w:num="2">
            <w:col w:w="1800" w:space="300"/>
            <w:col w:w="9220"/>
          </w:cols>
          <w:pgMar w:left="280" w:top="111" w:right="299" w:bottom="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49"/>
        </w:trPr>
        <w:tc>
          <w:tcPr>
            <w:tcW w:w="640" w:type="dxa"/>
            <w:vAlign w:val="bottom"/>
          </w:tcPr>
          <w:p>
            <w:pPr>
              <w:jc w:val="center"/>
              <w:spacing w:after="0"/>
              <w:rPr>
                <w:sz w:val="20"/>
                <w:szCs w:val="20"/>
                <w:color w:val="auto"/>
              </w:rPr>
            </w:pPr>
            <w:r>
              <w:rPr>
                <w:rFonts w:ascii="Arial" w:cs="Arial" w:eastAsia="Arial" w:hAnsi="Arial"/>
                <w:sz w:val="13"/>
                <w:szCs w:val="13"/>
                <w:color w:val="auto"/>
                <w:w w:val="94"/>
              </w:rPr>
              <w:t>A40233VI-</w:t>
            </w:r>
          </w:p>
        </w:tc>
        <w:tc>
          <w:tcPr>
            <w:tcW w:w="880" w:type="dxa"/>
            <w:vAlign w:val="bottom"/>
          </w:tcPr>
          <w:p>
            <w:pPr>
              <w:jc w:val="center"/>
              <w:spacing w:after="0"/>
              <w:rPr>
                <w:sz w:val="20"/>
                <w:szCs w:val="20"/>
                <w:color w:val="auto"/>
              </w:rPr>
            </w:pPr>
            <w:r>
              <w:rPr>
                <w:rFonts w:ascii="Arial" w:cs="Arial" w:eastAsia="Arial" w:hAnsi="Arial"/>
                <w:sz w:val="13"/>
                <w:szCs w:val="13"/>
                <w:color w:val="auto"/>
                <w:w w:val="90"/>
              </w:rPr>
              <w:t>Vringo</w:t>
            </w:r>
          </w:p>
        </w:tc>
        <w:tc>
          <w:tcPr>
            <w:tcW w:w="280" w:type="dxa"/>
            <w:vAlign w:val="bottom"/>
          </w:tcPr>
          <w:p>
            <w:pPr>
              <w:jc w:val="center"/>
              <w:ind w:left="57"/>
              <w:spacing w:after="0"/>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35"/>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IN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IN01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640" w:type="dxa"/>
            <w:vAlign w:val="bottom"/>
          </w:tcPr>
          <w:p>
            <w:pPr>
              <w:spacing w:after="0"/>
              <w:rPr>
                <w:sz w:val="6"/>
                <w:szCs w:val="6"/>
                <w:color w:val="auto"/>
              </w:rPr>
            </w:pPr>
          </w:p>
        </w:tc>
        <w:tc>
          <w:tcPr>
            <w:tcW w:w="880" w:type="dxa"/>
            <w:vAlign w:val="bottom"/>
          </w:tcPr>
          <w:p>
            <w:pPr>
              <w:jc w:val="center"/>
              <w:spacing w:after="0" w:line="78" w:lineRule="exact"/>
              <w:rPr>
                <w:sz w:val="20"/>
                <w:szCs w:val="20"/>
                <w:color w:val="auto"/>
              </w:rPr>
            </w:pPr>
            <w:r>
              <w:rPr>
                <w:rFonts w:ascii="Arial" w:cs="Arial" w:eastAsia="Arial" w:hAnsi="Arial"/>
                <w:sz w:val="8"/>
                <w:szCs w:val="8"/>
                <w:color w:val="auto"/>
              </w:rPr>
              <w:t>Vringo</w:t>
            </w: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00" w:type="dxa"/>
            <w:vAlign w:val="bottom"/>
          </w:tcPr>
          <w:p>
            <w:pPr>
              <w:jc w:val="center"/>
              <w:ind w:left="37"/>
              <w:spacing w:after="0"/>
              <w:rPr>
                <w:sz w:val="20"/>
                <w:szCs w:val="20"/>
                <w:color w:val="auto"/>
              </w:rPr>
            </w:pPr>
            <w:r>
              <w:rPr>
                <w:rFonts w:ascii="Arial" w:cs="Arial" w:eastAsia="Arial" w:hAnsi="Arial"/>
                <w:sz w:val="13"/>
                <w:szCs w:val="13"/>
                <w:color w:val="auto"/>
                <w:w w:val="85"/>
              </w:rPr>
              <w:t>8-Jun-05</w:t>
            </w:r>
          </w:p>
        </w:tc>
        <w:tc>
          <w:tcPr>
            <w:tcW w:w="4240" w:type="dxa"/>
            <w:vAlign w:val="bottom"/>
            <w:gridSpan w:val="2"/>
          </w:tcPr>
          <w:p>
            <w:pPr>
              <w:ind w:left="40"/>
              <w:spacing w:after="0"/>
              <w:rPr>
                <w:sz w:val="20"/>
                <w:szCs w:val="20"/>
                <w:color w:val="auto"/>
              </w:rPr>
            </w:pPr>
            <w:r>
              <w:rPr>
                <w:rFonts w:ascii="Arial" w:cs="Arial" w:eastAsia="Arial" w:hAnsi="Arial"/>
                <w:sz w:val="13"/>
                <w:szCs w:val="13"/>
                <w:color w:val="auto"/>
              </w:rPr>
              <w:t>DE602005020445.8 Discovery Of V4-V6 Interworking Router</w:t>
            </w:r>
          </w:p>
        </w:tc>
      </w:tr>
      <w:tr>
        <w:trPr>
          <w:trHeight w:val="540"/>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00" w:type="dxa"/>
            <w:vAlign w:val="bottom"/>
          </w:tcPr>
          <w:p>
            <w:pPr>
              <w:jc w:val="center"/>
              <w:ind w:left="37"/>
              <w:spacing w:after="0"/>
              <w:rPr>
                <w:sz w:val="20"/>
                <w:szCs w:val="20"/>
                <w:color w:val="auto"/>
              </w:rPr>
            </w:pPr>
            <w:r>
              <w:rPr>
                <w:rFonts w:ascii="Arial" w:cs="Arial" w:eastAsia="Arial" w:hAnsi="Arial"/>
                <w:sz w:val="13"/>
                <w:szCs w:val="13"/>
                <w:color w:val="auto"/>
                <w:w w:val="85"/>
              </w:rPr>
              <w:t>8-Jun-05</w:t>
            </w:r>
          </w:p>
        </w:tc>
        <w:tc>
          <w:tcPr>
            <w:tcW w:w="960" w:type="dxa"/>
            <w:vAlign w:val="bottom"/>
          </w:tcPr>
          <w:p>
            <w:pPr>
              <w:jc w:val="center"/>
              <w:ind w:left="77"/>
              <w:spacing w:after="0"/>
              <w:rPr>
                <w:sz w:val="20"/>
                <w:szCs w:val="20"/>
                <w:color w:val="auto"/>
              </w:rPr>
            </w:pPr>
            <w:r>
              <w:rPr>
                <w:rFonts w:ascii="Arial" w:cs="Arial" w:eastAsia="Arial" w:hAnsi="Arial"/>
                <w:sz w:val="13"/>
                <w:szCs w:val="13"/>
                <w:color w:val="auto"/>
                <w:w w:val="85"/>
              </w:rPr>
              <w:t>EP1759519</w:t>
            </w:r>
          </w:p>
        </w:tc>
        <w:tc>
          <w:tcPr>
            <w:tcW w:w="3280" w:type="dxa"/>
            <w:vAlign w:val="bottom"/>
          </w:tcPr>
          <w:p>
            <w:pPr>
              <w:ind w:left="120"/>
              <w:spacing w:after="0"/>
              <w:rPr>
                <w:sz w:val="20"/>
                <w:szCs w:val="20"/>
                <w:color w:val="auto"/>
              </w:rPr>
            </w:pPr>
            <w:r>
              <w:rPr>
                <w:rFonts w:ascii="Arial" w:cs="Arial" w:eastAsia="Arial" w:hAnsi="Arial"/>
                <w:sz w:val="13"/>
                <w:szCs w:val="13"/>
                <w:color w:val="auto"/>
                <w:w w:val="89"/>
              </w:rPr>
              <w:t>Discovering A Network Element In A Communication System</w:t>
            </w: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Pending</w:t>
            </w:r>
          </w:p>
        </w:tc>
        <w:tc>
          <w:tcPr>
            <w:tcW w:w="700" w:type="dxa"/>
            <w:vAlign w:val="bottom"/>
          </w:tcPr>
          <w:p>
            <w:pPr>
              <w:jc w:val="center"/>
              <w:ind w:left="17"/>
              <w:spacing w:after="0"/>
              <w:rPr>
                <w:sz w:val="20"/>
                <w:szCs w:val="20"/>
                <w:color w:val="auto"/>
              </w:rPr>
            </w:pPr>
            <w:r>
              <w:rPr>
                <w:rFonts w:ascii="Arial" w:cs="Arial" w:eastAsia="Arial" w:hAnsi="Arial"/>
                <w:sz w:val="13"/>
                <w:szCs w:val="13"/>
                <w:color w:val="auto"/>
                <w:w w:val="85"/>
              </w:rPr>
              <w:t>15-Jan-07</w:t>
            </w:r>
          </w:p>
        </w:tc>
        <w:tc>
          <w:tcPr>
            <w:tcW w:w="960" w:type="dxa"/>
            <w:vAlign w:val="bottom"/>
          </w:tcPr>
          <w:p>
            <w:pPr>
              <w:spacing w:after="0"/>
              <w:rPr>
                <w:sz w:val="24"/>
                <w:szCs w:val="24"/>
                <w:color w:val="auto"/>
              </w:rPr>
            </w:pPr>
          </w:p>
        </w:tc>
        <w:tc>
          <w:tcPr>
            <w:tcW w:w="3280" w:type="dxa"/>
            <w:vAlign w:val="bottom"/>
          </w:tcPr>
          <w:p>
            <w:pPr>
              <w:ind w:left="120"/>
              <w:spacing w:after="0"/>
              <w:rPr>
                <w:sz w:val="20"/>
                <w:szCs w:val="20"/>
                <w:color w:val="auto"/>
              </w:rPr>
            </w:pPr>
            <w:r>
              <w:rPr>
                <w:rFonts w:ascii="Arial" w:cs="Arial" w:eastAsia="Arial" w:hAnsi="Arial"/>
                <w:sz w:val="13"/>
                <w:szCs w:val="13"/>
                <w:color w:val="auto"/>
                <w:w w:val="89"/>
              </w:rPr>
              <w:t>Discovering A Network Element In A Communication System</w:t>
            </w: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00" w:type="dxa"/>
            <w:vAlign w:val="bottom"/>
          </w:tcPr>
          <w:p>
            <w:pPr>
              <w:jc w:val="center"/>
              <w:ind w:left="37"/>
              <w:spacing w:after="0"/>
              <w:rPr>
                <w:sz w:val="20"/>
                <w:szCs w:val="20"/>
                <w:color w:val="auto"/>
              </w:rPr>
            </w:pPr>
            <w:r>
              <w:rPr>
                <w:rFonts w:ascii="Arial" w:cs="Arial" w:eastAsia="Arial" w:hAnsi="Arial"/>
                <w:sz w:val="13"/>
                <w:szCs w:val="13"/>
                <w:color w:val="auto"/>
                <w:w w:val="92"/>
              </w:rPr>
              <w:t>20-Aug-04</w:t>
            </w:r>
          </w:p>
        </w:tc>
        <w:tc>
          <w:tcPr>
            <w:tcW w:w="960" w:type="dxa"/>
            <w:vAlign w:val="bottom"/>
          </w:tcPr>
          <w:p>
            <w:pPr>
              <w:jc w:val="center"/>
              <w:ind w:left="97"/>
              <w:spacing w:after="0"/>
              <w:rPr>
                <w:sz w:val="20"/>
                <w:szCs w:val="20"/>
                <w:color w:val="auto"/>
              </w:rPr>
            </w:pPr>
            <w:r>
              <w:rPr>
                <w:rFonts w:ascii="Arial" w:cs="Arial" w:eastAsia="Arial" w:hAnsi="Arial"/>
                <w:sz w:val="13"/>
                <w:szCs w:val="13"/>
                <w:color w:val="auto"/>
                <w:w w:val="87"/>
              </w:rPr>
              <w:t>US7710964</w:t>
            </w:r>
          </w:p>
        </w:tc>
        <w:tc>
          <w:tcPr>
            <w:tcW w:w="3280" w:type="dxa"/>
            <w:vAlign w:val="bottom"/>
          </w:tcPr>
          <w:p>
            <w:pPr>
              <w:ind w:left="120"/>
              <w:spacing w:after="0"/>
              <w:rPr>
                <w:sz w:val="20"/>
                <w:szCs w:val="20"/>
                <w:color w:val="auto"/>
              </w:rPr>
            </w:pPr>
            <w:r>
              <w:rPr>
                <w:rFonts w:ascii="Arial" w:cs="Arial" w:eastAsia="Arial" w:hAnsi="Arial"/>
                <w:sz w:val="13"/>
                <w:szCs w:val="13"/>
                <w:color w:val="auto"/>
                <w:w w:val="89"/>
              </w:rPr>
              <w:t>Discovering A Network Element In A Communication System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-949960</wp:posOffset>
            </wp:positionV>
            <wp:extent cx="7246620" cy="2571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-434975</wp:posOffset>
            </wp:positionV>
            <wp:extent cx="7246620" cy="2571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78740</wp:posOffset>
            </wp:positionV>
            <wp:extent cx="7246620" cy="2571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20"/>
                <w:szCs w:val="20"/>
                <w:color w:val="auto"/>
              </w:rPr>
            </w:pPr>
            <w:r>
              <w:rPr>
                <w:rFonts w:ascii="Arial" w:cs="Arial" w:eastAsia="Arial" w:hAnsi="Arial"/>
                <w:sz w:val="13"/>
                <w:szCs w:val="13"/>
                <w:color w:val="auto"/>
                <w:w w:val="90"/>
              </w:rPr>
              <w:t>Patil Raj Basavaraj [Us] Devarapalli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Vijay [Us]</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r>
      <w:tr>
        <w:trPr>
          <w:trHeight w:val="312"/>
        </w:trPr>
        <w:tc>
          <w:tcPr>
            <w:tcW w:w="1880" w:type="dxa"/>
            <w:vAlign w:val="bottom"/>
          </w:tcPr>
          <w:p>
            <w:pPr>
              <w:spacing w:after="0"/>
              <w:rPr>
                <w:sz w:val="20"/>
                <w:szCs w:val="20"/>
                <w:color w:val="auto"/>
              </w:rPr>
            </w:pPr>
            <w:r>
              <w:rPr>
                <w:rFonts w:ascii="Arial" w:cs="Arial" w:eastAsia="Arial" w:hAnsi="Arial"/>
                <w:sz w:val="13"/>
                <w:szCs w:val="13"/>
                <w:color w:val="auto"/>
                <w:w w:val="90"/>
              </w:rPr>
              <w:t>Patil Raj Basavaraj [Us] Devarapalli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Vijay [Us]</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0"/>
              </w:rPr>
              <w:t>Patil Raj Basavaraj [Us] Devarapalli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Vijay [Us]</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0"/>
              </w:rPr>
              <w:t>Patil Raj Basavaraj [Us] Devarapalli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Vijay [Us]</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r>
    </w:tbl>
    <w:p>
      <w:pPr>
        <w:spacing w:after="0" w:line="120" w:lineRule="exact"/>
        <w:rPr>
          <w:sz w:val="20"/>
          <w:szCs w:val="20"/>
          <w:color w:val="auto"/>
        </w:rPr>
      </w:pPr>
    </w:p>
    <w:p>
      <w:pPr>
        <w:sectPr>
          <w:pgSz w:w="11900" w:h="16838" w:orient="portrait"/>
          <w:cols w:equalWidth="0" w:num="3">
            <w:col w:w="1800" w:space="320"/>
            <w:col w:w="6100" w:space="720"/>
            <w:col w:w="2380"/>
          </w:cols>
          <w:pgMar w:left="280" w:top="111" w:right="299" w:bottom="0" w:gutter="0" w:footer="0" w:header="0"/>
        </w:sectPr>
      </w:pPr>
    </w:p>
    <w:tbl>
      <w:tblPr>
        <w:tblLayout w:type="fixed"/>
        <w:tblInd w:w="0" w:type="dxa"/>
        <w:tblCellMar>
          <w:top w:w="0" w:type="dxa"/>
          <w:left w:w="0" w:type="dxa"/>
          <w:bottom w:w="0" w:type="dxa"/>
          <w:right w:w="0" w:type="dxa"/>
        </w:tblCellMar>
      </w:tblPr>
      <w:tr>
        <w:trPr>
          <w:trHeight w:val="180"/>
        </w:trPr>
        <w:tc>
          <w:tcPr>
            <w:tcW w:w="640" w:type="dxa"/>
            <w:vAlign w:val="bottom"/>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rPr>
                <w:sz w:val="20"/>
                <w:szCs w:val="20"/>
                <w:color w:val="auto"/>
              </w:rPr>
            </w:pPr>
            <w:r>
              <w:rPr>
                <w:rFonts w:ascii="Arial" w:cs="Arial" w:eastAsia="Arial" w:hAnsi="Arial"/>
                <w:sz w:val="13"/>
                <w:szCs w:val="13"/>
                <w:color w:val="auto"/>
                <w:w w:val="91"/>
              </w:rPr>
              <w:t>BE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BE01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CZ</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CZ01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EA</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EA01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EP02</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EP03</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EP04</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FR01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2"/>
              </w:rPr>
              <w:t>GR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8"/>
              </w:rPr>
              <w:t>GR01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HK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HK01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HK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HK02</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IT01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6"/>
              </w:rPr>
              <w:t>NL</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NL01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rPr>
              <w:t>PL</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5"/>
              </w:rPr>
              <w:t>PL01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2"/>
              </w:rPr>
              <w:t>RO</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8"/>
              </w:rPr>
              <w:t>RO01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RU</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RU01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A40284VI-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US02</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A40312VI-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AU</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AU01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640" w:type="dxa"/>
            <w:vAlign w:val="bottom"/>
          </w:tcPr>
          <w:p>
            <w:pPr>
              <w:spacing w:after="0"/>
              <w:rPr>
                <w:sz w:val="6"/>
                <w:szCs w:val="6"/>
                <w:color w:val="auto"/>
              </w:rPr>
            </w:pPr>
          </w:p>
        </w:tc>
        <w:tc>
          <w:tcPr>
            <w:tcW w:w="880" w:type="dxa"/>
            <w:vAlign w:val="bottom"/>
          </w:tcPr>
          <w:p>
            <w:pPr>
              <w:jc w:val="center"/>
              <w:spacing w:after="0" w:line="78" w:lineRule="exact"/>
              <w:rPr>
                <w:sz w:val="20"/>
                <w:szCs w:val="20"/>
                <w:color w:val="auto"/>
              </w:rPr>
            </w:pPr>
            <w:r>
              <w:rPr>
                <w:rFonts w:ascii="Arial" w:cs="Arial" w:eastAsia="Arial" w:hAnsi="Arial"/>
                <w:sz w:val="8"/>
                <w:szCs w:val="8"/>
                <w:color w:val="auto"/>
              </w:rPr>
              <w:t>Vringo</w:t>
            </w: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Pending</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Pending</w:t>
      </w:r>
    </w:p>
    <w:p>
      <w:pPr>
        <w:spacing w:after="0" w:line="256"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18-Feb-05</w:t>
      </w:r>
    </w:p>
    <w:p>
      <w:pPr>
        <w:spacing w:after="0" w:line="279"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5-Apr-04</w:t>
      </w:r>
    </w:p>
    <w:p>
      <w:pPr>
        <w:spacing w:after="0" w:line="267" w:lineRule="exact"/>
        <w:rPr>
          <w:sz w:val="20"/>
          <w:szCs w:val="20"/>
          <w:color w:val="auto"/>
        </w:rPr>
      </w:pPr>
    </w:p>
    <w:p>
      <w:pPr>
        <w:spacing w:after="0"/>
        <w:tabs>
          <w:tab w:leader="none" w:pos="68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14-Sep-07</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14-Feb-05</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BE1719352</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CZ1719352</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EP1719352</w:t>
      </w:r>
    </w:p>
    <w:p>
      <w:pPr>
        <w:spacing w:after="0" w:line="25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EA010335</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EP1719352</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EP2574105</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EP2574107</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EP2574106</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EP1719352</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FR1719352</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GB1719352</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GR1719352</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1183761</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1183760</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EP1719352</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NL1719352</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PL1719352</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RO1719352</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EA10335</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US7333793</w:t>
      </w: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US20080062930</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2"/>
          <w:szCs w:val="12"/>
          <w:color w:val="auto"/>
        </w:rPr>
        <w:t>AU2005212893</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101"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24130</wp:posOffset>
            </wp:positionV>
            <wp:extent cx="7246620" cy="2571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71"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91" w:lineRule="exact"/>
        <w:rPr>
          <w:sz w:val="20"/>
          <w:szCs w:val="20"/>
          <w:color w:val="auto"/>
        </w:rPr>
      </w:pPr>
    </w:p>
    <w:p>
      <w:pPr>
        <w:ind w:right="160"/>
        <w:spacing w:after="0" w:line="237" w:lineRule="auto"/>
        <w:rPr>
          <w:sz w:val="20"/>
          <w:szCs w:val="20"/>
          <w:color w:val="auto"/>
        </w:rPr>
      </w:pPr>
      <w:r>
        <w:rPr>
          <w:rFonts w:ascii="Arial" w:cs="Arial" w:eastAsia="Arial" w:hAnsi="Arial"/>
          <w:sz w:val="13"/>
          <w:szCs w:val="13"/>
          <w:color w:val="auto"/>
        </w:rPr>
        <w:t>Method For Performing Packet Switched Handover In A Mobile Communication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36195</wp:posOffset>
            </wp:positionV>
            <wp:extent cx="7246620" cy="2571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90"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91"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24130</wp:posOffset>
            </wp:positionV>
            <wp:extent cx="7246620" cy="2571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71"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91"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24130</wp:posOffset>
            </wp:positionV>
            <wp:extent cx="7246620" cy="2571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71"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91"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24130</wp:posOffset>
            </wp:positionV>
            <wp:extent cx="7246620" cy="2571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71"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91"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24130</wp:posOffset>
            </wp:positionV>
            <wp:extent cx="7246620" cy="2571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71" w:lineRule="exact"/>
        <w:rPr>
          <w:sz w:val="20"/>
          <w:szCs w:val="20"/>
          <w:color w:val="auto"/>
        </w:rPr>
      </w:pPr>
    </w:p>
    <w:p>
      <w:pPr>
        <w:ind w:right="160"/>
        <w:spacing w:after="0" w:line="237" w:lineRule="auto"/>
        <w:rPr>
          <w:sz w:val="20"/>
          <w:szCs w:val="20"/>
          <w:color w:val="auto"/>
        </w:rPr>
      </w:pPr>
      <w:r>
        <w:rPr>
          <w:rFonts w:ascii="Arial" w:cs="Arial" w:eastAsia="Arial" w:hAnsi="Arial"/>
          <w:sz w:val="13"/>
          <w:szCs w:val="13"/>
          <w:color w:val="auto"/>
        </w:rPr>
        <w:t>Method For Performing Packet Switched Handover In A Mobile Communication System</w:t>
      </w:r>
    </w:p>
    <w:p>
      <w:pPr>
        <w:spacing w:after="0" w:line="110" w:lineRule="exact"/>
        <w:rPr>
          <w:sz w:val="20"/>
          <w:szCs w:val="20"/>
          <w:color w:val="auto"/>
        </w:rPr>
      </w:pPr>
    </w:p>
    <w:p>
      <w:pPr>
        <w:ind w:right="160"/>
        <w:spacing w:after="0" w:line="237" w:lineRule="auto"/>
        <w:rPr>
          <w:sz w:val="20"/>
          <w:szCs w:val="20"/>
          <w:color w:val="auto"/>
        </w:rPr>
      </w:pPr>
      <w:r>
        <w:rPr>
          <w:rFonts w:ascii="Arial" w:cs="Arial" w:eastAsia="Arial" w:hAnsi="Arial"/>
          <w:sz w:val="13"/>
          <w:szCs w:val="13"/>
          <w:color w:val="auto"/>
        </w:rPr>
        <w:t>Method For Performing Packet Switched Handover In A Mobile Communication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36195</wp:posOffset>
            </wp:positionV>
            <wp:extent cx="7246620" cy="2571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90"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91"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24130</wp:posOffset>
            </wp:positionV>
            <wp:extent cx="7246620" cy="2571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71"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91" w:lineRule="exact"/>
        <w:rPr>
          <w:sz w:val="20"/>
          <w:szCs w:val="20"/>
          <w:color w:val="auto"/>
        </w:rPr>
      </w:pPr>
    </w:p>
    <w:p>
      <w:pPr>
        <w:ind w:right="80"/>
        <w:spacing w:after="0" w:line="273" w:lineRule="auto"/>
        <w:rPr>
          <w:sz w:val="20"/>
          <w:szCs w:val="20"/>
          <w:color w:val="auto"/>
        </w:rPr>
      </w:pPr>
      <w:r>
        <w:rPr>
          <w:rFonts w:ascii="Arial" w:cs="Arial" w:eastAsia="Arial" w:hAnsi="Arial"/>
          <w:sz w:val="12"/>
          <w:szCs w:val="12"/>
          <w:color w:val="auto"/>
        </w:rPr>
        <w:t>Packet Switched Handover In A Mobile Communication System, During Which A Mobile Node Receives Packets From A Source Node And A Target Node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24130</wp:posOffset>
            </wp:positionV>
            <wp:extent cx="7246620" cy="2571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71" w:lineRule="exact"/>
        <w:rPr>
          <w:sz w:val="20"/>
          <w:szCs w:val="20"/>
          <w:color w:val="auto"/>
        </w:rPr>
      </w:pPr>
    </w:p>
    <w:p>
      <w:pPr>
        <w:ind w:right="160"/>
        <w:spacing w:after="0" w:line="237" w:lineRule="auto"/>
        <w:rPr>
          <w:sz w:val="20"/>
          <w:szCs w:val="20"/>
          <w:color w:val="auto"/>
        </w:rPr>
      </w:pPr>
      <w:r>
        <w:rPr>
          <w:rFonts w:ascii="Arial" w:cs="Arial" w:eastAsia="Arial" w:hAnsi="Arial"/>
          <w:sz w:val="13"/>
          <w:szCs w:val="13"/>
          <w:color w:val="auto"/>
        </w:rPr>
        <w:t>Method For Performing Packet Switched Handover In A Mobile Communication System</w:t>
      </w:r>
    </w:p>
    <w:p>
      <w:pPr>
        <w:spacing w:after="0" w:line="110" w:lineRule="exact"/>
        <w:rPr>
          <w:sz w:val="20"/>
          <w:szCs w:val="20"/>
          <w:color w:val="auto"/>
        </w:rPr>
      </w:pPr>
    </w:p>
    <w:p>
      <w:pPr>
        <w:ind w:right="160"/>
        <w:spacing w:after="0" w:line="237" w:lineRule="auto"/>
        <w:rPr>
          <w:sz w:val="20"/>
          <w:szCs w:val="20"/>
          <w:color w:val="auto"/>
        </w:rPr>
      </w:pPr>
      <w:r>
        <w:rPr>
          <w:rFonts w:ascii="Arial" w:cs="Arial" w:eastAsia="Arial" w:hAnsi="Arial"/>
          <w:sz w:val="13"/>
          <w:szCs w:val="13"/>
          <w:color w:val="auto"/>
        </w:rPr>
        <w:t>Method For Performing Packet Switched Handover In A Mobile Communication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36195</wp:posOffset>
            </wp:positionV>
            <wp:extent cx="7246620" cy="2571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90" w:lineRule="exact"/>
        <w:rPr>
          <w:sz w:val="20"/>
          <w:szCs w:val="20"/>
          <w:color w:val="auto"/>
        </w:rPr>
      </w:pPr>
    </w:p>
    <w:p>
      <w:pPr>
        <w:ind w:right="160"/>
        <w:spacing w:after="0" w:line="237" w:lineRule="auto"/>
        <w:rPr>
          <w:sz w:val="20"/>
          <w:szCs w:val="20"/>
          <w:color w:val="auto"/>
        </w:rPr>
      </w:pPr>
      <w:r>
        <w:rPr>
          <w:rFonts w:ascii="Arial" w:cs="Arial" w:eastAsia="Arial" w:hAnsi="Arial"/>
          <w:sz w:val="13"/>
          <w:szCs w:val="13"/>
          <w:color w:val="auto"/>
        </w:rPr>
        <w:t>Method For Performing Packet Switched Handover In A Mobile Communication System</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Method And Computer Program For Controlling Radio Resources, User Equipment, Radio Network Controller, And Base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36195</wp:posOffset>
            </wp:positionV>
            <wp:extent cx="7246620" cy="2571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1880" w:type="dxa"/>
            <w:vAlign w:val="bottom"/>
          </w:tcPr>
          <w:p>
            <w:pPr>
              <w:spacing w:after="0" w:line="125" w:lineRule="exact"/>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line="125" w:lineRule="exact"/>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80" w:type="dxa"/>
            <w:vAlign w:val="bottom"/>
            <w:vMerge w:val="restart"/>
          </w:tcPr>
          <w:p>
            <w:pPr>
              <w:spacing w:after="0"/>
              <w:rPr>
                <w:sz w:val="20"/>
                <w:szCs w:val="20"/>
                <w:color w:val="auto"/>
              </w:rPr>
            </w:pPr>
            <w:r>
              <w:rPr>
                <w:rFonts w:ascii="Arial" w:cs="Arial" w:eastAsia="Arial" w:hAnsi="Arial"/>
                <w:sz w:val="13"/>
                <w:szCs w:val="13"/>
                <w:color w:val="auto"/>
              </w:rPr>
              <w:t>(+1)</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80" w:type="dxa"/>
            <w:vAlign w:val="bottom"/>
            <w:vMerge w:val="restart"/>
          </w:tcPr>
          <w:p>
            <w:pPr>
              <w:spacing w:after="0"/>
              <w:rPr>
                <w:sz w:val="20"/>
                <w:szCs w:val="20"/>
                <w:color w:val="auto"/>
              </w:rPr>
            </w:pPr>
            <w:r>
              <w:rPr>
                <w:rFonts w:ascii="Arial" w:cs="Arial" w:eastAsia="Arial" w:hAnsi="Arial"/>
                <w:sz w:val="13"/>
                <w:szCs w:val="13"/>
                <w:color w:val="auto"/>
              </w:rPr>
              <w:t>(+1)</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80" w:type="dxa"/>
            <w:vAlign w:val="bottom"/>
            <w:vMerge w:val="restart"/>
          </w:tcPr>
          <w:p>
            <w:pPr>
              <w:spacing w:after="0"/>
              <w:rPr>
                <w:sz w:val="20"/>
                <w:szCs w:val="20"/>
                <w:color w:val="auto"/>
              </w:rPr>
            </w:pPr>
            <w:r>
              <w:rPr>
                <w:rFonts w:ascii="Arial" w:cs="Arial" w:eastAsia="Arial" w:hAnsi="Arial"/>
                <w:sz w:val="13"/>
                <w:szCs w:val="13"/>
                <w:color w:val="auto"/>
              </w:rPr>
              <w:t>(+1)</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80" w:type="dxa"/>
            <w:vAlign w:val="bottom"/>
            <w:vMerge w:val="restart"/>
          </w:tcPr>
          <w:p>
            <w:pPr>
              <w:spacing w:after="0"/>
              <w:rPr>
                <w:sz w:val="20"/>
                <w:szCs w:val="20"/>
                <w:color w:val="auto"/>
              </w:rPr>
            </w:pPr>
            <w:r>
              <w:rPr>
                <w:rFonts w:ascii="Arial" w:cs="Arial" w:eastAsia="Arial" w:hAnsi="Arial"/>
                <w:sz w:val="13"/>
                <w:szCs w:val="13"/>
                <w:color w:val="auto"/>
              </w:rPr>
              <w:t>(+1)</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89"/>
              </w:rPr>
              <w:t>Niemela Tuomas, Kauranen Kari, P,</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80" w:type="dxa"/>
            <w:vAlign w:val="bottom"/>
            <w:vMerge w:val="restart"/>
          </w:tcPr>
          <w:p>
            <w:pPr>
              <w:spacing w:after="0"/>
              <w:rPr>
                <w:sz w:val="20"/>
                <w:szCs w:val="20"/>
                <w:color w:val="auto"/>
              </w:rPr>
            </w:pPr>
            <w:r>
              <w:rPr>
                <w:rFonts w:ascii="Arial" w:cs="Arial" w:eastAsia="Arial" w:hAnsi="Arial"/>
                <w:sz w:val="13"/>
                <w:szCs w:val="13"/>
                <w:color w:val="auto"/>
              </w:rPr>
              <w:t>(+1)</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880" w:type="dxa"/>
            <w:vAlign w:val="bottom"/>
          </w:tcPr>
          <w:p>
            <w:pPr>
              <w:spacing w:after="0"/>
              <w:rPr>
                <w:sz w:val="20"/>
                <w:szCs w:val="20"/>
                <w:color w:val="auto"/>
              </w:rPr>
            </w:pPr>
            <w:r>
              <w:rPr>
                <w:rFonts w:ascii="Arial" w:cs="Arial" w:eastAsia="Arial" w:hAnsi="Arial"/>
                <w:sz w:val="13"/>
                <w:szCs w:val="13"/>
                <w:color w:val="auto"/>
              </w:rPr>
              <w:t>Toskala Antti, Ranta-Aho Karri</w:t>
            </w:r>
          </w:p>
        </w:tc>
        <w:tc>
          <w:tcPr>
            <w:tcW w:w="50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5">
            <w:col w:w="1800" w:space="300"/>
            <w:col w:w="1220" w:space="160"/>
            <w:col w:w="860" w:space="100"/>
            <w:col w:w="4260" w:space="240"/>
            <w:col w:w="2380"/>
          </w:cols>
          <w:pgMar w:left="280" w:top="111" w:right="299" w:bottom="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640" w:type="dxa"/>
            <w:vAlign w:val="bottom"/>
          </w:tcPr>
          <w:p>
            <w:pPr>
              <w:jc w:val="center"/>
              <w:spacing w:after="0"/>
              <w:rPr>
                <w:sz w:val="20"/>
                <w:szCs w:val="20"/>
                <w:color w:val="auto"/>
              </w:rPr>
            </w:pPr>
            <w:r>
              <w:rPr>
                <w:rFonts w:ascii="Arial" w:cs="Arial" w:eastAsia="Arial" w:hAnsi="Arial"/>
                <w:sz w:val="13"/>
                <w:szCs w:val="13"/>
                <w:color w:val="auto"/>
                <w:w w:val="94"/>
              </w:rPr>
              <w:t>A40312VI-</w:t>
            </w:r>
          </w:p>
        </w:tc>
        <w:tc>
          <w:tcPr>
            <w:tcW w:w="1160" w:type="dxa"/>
            <w:vAlign w:val="bottom"/>
          </w:tcPr>
          <w:p>
            <w:pPr>
              <w:ind w:left="60"/>
              <w:spacing w:after="0"/>
              <w:rPr>
                <w:sz w:val="20"/>
                <w:szCs w:val="20"/>
                <w:color w:val="auto"/>
              </w:rPr>
            </w:pPr>
            <w:r>
              <w:rPr>
                <w:rFonts w:ascii="Arial" w:cs="Arial" w:eastAsia="Arial" w:hAnsi="Arial"/>
                <w:sz w:val="13"/>
                <w:szCs w:val="13"/>
                <w:color w:val="auto"/>
                <w:w w:val="95"/>
              </w:rPr>
              <w:t>Infrastructure,    CN</w:t>
            </w: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1160" w:type="dxa"/>
            <w:vAlign w:val="bottom"/>
          </w:tcPr>
          <w:p>
            <w:pPr>
              <w:jc w:val="center"/>
              <w:ind w:right="264"/>
              <w:spacing w:after="0" w:line="148" w:lineRule="exact"/>
              <w:rPr>
                <w:sz w:val="20"/>
                <w:szCs w:val="20"/>
                <w:color w:val="auto"/>
              </w:rPr>
            </w:pPr>
            <w:r>
              <w:rPr>
                <w:rFonts w:ascii="Arial" w:cs="Arial" w:eastAsia="Arial" w:hAnsi="Arial"/>
                <w:sz w:val="13"/>
                <w:szCs w:val="13"/>
                <w:color w:val="auto"/>
                <w:w w:val="95"/>
              </w:rPr>
              <w:t>Inc.</w:t>
            </w:r>
          </w:p>
        </w:tc>
      </w:tr>
      <w:tr>
        <w:trPr>
          <w:trHeight w:val="78"/>
        </w:trPr>
        <w:tc>
          <w:tcPr>
            <w:tcW w:w="640" w:type="dxa"/>
            <w:vAlign w:val="bottom"/>
          </w:tcPr>
          <w:p>
            <w:pPr>
              <w:spacing w:after="0"/>
              <w:rPr>
                <w:sz w:val="6"/>
                <w:szCs w:val="6"/>
                <w:color w:val="auto"/>
              </w:rPr>
            </w:pPr>
          </w:p>
        </w:tc>
        <w:tc>
          <w:tcPr>
            <w:tcW w:w="1160" w:type="dxa"/>
            <w:vAlign w:val="bottom"/>
          </w:tcPr>
          <w:p>
            <w:pPr>
              <w:jc w:val="center"/>
              <w:ind w:right="284"/>
              <w:spacing w:after="0" w:line="78" w:lineRule="exact"/>
              <w:rPr>
                <w:sz w:val="20"/>
                <w:szCs w:val="20"/>
                <w:color w:val="auto"/>
              </w:rPr>
            </w:pPr>
            <w:r>
              <w:rPr>
                <w:rFonts w:ascii="Arial" w:cs="Arial" w:eastAsia="Arial" w:hAnsi="Arial"/>
                <w:sz w:val="8"/>
                <w:szCs w:val="8"/>
                <w:color w:val="auto"/>
              </w:rPr>
              <w:t>Vringo</w:t>
            </w: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tabs>
          <w:tab w:leader="none" w:pos="66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14-Feb-05</w:t>
      </w:r>
    </w:p>
    <w:p>
      <w:pPr>
        <w:spacing w:after="0" w:line="20" w:lineRule="exact"/>
        <w:rPr>
          <w:sz w:val="20"/>
          <w:szCs w:val="20"/>
          <w:color w:val="auto"/>
        </w:rPr>
      </w:pPr>
      <w:r>
        <w:rPr>
          <w:sz w:val="20"/>
          <w:szCs w:val="20"/>
          <w:color w:val="auto"/>
        </w:rPr>
        <w:br w:type="column"/>
      </w:r>
    </w:p>
    <w:p>
      <w:pPr>
        <w:ind w:hanging="1038"/>
        <w:spacing w:after="0" w:line="186" w:lineRule="auto"/>
        <w:rPr>
          <w:sz w:val="20"/>
          <w:szCs w:val="20"/>
          <w:color w:val="auto"/>
        </w:rPr>
      </w:pPr>
      <w:r>
        <w:rPr>
          <w:rFonts w:ascii="Arial" w:cs="Arial" w:eastAsia="Arial" w:hAnsi="Arial"/>
          <w:sz w:val="21"/>
          <w:szCs w:val="21"/>
          <w:color w:val="auto"/>
          <w:vertAlign w:val="subscript"/>
        </w:rPr>
        <w:t>CN200580010576.5</w:t>
      </w:r>
      <w:r>
        <w:rPr>
          <w:rFonts w:ascii="Arial" w:cs="Arial" w:eastAsia="Arial" w:hAnsi="Arial"/>
          <w:sz w:val="11"/>
          <w:szCs w:val="11"/>
          <w:color w:val="auto"/>
        </w:rPr>
        <w:t xml:space="preserve"> Method And Computer Program For Controlling Radio Resources, User Equipment, Radio Network Controller, And Base Station</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tabs>
          <w:tab w:leader="none" w:pos="2000" w:val="left"/>
        </w:tabs>
        <w:rPr>
          <w:sz w:val="20"/>
          <w:szCs w:val="20"/>
          <w:color w:val="auto"/>
        </w:rPr>
      </w:pPr>
      <w:r>
        <w:rPr>
          <w:rFonts w:ascii="Arial" w:cs="Arial" w:eastAsia="Arial" w:hAnsi="Arial"/>
          <w:sz w:val="13"/>
          <w:szCs w:val="13"/>
          <w:color w:val="auto"/>
        </w:rPr>
        <w:t>Toskala Antti, Ranta-Aho Karri</w:t>
      </w:r>
      <w:r>
        <w:rPr>
          <w:sz w:val="20"/>
          <w:szCs w:val="20"/>
          <w:color w:val="auto"/>
        </w:rPr>
        <w:tab/>
      </w:r>
      <w:r>
        <w:rPr>
          <w:rFonts w:ascii="Arial" w:cs="Arial" w:eastAsia="Arial" w:hAnsi="Arial"/>
          <w:sz w:val="11"/>
          <w:szCs w:val="11"/>
          <w:color w:val="auto"/>
        </w:rPr>
        <w:t>ETSI</w:t>
      </w:r>
    </w:p>
    <w:p>
      <w:pPr>
        <w:spacing w:after="0" w:line="199" w:lineRule="exact"/>
        <w:rPr>
          <w:sz w:val="20"/>
          <w:szCs w:val="20"/>
          <w:color w:val="auto"/>
        </w:rPr>
      </w:pPr>
    </w:p>
    <w:p>
      <w:pPr>
        <w:sectPr>
          <w:pgSz w:w="11900" w:h="16838" w:orient="portrait"/>
          <w:cols w:equalWidth="0" w:num="4">
            <w:col w:w="1800" w:space="320"/>
            <w:col w:w="1600" w:space="720"/>
            <w:col w:w="4260" w:space="240"/>
            <w:col w:w="2380"/>
          </w:cols>
          <w:pgMar w:left="280" w:top="111" w:right="299" w:bottom="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640" w:type="dxa"/>
            <w:vAlign w:val="bottom"/>
          </w:tcPr>
          <w:p>
            <w:pPr>
              <w:jc w:val="center"/>
              <w:spacing w:after="0"/>
              <w:rPr>
                <w:sz w:val="20"/>
                <w:szCs w:val="20"/>
                <w:color w:val="auto"/>
              </w:rPr>
            </w:pPr>
            <w:r>
              <w:rPr>
                <w:rFonts w:ascii="Arial" w:cs="Arial" w:eastAsia="Arial" w:hAnsi="Arial"/>
                <w:sz w:val="13"/>
                <w:szCs w:val="13"/>
                <w:color w:val="auto"/>
                <w:w w:val="94"/>
              </w:rPr>
              <w:t>A40312VI-</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rPr>
                <w:sz w:val="20"/>
                <w:szCs w:val="20"/>
                <w:color w:val="auto"/>
              </w:rPr>
            </w:pPr>
            <w:r>
              <w:rPr>
                <w:rFonts w:ascii="Arial" w:cs="Arial" w:eastAsia="Arial" w:hAnsi="Arial"/>
                <w:sz w:val="13"/>
                <w:szCs w:val="13"/>
                <w:color w:val="auto"/>
                <w:w w:val="91"/>
              </w:rPr>
              <w:t>IN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IN01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A40312VI-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A40322VI-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A40333VI-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A40333VI-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A40609VI-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A40609VI-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IN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IN01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A40609VI-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A40609VI-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KR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KR01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A40773VI-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A40773VI-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DE01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A40773VI-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9"/>
              </w:rPr>
              <w:t>DK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DK01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A40773VI-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A40773VI-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160"/>
        </w:trPr>
        <w:tc>
          <w:tcPr>
            <w:tcW w:w="640" w:type="dxa"/>
            <w:vAlign w:val="bottom"/>
          </w:tcPr>
          <w:p>
            <w:pPr>
              <w:jc w:val="center"/>
              <w:spacing w:after="0"/>
              <w:rPr>
                <w:sz w:val="20"/>
                <w:szCs w:val="20"/>
                <w:color w:val="auto"/>
              </w:rPr>
            </w:pPr>
            <w:r>
              <w:rPr>
                <w:rFonts w:ascii="Arial" w:cs="Arial" w:eastAsia="Arial" w:hAnsi="Arial"/>
                <w:sz w:val="13"/>
                <w:szCs w:val="13"/>
                <w:color w:val="auto"/>
                <w:w w:val="90"/>
              </w:rPr>
              <w:t>GB01</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Infrastructure,</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540" w:type="dxa"/>
            <w:vAlign w:val="bottom"/>
            <w:vMerge w:val="restart"/>
          </w:tcPr>
          <w:p>
            <w:pPr>
              <w:spacing w:after="0"/>
              <w:rPr>
                <w:sz w:val="20"/>
                <w:szCs w:val="20"/>
                <w:color w:val="auto"/>
              </w:rPr>
            </w:pPr>
            <w:r>
              <w:rPr>
                <w:rFonts w:ascii="Arial" w:cs="Arial" w:eastAsia="Arial" w:hAnsi="Arial"/>
                <w:sz w:val="13"/>
                <w:szCs w:val="13"/>
                <w:color w:val="auto"/>
              </w:rPr>
              <w:t>Pending</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2"/>
              </w:rPr>
              <w:t>14-Aug-06</w:t>
            </w:r>
          </w:p>
        </w:tc>
        <w:tc>
          <w:tcPr>
            <w:tcW w:w="920" w:type="dxa"/>
            <w:vAlign w:val="bottom"/>
          </w:tcPr>
          <w:p>
            <w:pPr>
              <w:spacing w:after="0"/>
              <w:rPr>
                <w:sz w:val="10"/>
                <w:szCs w:val="10"/>
                <w:color w:val="auto"/>
              </w:rPr>
            </w:pPr>
          </w:p>
        </w:tc>
        <w:tc>
          <w:tcPr>
            <w:tcW w:w="4420" w:type="dxa"/>
            <w:vAlign w:val="bottom"/>
          </w:tcPr>
          <w:p>
            <w:pPr>
              <w:ind w:left="80"/>
              <w:spacing w:after="0" w:line="125" w:lineRule="exact"/>
              <w:rPr>
                <w:sz w:val="20"/>
                <w:szCs w:val="20"/>
                <w:color w:val="auto"/>
              </w:rPr>
            </w:pPr>
            <w:r>
              <w:rPr>
                <w:rFonts w:ascii="Arial" w:cs="Arial" w:eastAsia="Arial" w:hAnsi="Arial"/>
                <w:sz w:val="13"/>
                <w:szCs w:val="13"/>
                <w:color w:val="auto"/>
                <w:w w:val="89"/>
              </w:rPr>
              <w:t>Method And Computer Program For Controlling Radio Resources, User Equipment,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4420" w:type="dxa"/>
            <w:vAlign w:val="bottom"/>
            <w:vMerge w:val="restart"/>
          </w:tcPr>
          <w:p>
            <w:pPr>
              <w:ind w:left="80"/>
              <w:spacing w:after="0"/>
              <w:rPr>
                <w:sz w:val="20"/>
                <w:szCs w:val="20"/>
                <w:color w:val="auto"/>
              </w:rPr>
            </w:pPr>
            <w:r>
              <w:rPr>
                <w:rFonts w:ascii="Arial" w:cs="Arial" w:eastAsia="Arial" w:hAnsi="Arial"/>
                <w:sz w:val="13"/>
                <w:szCs w:val="13"/>
                <w:color w:val="auto"/>
              </w:rPr>
              <w:t>Radio Network Controller, And Base Station</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6"/>
              </w:rPr>
              <w:t>14-Feb-05</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JP4551902</w:t>
            </w:r>
          </w:p>
        </w:tc>
        <w:tc>
          <w:tcPr>
            <w:tcW w:w="4420" w:type="dxa"/>
            <w:vAlign w:val="bottom"/>
          </w:tcPr>
          <w:p>
            <w:pPr>
              <w:ind w:left="80"/>
              <w:spacing w:after="0"/>
              <w:rPr>
                <w:sz w:val="20"/>
                <w:szCs w:val="20"/>
                <w:color w:val="auto"/>
              </w:rPr>
            </w:pPr>
            <w:r>
              <w:rPr>
                <w:rFonts w:ascii="Arial" w:cs="Arial" w:eastAsia="Arial" w:hAnsi="Arial"/>
                <w:sz w:val="13"/>
                <w:szCs w:val="13"/>
                <w:color w:val="auto"/>
                <w:w w:val="89"/>
              </w:rPr>
              <w:t>Method And Computer Program For Controlling Radio Resources, User Equipment,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20" w:type="dxa"/>
            <w:vAlign w:val="bottom"/>
            <w:vMerge w:val="restart"/>
          </w:tcPr>
          <w:p>
            <w:pPr>
              <w:ind w:left="80"/>
              <w:spacing w:after="0"/>
              <w:rPr>
                <w:sz w:val="20"/>
                <w:szCs w:val="20"/>
                <w:color w:val="auto"/>
              </w:rPr>
            </w:pPr>
            <w:r>
              <w:rPr>
                <w:rFonts w:ascii="Arial" w:cs="Arial" w:eastAsia="Arial" w:hAnsi="Arial"/>
                <w:sz w:val="13"/>
                <w:szCs w:val="13"/>
                <w:color w:val="auto"/>
              </w:rPr>
              <w:t>Radio Network Controller, And Base Station</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tcPr>
          <w:p>
            <w:pPr>
              <w:jc w:val="center"/>
              <w:spacing w:after="0"/>
              <w:rPr>
                <w:sz w:val="20"/>
                <w:szCs w:val="20"/>
                <w:color w:val="auto"/>
              </w:rPr>
            </w:pPr>
            <w:r>
              <w:rPr>
                <w:rFonts w:ascii="Arial" w:cs="Arial" w:eastAsia="Arial" w:hAnsi="Arial"/>
                <w:sz w:val="13"/>
                <w:szCs w:val="13"/>
                <w:color w:val="auto"/>
                <w:w w:val="93"/>
              </w:rPr>
              <w:t>26-Apr-05</w:t>
            </w:r>
          </w:p>
        </w:tc>
        <w:tc>
          <w:tcPr>
            <w:tcW w:w="920" w:type="dxa"/>
            <w:vAlign w:val="bottom"/>
          </w:tcPr>
          <w:p>
            <w:pPr>
              <w:jc w:val="center"/>
              <w:spacing w:after="0"/>
              <w:rPr>
                <w:sz w:val="20"/>
                <w:szCs w:val="20"/>
                <w:color w:val="auto"/>
              </w:rPr>
            </w:pPr>
            <w:r>
              <w:rPr>
                <w:rFonts w:ascii="Arial" w:cs="Arial" w:eastAsia="Arial" w:hAnsi="Arial"/>
                <w:sz w:val="13"/>
                <w:szCs w:val="13"/>
                <w:color w:val="auto"/>
                <w:w w:val="87"/>
              </w:rPr>
              <w:t>US8213901</w:t>
            </w:r>
          </w:p>
        </w:tc>
        <w:tc>
          <w:tcPr>
            <w:tcW w:w="4420" w:type="dxa"/>
            <w:vAlign w:val="bottom"/>
          </w:tcPr>
          <w:p>
            <w:pPr>
              <w:ind w:left="80"/>
              <w:spacing w:after="0"/>
              <w:rPr>
                <w:sz w:val="20"/>
                <w:szCs w:val="20"/>
                <w:color w:val="auto"/>
              </w:rPr>
            </w:pPr>
            <w:r>
              <w:rPr>
                <w:rFonts w:ascii="Arial" w:cs="Arial" w:eastAsia="Arial" w:hAnsi="Arial"/>
                <w:sz w:val="13"/>
                <w:szCs w:val="13"/>
                <w:color w:val="auto"/>
              </w:rPr>
              <w:t>Subscriber Identities</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Pending</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26-Aug-05</w:t>
            </w:r>
          </w:p>
        </w:tc>
        <w:tc>
          <w:tcPr>
            <w:tcW w:w="920" w:type="dxa"/>
            <w:vAlign w:val="bottom"/>
          </w:tcPr>
          <w:p>
            <w:pPr>
              <w:jc w:val="center"/>
              <w:spacing w:after="0"/>
              <w:rPr>
                <w:sz w:val="20"/>
                <w:szCs w:val="20"/>
                <w:color w:val="auto"/>
              </w:rPr>
            </w:pPr>
            <w:r>
              <w:rPr>
                <w:rFonts w:ascii="Arial" w:cs="Arial" w:eastAsia="Arial" w:hAnsi="Arial"/>
                <w:sz w:val="13"/>
                <w:szCs w:val="13"/>
                <w:color w:val="auto"/>
                <w:w w:val="85"/>
              </w:rPr>
              <w:t>EP1797693</w:t>
            </w:r>
          </w:p>
        </w:tc>
        <w:tc>
          <w:tcPr>
            <w:tcW w:w="4420" w:type="dxa"/>
            <w:vAlign w:val="bottom"/>
          </w:tcPr>
          <w:p>
            <w:pPr>
              <w:ind w:left="80"/>
              <w:spacing w:after="0"/>
              <w:rPr>
                <w:sz w:val="20"/>
                <w:szCs w:val="20"/>
                <w:color w:val="auto"/>
              </w:rPr>
            </w:pPr>
            <w:r>
              <w:rPr>
                <w:rFonts w:ascii="Arial" w:cs="Arial" w:eastAsia="Arial" w:hAnsi="Arial"/>
                <w:sz w:val="13"/>
                <w:szCs w:val="13"/>
                <w:color w:val="auto"/>
              </w:rPr>
              <w:t>Controller</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24-Feb-05</w:t>
            </w:r>
          </w:p>
        </w:tc>
        <w:tc>
          <w:tcPr>
            <w:tcW w:w="920" w:type="dxa"/>
            <w:vAlign w:val="bottom"/>
          </w:tcPr>
          <w:p>
            <w:pPr>
              <w:jc w:val="center"/>
              <w:spacing w:after="0"/>
              <w:rPr>
                <w:sz w:val="20"/>
                <w:szCs w:val="20"/>
                <w:color w:val="auto"/>
              </w:rPr>
            </w:pPr>
            <w:r>
              <w:rPr>
                <w:rFonts w:ascii="Arial" w:cs="Arial" w:eastAsia="Arial" w:hAnsi="Arial"/>
                <w:sz w:val="13"/>
                <w:szCs w:val="13"/>
                <w:color w:val="auto"/>
                <w:w w:val="87"/>
              </w:rPr>
              <w:t>US7583647</w:t>
            </w:r>
          </w:p>
        </w:tc>
        <w:tc>
          <w:tcPr>
            <w:tcW w:w="4420" w:type="dxa"/>
            <w:vAlign w:val="bottom"/>
          </w:tcPr>
          <w:p>
            <w:pPr>
              <w:ind w:left="80"/>
              <w:spacing w:after="0"/>
              <w:rPr>
                <w:sz w:val="20"/>
                <w:szCs w:val="20"/>
                <w:color w:val="auto"/>
              </w:rPr>
            </w:pPr>
            <w:r>
              <w:rPr>
                <w:rFonts w:ascii="Arial" w:cs="Arial" w:eastAsia="Arial" w:hAnsi="Arial"/>
                <w:sz w:val="13"/>
                <w:szCs w:val="13"/>
                <w:color w:val="auto"/>
              </w:rPr>
              <w:t>Controller</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Pending</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12-Aug-05</w:t>
            </w:r>
          </w:p>
        </w:tc>
        <w:tc>
          <w:tcPr>
            <w:tcW w:w="920" w:type="dxa"/>
            <w:vAlign w:val="bottom"/>
          </w:tcPr>
          <w:p>
            <w:pPr>
              <w:jc w:val="center"/>
              <w:spacing w:after="0"/>
              <w:rPr>
                <w:sz w:val="20"/>
                <w:szCs w:val="20"/>
                <w:color w:val="auto"/>
              </w:rPr>
            </w:pPr>
            <w:r>
              <w:rPr>
                <w:rFonts w:ascii="Arial" w:cs="Arial" w:eastAsia="Arial" w:hAnsi="Arial"/>
                <w:sz w:val="13"/>
                <w:szCs w:val="13"/>
                <w:color w:val="auto"/>
                <w:w w:val="85"/>
              </w:rPr>
              <w:t>EP1779697</w:t>
            </w:r>
          </w:p>
        </w:tc>
        <w:tc>
          <w:tcPr>
            <w:tcW w:w="4420" w:type="dxa"/>
            <w:vAlign w:val="bottom"/>
          </w:tcPr>
          <w:p>
            <w:pPr>
              <w:ind w:left="80"/>
              <w:spacing w:after="0"/>
              <w:rPr>
                <w:sz w:val="20"/>
                <w:szCs w:val="20"/>
                <w:color w:val="auto"/>
              </w:rPr>
            </w:pPr>
            <w:r>
              <w:rPr>
                <w:rFonts w:ascii="Arial" w:cs="Arial" w:eastAsia="Arial" w:hAnsi="Arial"/>
                <w:sz w:val="13"/>
                <w:szCs w:val="13"/>
                <w:color w:val="auto"/>
              </w:rPr>
              <w:t>Communication System</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Pending</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27-Feb-07</w:t>
            </w:r>
          </w:p>
        </w:tc>
        <w:tc>
          <w:tcPr>
            <w:tcW w:w="920" w:type="dxa"/>
            <w:vAlign w:val="bottom"/>
          </w:tcPr>
          <w:p>
            <w:pPr>
              <w:spacing w:after="0"/>
              <w:rPr>
                <w:sz w:val="24"/>
                <w:szCs w:val="24"/>
                <w:color w:val="auto"/>
              </w:rPr>
            </w:pPr>
          </w:p>
        </w:tc>
        <w:tc>
          <w:tcPr>
            <w:tcW w:w="4420" w:type="dxa"/>
            <w:vAlign w:val="bottom"/>
          </w:tcPr>
          <w:p>
            <w:pPr>
              <w:ind w:left="80"/>
              <w:spacing w:after="0"/>
              <w:rPr>
                <w:sz w:val="20"/>
                <w:szCs w:val="20"/>
                <w:color w:val="auto"/>
              </w:rPr>
            </w:pPr>
            <w:r>
              <w:rPr>
                <w:rFonts w:ascii="Arial" w:cs="Arial" w:eastAsia="Arial" w:hAnsi="Arial"/>
                <w:sz w:val="13"/>
                <w:szCs w:val="13"/>
                <w:color w:val="auto"/>
              </w:rPr>
              <w:t>Communication System</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12-Aug-05</w:t>
            </w:r>
          </w:p>
        </w:tc>
        <w:tc>
          <w:tcPr>
            <w:tcW w:w="920" w:type="dxa"/>
            <w:vAlign w:val="bottom"/>
          </w:tcPr>
          <w:p>
            <w:pPr>
              <w:jc w:val="center"/>
              <w:spacing w:after="0"/>
              <w:rPr>
                <w:sz w:val="20"/>
                <w:szCs w:val="20"/>
                <w:color w:val="auto"/>
              </w:rPr>
            </w:pPr>
            <w:r>
              <w:rPr>
                <w:rFonts w:ascii="Arial" w:cs="Arial" w:eastAsia="Arial" w:hAnsi="Arial"/>
                <w:sz w:val="13"/>
                <w:szCs w:val="13"/>
                <w:color w:val="auto"/>
                <w:w w:val="85"/>
              </w:rPr>
              <w:t>JP4954073</w:t>
            </w:r>
          </w:p>
        </w:tc>
        <w:tc>
          <w:tcPr>
            <w:tcW w:w="4420" w:type="dxa"/>
            <w:vAlign w:val="bottom"/>
          </w:tcPr>
          <w:p>
            <w:pPr>
              <w:ind w:left="80"/>
              <w:spacing w:after="0"/>
              <w:rPr>
                <w:sz w:val="20"/>
                <w:szCs w:val="20"/>
                <w:color w:val="auto"/>
              </w:rPr>
            </w:pPr>
            <w:r>
              <w:rPr>
                <w:rFonts w:ascii="Arial" w:cs="Arial" w:eastAsia="Arial" w:hAnsi="Arial"/>
                <w:sz w:val="13"/>
                <w:szCs w:val="13"/>
                <w:color w:val="auto"/>
              </w:rPr>
              <w:t>Communication System</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12-Aug-05</w:t>
            </w:r>
          </w:p>
        </w:tc>
        <w:tc>
          <w:tcPr>
            <w:tcW w:w="920" w:type="dxa"/>
            <w:vAlign w:val="bottom"/>
          </w:tcPr>
          <w:p>
            <w:pPr>
              <w:jc w:val="center"/>
              <w:spacing w:after="0"/>
              <w:rPr>
                <w:sz w:val="20"/>
                <w:szCs w:val="20"/>
                <w:color w:val="auto"/>
              </w:rPr>
            </w:pPr>
            <w:r>
              <w:rPr>
                <w:rFonts w:ascii="Arial" w:cs="Arial" w:eastAsia="Arial" w:hAnsi="Arial"/>
                <w:sz w:val="13"/>
                <w:szCs w:val="13"/>
                <w:color w:val="auto"/>
                <w:w w:val="87"/>
              </w:rPr>
              <w:t>KR927525</w:t>
            </w:r>
          </w:p>
        </w:tc>
        <w:tc>
          <w:tcPr>
            <w:tcW w:w="4420" w:type="dxa"/>
            <w:vAlign w:val="bottom"/>
          </w:tcPr>
          <w:p>
            <w:pPr>
              <w:ind w:left="80"/>
              <w:spacing w:after="0"/>
              <w:rPr>
                <w:sz w:val="20"/>
                <w:szCs w:val="20"/>
                <w:color w:val="auto"/>
              </w:rPr>
            </w:pPr>
            <w:r>
              <w:rPr>
                <w:rFonts w:ascii="Arial" w:cs="Arial" w:eastAsia="Arial" w:hAnsi="Arial"/>
                <w:sz w:val="13"/>
                <w:szCs w:val="13"/>
                <w:color w:val="auto"/>
              </w:rPr>
              <w:t>Communication System</w:t>
            </w:r>
          </w:p>
        </w:tc>
        <w:tc>
          <w:tcPr>
            <w:tcW w:w="0" w:type="dxa"/>
            <w:vAlign w:val="bottom"/>
          </w:tcPr>
          <w:p>
            <w:pPr>
              <w:spacing w:after="0"/>
              <w:rPr>
                <w:sz w:val="1"/>
                <w:szCs w:val="1"/>
                <w:color w:val="auto"/>
              </w:rPr>
            </w:pPr>
          </w:p>
        </w:tc>
      </w:tr>
      <w:tr>
        <w:trPr>
          <w:trHeight w:val="312"/>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3"/>
              </w:rPr>
              <w:t>3-Nov-04</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8"/>
              </w:rPr>
              <w:t>CN101044771</w:t>
            </w:r>
          </w:p>
        </w:tc>
        <w:tc>
          <w:tcPr>
            <w:tcW w:w="4420" w:type="dxa"/>
            <w:vAlign w:val="bottom"/>
          </w:tcPr>
          <w:p>
            <w:pPr>
              <w:ind w:left="80"/>
              <w:spacing w:after="0"/>
              <w:rPr>
                <w:sz w:val="20"/>
                <w:szCs w:val="20"/>
                <w:color w:val="auto"/>
              </w:rPr>
            </w:pPr>
            <w:r>
              <w:rPr>
                <w:rFonts w:ascii="Arial" w:cs="Arial" w:eastAsia="Arial" w:hAnsi="Arial"/>
                <w:sz w:val="13"/>
                <w:szCs w:val="13"/>
                <w:color w:val="auto"/>
                <w:w w:val="89"/>
              </w:rPr>
              <w:t>Inter-System Hand-Over Of A Mobile Terminal Operable With A First And A Second</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20" w:type="dxa"/>
            <w:vAlign w:val="bottom"/>
            <w:vMerge w:val="restart"/>
          </w:tcPr>
          <w:p>
            <w:pPr>
              <w:ind w:left="80"/>
              <w:spacing w:after="0"/>
              <w:rPr>
                <w:sz w:val="20"/>
                <w:szCs w:val="20"/>
                <w:color w:val="auto"/>
              </w:rPr>
            </w:pPr>
            <w:r>
              <w:rPr>
                <w:rFonts w:ascii="Arial" w:cs="Arial" w:eastAsia="Arial" w:hAnsi="Arial"/>
                <w:sz w:val="13"/>
                <w:szCs w:val="13"/>
                <w:color w:val="auto"/>
              </w:rPr>
              <w:t>Radio Access Network</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6120" w:type="dxa"/>
            <w:vAlign w:val="bottom"/>
            <w:gridSpan w:val="3"/>
          </w:tcPr>
          <w:p>
            <w:pPr>
              <w:ind w:left="140"/>
              <w:spacing w:after="0"/>
              <w:rPr>
                <w:sz w:val="20"/>
                <w:szCs w:val="20"/>
                <w:color w:val="auto"/>
              </w:rPr>
            </w:pPr>
            <w:r>
              <w:rPr>
                <w:rFonts w:ascii="Arial" w:cs="Arial" w:eastAsia="Arial" w:hAnsi="Arial"/>
                <w:sz w:val="13"/>
                <w:szCs w:val="13"/>
                <w:color w:val="auto"/>
              </w:rPr>
              <w:t>3-Nov-04  DE602004021646.1 Lack Of Channel Codings Implies A Handover</w:t>
            </w:r>
          </w:p>
        </w:tc>
        <w:tc>
          <w:tcPr>
            <w:tcW w:w="0" w:type="dxa"/>
            <w:vAlign w:val="bottom"/>
          </w:tcPr>
          <w:p>
            <w:pPr>
              <w:spacing w:after="0"/>
              <w:rPr>
                <w:sz w:val="1"/>
                <w:szCs w:val="1"/>
                <w:color w:val="auto"/>
              </w:rPr>
            </w:pPr>
          </w:p>
        </w:tc>
      </w:tr>
      <w:tr>
        <w:trPr>
          <w:trHeight w:val="312"/>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3"/>
              </w:rPr>
              <w:t>3-Nov-04</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0"/>
              </w:rPr>
              <w:t>DK1808029</w:t>
            </w:r>
          </w:p>
        </w:tc>
        <w:tc>
          <w:tcPr>
            <w:tcW w:w="4420" w:type="dxa"/>
            <w:vAlign w:val="bottom"/>
          </w:tcPr>
          <w:p>
            <w:pPr>
              <w:ind w:left="80"/>
              <w:spacing w:after="0"/>
              <w:rPr>
                <w:sz w:val="20"/>
                <w:szCs w:val="20"/>
                <w:color w:val="auto"/>
              </w:rPr>
            </w:pPr>
            <w:r>
              <w:rPr>
                <w:rFonts w:ascii="Arial" w:cs="Arial" w:eastAsia="Arial" w:hAnsi="Arial"/>
                <w:sz w:val="13"/>
                <w:szCs w:val="13"/>
                <w:color w:val="auto"/>
                <w:w w:val="89"/>
              </w:rPr>
              <w:t>Inter-System Hand-Over Of A Mobile Terminal Operable With A First And A Second</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20" w:type="dxa"/>
            <w:vAlign w:val="bottom"/>
            <w:vMerge w:val="restart"/>
          </w:tcPr>
          <w:p>
            <w:pPr>
              <w:ind w:left="80"/>
              <w:spacing w:after="0"/>
              <w:rPr>
                <w:sz w:val="20"/>
                <w:szCs w:val="20"/>
                <w:color w:val="auto"/>
              </w:rPr>
            </w:pPr>
            <w:r>
              <w:rPr>
                <w:rFonts w:ascii="Arial" w:cs="Arial" w:eastAsia="Arial" w:hAnsi="Arial"/>
                <w:sz w:val="13"/>
                <w:szCs w:val="13"/>
                <w:color w:val="auto"/>
              </w:rPr>
              <w:t>Radio Access Network</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3"/>
              </w:rPr>
              <w:t>3-Nov-04</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EP1808029</w:t>
            </w:r>
          </w:p>
        </w:tc>
        <w:tc>
          <w:tcPr>
            <w:tcW w:w="4420" w:type="dxa"/>
            <w:vAlign w:val="bottom"/>
          </w:tcPr>
          <w:p>
            <w:pPr>
              <w:ind w:left="80"/>
              <w:spacing w:after="0"/>
              <w:rPr>
                <w:sz w:val="20"/>
                <w:szCs w:val="20"/>
                <w:color w:val="auto"/>
              </w:rPr>
            </w:pPr>
            <w:r>
              <w:rPr>
                <w:rFonts w:ascii="Arial" w:cs="Arial" w:eastAsia="Arial" w:hAnsi="Arial"/>
                <w:sz w:val="13"/>
                <w:szCs w:val="13"/>
                <w:color w:val="auto"/>
                <w:w w:val="89"/>
              </w:rPr>
              <w:t>Inter-System Hand-Over Of A Mobile Terminal Operable With A First And A Second</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20" w:type="dxa"/>
            <w:vAlign w:val="bottom"/>
            <w:vMerge w:val="restart"/>
          </w:tcPr>
          <w:p>
            <w:pPr>
              <w:ind w:left="80"/>
              <w:spacing w:after="0"/>
              <w:rPr>
                <w:sz w:val="20"/>
                <w:szCs w:val="20"/>
                <w:color w:val="auto"/>
              </w:rPr>
            </w:pPr>
            <w:r>
              <w:rPr>
                <w:rFonts w:ascii="Arial" w:cs="Arial" w:eastAsia="Arial" w:hAnsi="Arial"/>
                <w:sz w:val="13"/>
                <w:szCs w:val="13"/>
                <w:color w:val="auto"/>
              </w:rPr>
              <w:t>Radio Access Network</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tcPr>
          <w:p>
            <w:pPr>
              <w:jc w:val="center"/>
              <w:spacing w:after="0"/>
              <w:rPr>
                <w:sz w:val="20"/>
                <w:szCs w:val="20"/>
                <w:color w:val="auto"/>
              </w:rPr>
            </w:pPr>
            <w:r>
              <w:rPr>
                <w:rFonts w:ascii="Arial" w:cs="Arial" w:eastAsia="Arial" w:hAnsi="Arial"/>
                <w:sz w:val="13"/>
                <w:szCs w:val="13"/>
                <w:color w:val="auto"/>
                <w:w w:val="93"/>
              </w:rPr>
              <w:t>3-Nov-04</w:t>
            </w:r>
          </w:p>
        </w:tc>
        <w:tc>
          <w:tcPr>
            <w:tcW w:w="920" w:type="dxa"/>
            <w:vAlign w:val="bottom"/>
          </w:tcPr>
          <w:p>
            <w:pPr>
              <w:jc w:val="center"/>
              <w:spacing w:after="0"/>
              <w:rPr>
                <w:sz w:val="20"/>
                <w:szCs w:val="20"/>
                <w:color w:val="auto"/>
              </w:rPr>
            </w:pPr>
            <w:r>
              <w:rPr>
                <w:rFonts w:ascii="Arial" w:cs="Arial" w:eastAsia="Arial" w:hAnsi="Arial"/>
                <w:sz w:val="13"/>
                <w:szCs w:val="13"/>
                <w:color w:val="auto"/>
                <w:w w:val="89"/>
              </w:rPr>
              <w:t>GB1808029</w:t>
            </w:r>
          </w:p>
        </w:tc>
        <w:tc>
          <w:tcPr>
            <w:tcW w:w="4420" w:type="dxa"/>
            <w:vAlign w:val="bottom"/>
          </w:tcPr>
          <w:p>
            <w:pPr>
              <w:ind w:left="80"/>
              <w:spacing w:after="0"/>
              <w:rPr>
                <w:sz w:val="20"/>
                <w:szCs w:val="20"/>
                <w:color w:val="auto"/>
              </w:rPr>
            </w:pPr>
            <w:r>
              <w:rPr>
                <w:rFonts w:ascii="Arial" w:cs="Arial" w:eastAsia="Arial" w:hAnsi="Arial"/>
                <w:sz w:val="13"/>
                <w:szCs w:val="13"/>
                <w:color w:val="auto"/>
              </w:rPr>
              <w:t>Lack Of Channel Codings Implies A Handover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-3179445</wp:posOffset>
            </wp:positionV>
            <wp:extent cx="7246620" cy="2571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-2665095</wp:posOffset>
            </wp:positionV>
            <wp:extent cx="7246620" cy="2571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-2150110</wp:posOffset>
            </wp:positionV>
            <wp:extent cx="7246620" cy="2571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-1635760</wp:posOffset>
            </wp:positionV>
            <wp:extent cx="7246620" cy="2571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-1121410</wp:posOffset>
            </wp:positionV>
            <wp:extent cx="7246620" cy="2571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-606425</wp:posOffset>
            </wp:positionV>
            <wp:extent cx="7246620" cy="2571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-92075</wp:posOffset>
            </wp:positionV>
            <wp:extent cx="7246620" cy="2247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224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Toskala Antti, Ranta-Aho Karri</w:t>
            </w:r>
          </w:p>
        </w:tc>
        <w:tc>
          <w:tcPr>
            <w:tcW w:w="48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900" w:type="dxa"/>
            <w:vAlign w:val="bottom"/>
          </w:tcPr>
          <w:p>
            <w:pPr>
              <w:spacing w:after="0"/>
              <w:rPr>
                <w:sz w:val="20"/>
                <w:szCs w:val="20"/>
                <w:color w:val="auto"/>
              </w:rPr>
            </w:pPr>
            <w:r>
              <w:rPr>
                <w:rFonts w:ascii="Arial" w:cs="Arial" w:eastAsia="Arial" w:hAnsi="Arial"/>
                <w:sz w:val="13"/>
                <w:szCs w:val="13"/>
                <w:color w:val="auto"/>
              </w:rPr>
              <w:t>Toskala Antti, Ranta-Aho Karri</w:t>
            </w:r>
          </w:p>
        </w:tc>
        <w:tc>
          <w:tcPr>
            <w:tcW w:w="48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12"/>
        </w:trPr>
        <w:tc>
          <w:tcPr>
            <w:tcW w:w="1900" w:type="dxa"/>
            <w:vAlign w:val="bottom"/>
          </w:tcPr>
          <w:p>
            <w:pPr>
              <w:spacing w:after="0"/>
              <w:rPr>
                <w:sz w:val="20"/>
                <w:szCs w:val="20"/>
                <w:color w:val="auto"/>
              </w:rPr>
            </w:pPr>
            <w:r>
              <w:rPr>
                <w:rFonts w:ascii="Arial" w:cs="Arial" w:eastAsia="Arial" w:hAnsi="Arial"/>
                <w:sz w:val="13"/>
                <w:szCs w:val="13"/>
                <w:color w:val="auto"/>
                <w:w w:val="95"/>
              </w:rPr>
              <w:t>Hartikalnen Auvo [Fi] Tammi Kalle</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[Fi] (+4)</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w w:val="99"/>
              </w:rPr>
              <w:t>Yla-Outinen Petteri [Fi] Sillanpaa</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Jannes[Fi]</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w w:val="99"/>
              </w:rPr>
              <w:t>Yla-Outinen Petteri [Fi] Sillanpaa</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3"/>
                <w:szCs w:val="13"/>
                <w:color w:val="auto"/>
              </w:rPr>
              <w:t>Jannes[Fi]</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w w:val="88"/>
              </w:rPr>
              <w:t>Nakamata Masatoshi [Jp] Ranta-Aho</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900" w:type="dxa"/>
            <w:vAlign w:val="bottom"/>
            <w:vMerge w:val="restart"/>
          </w:tcPr>
          <w:p>
            <w:pPr>
              <w:spacing w:after="0"/>
              <w:rPr>
                <w:sz w:val="20"/>
                <w:szCs w:val="20"/>
                <w:color w:val="auto"/>
              </w:rPr>
            </w:pPr>
            <w:r>
              <w:rPr>
                <w:rFonts w:ascii="Arial" w:cs="Arial" w:eastAsia="Arial" w:hAnsi="Arial"/>
                <w:sz w:val="13"/>
                <w:szCs w:val="13"/>
                <w:color w:val="auto"/>
              </w:rPr>
              <w:t>Karri [Fi]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w w:val="88"/>
              </w:rPr>
              <w:t>Nakamata Masatoshi [Jp] Ranta-Aho</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900" w:type="dxa"/>
            <w:vAlign w:val="bottom"/>
            <w:vMerge w:val="restart"/>
          </w:tcPr>
          <w:p>
            <w:pPr>
              <w:spacing w:after="0"/>
              <w:rPr>
                <w:sz w:val="20"/>
                <w:szCs w:val="20"/>
                <w:color w:val="auto"/>
              </w:rPr>
            </w:pPr>
            <w:r>
              <w:rPr>
                <w:rFonts w:ascii="Arial" w:cs="Arial" w:eastAsia="Arial" w:hAnsi="Arial"/>
                <w:sz w:val="13"/>
                <w:szCs w:val="13"/>
                <w:color w:val="auto"/>
              </w:rPr>
              <w:t>Karri [Fi]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w w:val="88"/>
              </w:rPr>
              <w:t>Nakamata Masatoshi [Jp] Ranta-Aho</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900" w:type="dxa"/>
            <w:vAlign w:val="bottom"/>
            <w:vMerge w:val="restart"/>
          </w:tcPr>
          <w:p>
            <w:pPr>
              <w:spacing w:after="0"/>
              <w:rPr>
                <w:sz w:val="20"/>
                <w:szCs w:val="20"/>
                <w:color w:val="auto"/>
              </w:rPr>
            </w:pPr>
            <w:r>
              <w:rPr>
                <w:rFonts w:ascii="Arial" w:cs="Arial" w:eastAsia="Arial" w:hAnsi="Arial"/>
                <w:sz w:val="13"/>
                <w:szCs w:val="13"/>
                <w:color w:val="auto"/>
              </w:rPr>
              <w:t>Karri [Fi]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w w:val="88"/>
              </w:rPr>
              <w:t>Nakamata Masatoshi [Jp] Ranta-Aho</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900" w:type="dxa"/>
            <w:vAlign w:val="bottom"/>
            <w:vMerge w:val="restart"/>
          </w:tcPr>
          <w:p>
            <w:pPr>
              <w:spacing w:after="0"/>
              <w:rPr>
                <w:sz w:val="20"/>
                <w:szCs w:val="20"/>
                <w:color w:val="auto"/>
              </w:rPr>
            </w:pPr>
            <w:r>
              <w:rPr>
                <w:rFonts w:ascii="Arial" w:cs="Arial" w:eastAsia="Arial" w:hAnsi="Arial"/>
                <w:sz w:val="13"/>
                <w:szCs w:val="13"/>
                <w:color w:val="auto"/>
              </w:rPr>
              <w:t>Karri [Fi]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900" w:type="dxa"/>
            <w:vAlign w:val="bottom"/>
          </w:tcPr>
          <w:p>
            <w:pPr>
              <w:spacing w:after="0"/>
              <w:rPr>
                <w:sz w:val="20"/>
                <w:szCs w:val="20"/>
                <w:color w:val="auto"/>
              </w:rPr>
            </w:pPr>
            <w:r>
              <w:rPr>
                <w:rFonts w:ascii="Arial" w:cs="Arial" w:eastAsia="Arial" w:hAnsi="Arial"/>
                <w:sz w:val="13"/>
                <w:szCs w:val="13"/>
                <w:color w:val="auto"/>
              </w:rPr>
              <w:t>Pitkamaki Antti [Fi]</w:t>
            </w:r>
          </w:p>
        </w:tc>
        <w:tc>
          <w:tcPr>
            <w:tcW w:w="48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900" w:type="dxa"/>
            <w:vAlign w:val="bottom"/>
          </w:tcPr>
          <w:p>
            <w:pPr>
              <w:spacing w:after="0"/>
              <w:rPr>
                <w:sz w:val="20"/>
                <w:szCs w:val="20"/>
                <w:color w:val="auto"/>
              </w:rPr>
            </w:pPr>
            <w:r>
              <w:rPr>
                <w:rFonts w:ascii="Arial" w:cs="Arial" w:eastAsia="Arial" w:hAnsi="Arial"/>
                <w:sz w:val="13"/>
                <w:szCs w:val="13"/>
                <w:color w:val="auto"/>
              </w:rPr>
              <w:t>Pitkamaki Antti [Fi]</w:t>
            </w:r>
          </w:p>
        </w:tc>
        <w:tc>
          <w:tcPr>
            <w:tcW w:w="48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1900" w:type="dxa"/>
            <w:vAlign w:val="bottom"/>
          </w:tcPr>
          <w:p>
            <w:pPr>
              <w:spacing w:after="0"/>
              <w:rPr>
                <w:sz w:val="20"/>
                <w:szCs w:val="20"/>
                <w:color w:val="auto"/>
              </w:rPr>
            </w:pPr>
            <w:r>
              <w:rPr>
                <w:rFonts w:ascii="Arial" w:cs="Arial" w:eastAsia="Arial" w:hAnsi="Arial"/>
                <w:sz w:val="13"/>
                <w:szCs w:val="13"/>
                <w:color w:val="auto"/>
              </w:rPr>
              <w:t>Pitkamaki Antti [Fi]</w:t>
            </w:r>
          </w:p>
        </w:tc>
        <w:tc>
          <w:tcPr>
            <w:tcW w:w="48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12"/>
        </w:trPr>
        <w:tc>
          <w:tcPr>
            <w:tcW w:w="1900" w:type="dxa"/>
            <w:vAlign w:val="bottom"/>
            <w:vMerge w:val="restart"/>
          </w:tcPr>
          <w:p>
            <w:pPr>
              <w:spacing w:after="0"/>
              <w:rPr>
                <w:sz w:val="20"/>
                <w:szCs w:val="20"/>
                <w:color w:val="auto"/>
              </w:rPr>
            </w:pPr>
            <w:r>
              <w:rPr>
                <w:rFonts w:ascii="Arial" w:cs="Arial" w:eastAsia="Arial" w:hAnsi="Arial"/>
                <w:sz w:val="13"/>
                <w:szCs w:val="13"/>
                <w:color w:val="auto"/>
              </w:rPr>
              <w:t>Pitkamaki Antti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190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1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3"/>
                <w:szCs w:val="13"/>
                <w:color w:val="auto"/>
              </w:rPr>
              <w:t>Pitkamaki Antti [Fi]</w:t>
            </w:r>
          </w:p>
        </w:tc>
        <w:tc>
          <w:tcPr>
            <w:tcW w:w="480" w:type="dxa"/>
            <w:vAlign w:val="bottom"/>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bl>
    <w:p>
      <w:pPr>
        <w:sectPr>
          <w:pgSz w:w="11900" w:h="16838" w:orient="portrait"/>
          <w:cols w:equalWidth="0" w:num="3">
            <w:col w:w="1800" w:space="320"/>
            <w:col w:w="6660" w:space="160"/>
            <w:col w:w="2380"/>
          </w:cols>
          <w:pgMar w:left="280" w:top="111" w:right="299" w:bottom="0" w:gutter="0" w:footer="0" w:header="0"/>
          <w:type w:val="continuous"/>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Inc.</w:t>
            </w: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A40773VI-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60" w:type="dxa"/>
            <w:vAlign w:val="bottom"/>
          </w:tcPr>
          <w:p>
            <w:pPr>
              <w:jc w:val="center"/>
              <w:spacing w:after="0" w:line="123" w:lineRule="exact"/>
              <w:rPr>
                <w:sz w:val="20"/>
                <w:szCs w:val="20"/>
                <w:color w:val="auto"/>
              </w:rPr>
            </w:pPr>
            <w:r>
              <w:rPr>
                <w:rFonts w:ascii="Arial" w:cs="Arial" w:eastAsia="Arial" w:hAnsi="Arial"/>
                <w:sz w:val="13"/>
                <w:szCs w:val="13"/>
                <w:color w:val="auto"/>
                <w:w w:val="91"/>
              </w:rPr>
              <w:t>IN</w:t>
            </w:r>
          </w:p>
        </w:tc>
        <w:tc>
          <w:tcPr>
            <w:tcW w:w="680" w:type="dxa"/>
            <w:vAlign w:val="bottom"/>
          </w:tcPr>
          <w:p>
            <w:pPr>
              <w:ind w:left="140"/>
              <w:spacing w:after="0" w:line="123" w:lineRule="exact"/>
              <w:rPr>
                <w:sz w:val="20"/>
                <w:szCs w:val="20"/>
                <w:color w:val="auto"/>
              </w:rPr>
            </w:pPr>
            <w:r>
              <w:rPr>
                <w:rFonts w:ascii="Arial" w:cs="Arial" w:eastAsia="Arial" w:hAnsi="Arial"/>
                <w:sz w:val="13"/>
                <w:szCs w:val="13"/>
                <w:color w:val="auto"/>
              </w:rPr>
              <w:t>Pending</w:t>
            </w:r>
          </w:p>
        </w:tc>
        <w:tc>
          <w:tcPr>
            <w:tcW w:w="6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3"/>
              </w:rPr>
              <w:t>3-Aug-07</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IN01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A40773VI-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60" w:type="dxa"/>
            <w:vAlign w:val="bottom"/>
          </w:tcPr>
          <w:p>
            <w:pPr>
              <w:jc w:val="center"/>
              <w:spacing w:after="0" w:line="123" w:lineRule="exact"/>
              <w:rPr>
                <w:sz w:val="20"/>
                <w:szCs w:val="20"/>
                <w:color w:val="auto"/>
              </w:rPr>
            </w:pPr>
            <w:r>
              <w:rPr>
                <w:rFonts w:ascii="Arial" w:cs="Arial" w:eastAsia="Arial" w:hAnsi="Arial"/>
                <w:sz w:val="13"/>
                <w:szCs w:val="13"/>
                <w:color w:val="auto"/>
                <w:w w:val="78"/>
              </w:rPr>
              <w:t>JP</w:t>
            </w:r>
          </w:p>
        </w:tc>
        <w:tc>
          <w:tcPr>
            <w:tcW w:w="680" w:type="dxa"/>
            <w:vAlign w:val="bottom"/>
          </w:tcPr>
          <w:p>
            <w:pPr>
              <w:ind w:left="140"/>
              <w:spacing w:after="0" w:line="123" w:lineRule="exact"/>
              <w:rPr>
                <w:sz w:val="20"/>
                <w:szCs w:val="20"/>
                <w:color w:val="auto"/>
              </w:rPr>
            </w:pPr>
            <w:r>
              <w:rPr>
                <w:rFonts w:ascii="Arial" w:cs="Arial" w:eastAsia="Arial" w:hAnsi="Arial"/>
                <w:sz w:val="13"/>
                <w:szCs w:val="13"/>
                <w:color w:val="auto"/>
              </w:rPr>
              <w:t>Granted</w:t>
            </w:r>
          </w:p>
        </w:tc>
        <w:tc>
          <w:tcPr>
            <w:tcW w:w="6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3"/>
              </w:rPr>
              <w:t>3-Nov-04</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A40773VI-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60" w:type="dxa"/>
            <w:vAlign w:val="bottom"/>
          </w:tcPr>
          <w:p>
            <w:pPr>
              <w:jc w:val="center"/>
              <w:ind w:right="17"/>
              <w:spacing w:after="0" w:line="123" w:lineRule="exact"/>
              <w:rPr>
                <w:sz w:val="20"/>
                <w:szCs w:val="20"/>
                <w:color w:val="auto"/>
              </w:rPr>
            </w:pPr>
            <w:r>
              <w:rPr>
                <w:rFonts w:ascii="Arial" w:cs="Arial" w:eastAsia="Arial" w:hAnsi="Arial"/>
                <w:sz w:val="13"/>
                <w:szCs w:val="13"/>
                <w:color w:val="auto"/>
                <w:w w:val="99"/>
              </w:rPr>
              <w:t>KR</w:t>
            </w:r>
          </w:p>
        </w:tc>
        <w:tc>
          <w:tcPr>
            <w:tcW w:w="680" w:type="dxa"/>
            <w:vAlign w:val="bottom"/>
          </w:tcPr>
          <w:p>
            <w:pPr>
              <w:ind w:left="140"/>
              <w:spacing w:after="0" w:line="123" w:lineRule="exact"/>
              <w:rPr>
                <w:sz w:val="20"/>
                <w:szCs w:val="20"/>
                <w:color w:val="auto"/>
              </w:rPr>
            </w:pPr>
            <w:r>
              <w:rPr>
                <w:rFonts w:ascii="Arial" w:cs="Arial" w:eastAsia="Arial" w:hAnsi="Arial"/>
                <w:sz w:val="13"/>
                <w:szCs w:val="13"/>
                <w:color w:val="auto"/>
              </w:rPr>
              <w:t>Granted</w:t>
            </w:r>
          </w:p>
        </w:tc>
        <w:tc>
          <w:tcPr>
            <w:tcW w:w="6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3"/>
              </w:rPr>
              <w:t>3-Nov-04</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KR01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A40773VI-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60" w:type="dxa"/>
            <w:vAlign w:val="bottom"/>
          </w:tcPr>
          <w:p>
            <w:pPr>
              <w:jc w:val="center"/>
              <w:spacing w:after="0" w:line="123" w:lineRule="exact"/>
              <w:rPr>
                <w:sz w:val="20"/>
                <w:szCs w:val="20"/>
                <w:color w:val="auto"/>
              </w:rPr>
            </w:pPr>
            <w:r>
              <w:rPr>
                <w:rFonts w:ascii="Arial" w:cs="Arial" w:eastAsia="Arial" w:hAnsi="Arial"/>
                <w:sz w:val="13"/>
                <w:szCs w:val="13"/>
                <w:color w:val="auto"/>
              </w:rPr>
              <w:t>MY</w:t>
            </w:r>
          </w:p>
        </w:tc>
        <w:tc>
          <w:tcPr>
            <w:tcW w:w="680" w:type="dxa"/>
            <w:vAlign w:val="bottom"/>
          </w:tcPr>
          <w:p>
            <w:pPr>
              <w:ind w:left="140"/>
              <w:spacing w:after="0" w:line="123" w:lineRule="exact"/>
              <w:rPr>
                <w:sz w:val="20"/>
                <w:szCs w:val="20"/>
                <w:color w:val="auto"/>
              </w:rPr>
            </w:pPr>
            <w:r>
              <w:rPr>
                <w:rFonts w:ascii="Arial" w:cs="Arial" w:eastAsia="Arial" w:hAnsi="Arial"/>
                <w:sz w:val="13"/>
                <w:szCs w:val="13"/>
                <w:color w:val="auto"/>
              </w:rPr>
              <w:t>Granted</w:t>
            </w:r>
          </w:p>
        </w:tc>
        <w:tc>
          <w:tcPr>
            <w:tcW w:w="6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3"/>
              </w:rPr>
              <w:t>3-Nov-04</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MY01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A40773VI-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60" w:type="dxa"/>
            <w:vAlign w:val="bottom"/>
          </w:tcPr>
          <w:p>
            <w:pPr>
              <w:jc w:val="center"/>
              <w:spacing w:after="0" w:line="123" w:lineRule="exact"/>
              <w:rPr>
                <w:sz w:val="20"/>
                <w:szCs w:val="20"/>
                <w:color w:val="auto"/>
              </w:rPr>
            </w:pPr>
            <w:r>
              <w:rPr>
                <w:rFonts w:ascii="Arial" w:cs="Arial" w:eastAsia="Arial" w:hAnsi="Arial"/>
                <w:sz w:val="13"/>
                <w:szCs w:val="13"/>
                <w:color w:val="auto"/>
                <w:w w:val="91"/>
              </w:rPr>
              <w:t>PK</w:t>
            </w:r>
          </w:p>
        </w:tc>
        <w:tc>
          <w:tcPr>
            <w:tcW w:w="680" w:type="dxa"/>
            <w:vAlign w:val="bottom"/>
          </w:tcPr>
          <w:p>
            <w:pPr>
              <w:ind w:left="140"/>
              <w:spacing w:after="0" w:line="123" w:lineRule="exact"/>
              <w:rPr>
                <w:sz w:val="20"/>
                <w:szCs w:val="20"/>
                <w:color w:val="auto"/>
              </w:rPr>
            </w:pPr>
            <w:r>
              <w:rPr>
                <w:rFonts w:ascii="Arial" w:cs="Arial" w:eastAsia="Arial" w:hAnsi="Arial"/>
                <w:sz w:val="13"/>
                <w:szCs w:val="13"/>
                <w:color w:val="auto"/>
              </w:rPr>
              <w:t>Granted</w:t>
            </w:r>
          </w:p>
        </w:tc>
        <w:tc>
          <w:tcPr>
            <w:tcW w:w="680" w:type="dxa"/>
            <w:vAlign w:val="bottom"/>
          </w:tcPr>
          <w:p>
            <w:pPr>
              <w:jc w:val="center"/>
              <w:ind w:left="57"/>
              <w:spacing w:after="0" w:line="123" w:lineRule="exact"/>
              <w:rPr>
                <w:sz w:val="20"/>
                <w:szCs w:val="20"/>
                <w:color w:val="auto"/>
              </w:rPr>
            </w:pPr>
            <w:r>
              <w:rPr>
                <w:rFonts w:ascii="Arial" w:cs="Arial" w:eastAsia="Arial" w:hAnsi="Arial"/>
                <w:sz w:val="13"/>
                <w:szCs w:val="13"/>
                <w:color w:val="auto"/>
                <w:w w:val="92"/>
              </w:rPr>
              <w:t>24-Aug-05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PK01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A40773VI-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60" w:type="dxa"/>
            <w:vAlign w:val="bottom"/>
          </w:tcPr>
          <w:p>
            <w:pPr>
              <w:jc w:val="center"/>
              <w:ind w:right="17"/>
              <w:spacing w:after="0" w:line="123" w:lineRule="exact"/>
              <w:rPr>
                <w:sz w:val="20"/>
                <w:szCs w:val="20"/>
                <w:color w:val="auto"/>
              </w:rPr>
            </w:pPr>
            <w:r>
              <w:rPr>
                <w:rFonts w:ascii="Arial" w:cs="Arial" w:eastAsia="Arial" w:hAnsi="Arial"/>
                <w:sz w:val="13"/>
                <w:szCs w:val="13"/>
                <w:color w:val="auto"/>
                <w:w w:val="92"/>
              </w:rPr>
              <w:t>RO</w:t>
            </w:r>
          </w:p>
        </w:tc>
        <w:tc>
          <w:tcPr>
            <w:tcW w:w="680" w:type="dxa"/>
            <w:vAlign w:val="bottom"/>
          </w:tcPr>
          <w:p>
            <w:pPr>
              <w:ind w:left="140"/>
              <w:spacing w:after="0" w:line="123" w:lineRule="exact"/>
              <w:rPr>
                <w:sz w:val="20"/>
                <w:szCs w:val="20"/>
                <w:color w:val="auto"/>
              </w:rPr>
            </w:pPr>
            <w:r>
              <w:rPr>
                <w:rFonts w:ascii="Arial" w:cs="Arial" w:eastAsia="Arial" w:hAnsi="Arial"/>
                <w:sz w:val="13"/>
                <w:szCs w:val="13"/>
                <w:color w:val="auto"/>
              </w:rPr>
              <w:t>Granted</w:t>
            </w:r>
          </w:p>
        </w:tc>
        <w:tc>
          <w:tcPr>
            <w:tcW w:w="68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3"/>
              </w:rPr>
              <w:t>3-Nov-04</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8"/>
              </w:rPr>
              <w:t>RO01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640" w:type="dxa"/>
            <w:vAlign w:val="bottom"/>
          </w:tcPr>
          <w:p>
            <w:pPr>
              <w:spacing w:after="0"/>
              <w:rPr>
                <w:sz w:val="6"/>
                <w:szCs w:val="6"/>
                <w:color w:val="auto"/>
              </w:rPr>
            </w:pPr>
          </w:p>
        </w:tc>
        <w:tc>
          <w:tcPr>
            <w:tcW w:w="880" w:type="dxa"/>
            <w:vAlign w:val="bottom"/>
          </w:tcPr>
          <w:p>
            <w:pPr>
              <w:jc w:val="center"/>
              <w:spacing w:after="0" w:line="78" w:lineRule="exact"/>
              <w:rPr>
                <w:sz w:val="20"/>
                <w:szCs w:val="20"/>
                <w:color w:val="auto"/>
              </w:rPr>
            </w:pPr>
            <w:r>
              <w:rPr>
                <w:rFonts w:ascii="Arial" w:cs="Arial" w:eastAsia="Arial" w:hAnsi="Arial"/>
                <w:sz w:val="8"/>
                <w:szCs w:val="8"/>
                <w:color w:val="auto"/>
              </w:rPr>
              <w:t>Vringo</w:t>
            </w: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4500" w:type="dxa"/>
            <w:vAlign w:val="bottom"/>
          </w:tcPr>
          <w:p>
            <w:pPr>
              <w:ind w:left="80"/>
              <w:spacing w:after="0"/>
              <w:rPr>
                <w:sz w:val="20"/>
                <w:szCs w:val="20"/>
                <w:color w:val="auto"/>
              </w:rPr>
            </w:pPr>
            <w:r>
              <w:rPr>
                <w:rFonts w:ascii="Arial" w:cs="Arial" w:eastAsia="Arial" w:hAnsi="Arial"/>
                <w:sz w:val="13"/>
                <w:szCs w:val="13"/>
                <w:color w:val="auto"/>
                <w:w w:val="91"/>
              </w:rPr>
              <w:t>Inter-System Hand-Over Of A Mobile Terminal Operable With A First And A Second</w:t>
            </w:r>
          </w:p>
        </w:tc>
        <w:tc>
          <w:tcPr>
            <w:tcW w:w="1600" w:type="dxa"/>
            <w:vAlign w:val="bottom"/>
            <w:vMerge w:val="restart"/>
          </w:tcPr>
          <w:p>
            <w:pPr>
              <w:ind w:left="80"/>
              <w:spacing w:after="0"/>
              <w:rPr>
                <w:sz w:val="20"/>
                <w:szCs w:val="20"/>
                <w:color w:val="auto"/>
              </w:rPr>
            </w:pPr>
            <w:r>
              <w:rPr>
                <w:rFonts w:ascii="Arial" w:cs="Arial" w:eastAsia="Arial" w:hAnsi="Arial"/>
                <w:sz w:val="13"/>
                <w:szCs w:val="13"/>
                <w:color w:val="auto"/>
              </w:rPr>
              <w:t>Pitkamaki Antti [Fi]</w:t>
            </w:r>
          </w:p>
        </w:tc>
        <w:tc>
          <w:tcPr>
            <w:tcW w:w="760" w:type="dxa"/>
            <w:vAlign w:val="bottom"/>
            <w:vMerge w:val="restart"/>
          </w:tcPr>
          <w:p>
            <w:pPr>
              <w:ind w:left="500"/>
              <w:spacing w:after="0"/>
              <w:rPr>
                <w:sz w:val="20"/>
                <w:szCs w:val="20"/>
                <w:color w:val="auto"/>
              </w:rPr>
            </w:pPr>
            <w:r>
              <w:rPr>
                <w:rFonts w:ascii="Arial" w:cs="Arial" w:eastAsia="Arial" w:hAnsi="Arial"/>
                <w:sz w:val="13"/>
                <w:szCs w:val="13"/>
                <w:color w:val="auto"/>
                <w:w w:val="82"/>
              </w:rPr>
              <w:t>ETSI</w:t>
            </w:r>
          </w:p>
        </w:tc>
        <w:tc>
          <w:tcPr>
            <w:tcW w:w="0" w:type="dxa"/>
            <w:vAlign w:val="bottom"/>
          </w:tcPr>
          <w:p>
            <w:pPr>
              <w:spacing w:after="0"/>
              <w:rPr>
                <w:sz w:val="1"/>
                <w:szCs w:val="1"/>
                <w:color w:val="auto"/>
              </w:rPr>
            </w:pPr>
          </w:p>
        </w:tc>
      </w:tr>
      <w:tr>
        <w:trPr>
          <w:trHeight w:val="93"/>
        </w:trPr>
        <w:tc>
          <w:tcPr>
            <w:tcW w:w="820" w:type="dxa"/>
            <w:vAlign w:val="bottom"/>
          </w:tcPr>
          <w:p>
            <w:pPr>
              <w:spacing w:after="0"/>
              <w:rPr>
                <w:sz w:val="8"/>
                <w:szCs w:val="8"/>
                <w:color w:val="auto"/>
              </w:rPr>
            </w:pPr>
          </w:p>
        </w:tc>
        <w:tc>
          <w:tcPr>
            <w:tcW w:w="4500" w:type="dxa"/>
            <w:vAlign w:val="bottom"/>
            <w:vMerge w:val="restart"/>
          </w:tcPr>
          <w:p>
            <w:pPr>
              <w:ind w:left="80"/>
              <w:spacing w:after="0"/>
              <w:rPr>
                <w:sz w:val="20"/>
                <w:szCs w:val="20"/>
                <w:color w:val="auto"/>
              </w:rPr>
            </w:pPr>
            <w:r>
              <w:rPr>
                <w:rFonts w:ascii="Arial" w:cs="Arial" w:eastAsia="Arial" w:hAnsi="Arial"/>
                <w:sz w:val="13"/>
                <w:szCs w:val="13"/>
                <w:color w:val="auto"/>
              </w:rPr>
              <w:t>Radio Access Network</w:t>
            </w:r>
          </w:p>
        </w:tc>
        <w:tc>
          <w:tcPr>
            <w:tcW w:w="16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5"/>
              </w:rPr>
              <w:t>JP4612050</w:t>
            </w:r>
          </w:p>
        </w:tc>
        <w:tc>
          <w:tcPr>
            <w:tcW w:w="4500" w:type="dxa"/>
            <w:vAlign w:val="bottom"/>
          </w:tcPr>
          <w:p>
            <w:pPr>
              <w:ind w:left="80"/>
              <w:spacing w:after="0"/>
              <w:rPr>
                <w:sz w:val="20"/>
                <w:szCs w:val="20"/>
                <w:color w:val="auto"/>
              </w:rPr>
            </w:pPr>
            <w:r>
              <w:rPr>
                <w:rFonts w:ascii="Arial" w:cs="Arial" w:eastAsia="Arial" w:hAnsi="Arial"/>
                <w:sz w:val="13"/>
                <w:szCs w:val="13"/>
                <w:color w:val="auto"/>
                <w:w w:val="91"/>
              </w:rPr>
              <w:t>Inter-System Hand-Over Of A Mobile Terminal Operable With A First And A Second</w:t>
            </w:r>
          </w:p>
        </w:tc>
        <w:tc>
          <w:tcPr>
            <w:tcW w:w="1600" w:type="dxa"/>
            <w:vAlign w:val="bottom"/>
            <w:vMerge w:val="restart"/>
          </w:tcPr>
          <w:p>
            <w:pPr>
              <w:ind w:left="80"/>
              <w:spacing w:after="0"/>
              <w:rPr>
                <w:sz w:val="20"/>
                <w:szCs w:val="20"/>
                <w:color w:val="auto"/>
              </w:rPr>
            </w:pPr>
            <w:r>
              <w:rPr>
                <w:rFonts w:ascii="Arial" w:cs="Arial" w:eastAsia="Arial" w:hAnsi="Arial"/>
                <w:sz w:val="13"/>
                <w:szCs w:val="13"/>
                <w:color w:val="auto"/>
              </w:rPr>
              <w:t>Pitkamaki Antti [Fi]</w:t>
            </w:r>
          </w:p>
        </w:tc>
        <w:tc>
          <w:tcPr>
            <w:tcW w:w="760" w:type="dxa"/>
            <w:vAlign w:val="bottom"/>
            <w:vMerge w:val="restart"/>
          </w:tcPr>
          <w:p>
            <w:pPr>
              <w:ind w:left="500"/>
              <w:spacing w:after="0"/>
              <w:rPr>
                <w:sz w:val="20"/>
                <w:szCs w:val="20"/>
                <w:color w:val="auto"/>
              </w:rPr>
            </w:pPr>
            <w:r>
              <w:rPr>
                <w:rFonts w:ascii="Arial" w:cs="Arial" w:eastAsia="Arial" w:hAnsi="Arial"/>
                <w:sz w:val="13"/>
                <w:szCs w:val="13"/>
                <w:color w:val="auto"/>
                <w:w w:val="82"/>
              </w:rPr>
              <w:t>ETSI</w:t>
            </w:r>
          </w:p>
        </w:tc>
        <w:tc>
          <w:tcPr>
            <w:tcW w:w="0" w:type="dxa"/>
            <w:vAlign w:val="bottom"/>
          </w:tcPr>
          <w:p>
            <w:pPr>
              <w:spacing w:after="0"/>
              <w:rPr>
                <w:sz w:val="1"/>
                <w:szCs w:val="1"/>
                <w:color w:val="auto"/>
              </w:rPr>
            </w:pPr>
          </w:p>
        </w:tc>
      </w:tr>
      <w:tr>
        <w:trPr>
          <w:trHeight w:val="93"/>
        </w:trPr>
        <w:tc>
          <w:tcPr>
            <w:tcW w:w="820" w:type="dxa"/>
            <w:vAlign w:val="bottom"/>
            <w:vMerge w:val="continue"/>
          </w:tcPr>
          <w:p>
            <w:pPr>
              <w:spacing w:after="0"/>
              <w:rPr>
                <w:sz w:val="8"/>
                <w:szCs w:val="8"/>
                <w:color w:val="auto"/>
              </w:rPr>
            </w:pPr>
          </w:p>
        </w:tc>
        <w:tc>
          <w:tcPr>
            <w:tcW w:w="4500" w:type="dxa"/>
            <w:vAlign w:val="bottom"/>
            <w:vMerge w:val="restart"/>
          </w:tcPr>
          <w:p>
            <w:pPr>
              <w:ind w:left="80"/>
              <w:spacing w:after="0"/>
              <w:rPr>
                <w:sz w:val="20"/>
                <w:szCs w:val="20"/>
                <w:color w:val="auto"/>
              </w:rPr>
            </w:pPr>
            <w:r>
              <w:rPr>
                <w:rFonts w:ascii="Arial" w:cs="Arial" w:eastAsia="Arial" w:hAnsi="Arial"/>
                <w:sz w:val="13"/>
                <w:szCs w:val="13"/>
                <w:color w:val="auto"/>
              </w:rPr>
              <w:t>Radio Access Network</w:t>
            </w:r>
          </w:p>
        </w:tc>
        <w:tc>
          <w:tcPr>
            <w:tcW w:w="16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820" w:type="dxa"/>
            <w:vAlign w:val="bottom"/>
            <w:vMerge w:val="restart"/>
          </w:tcPr>
          <w:p>
            <w:pPr>
              <w:jc w:val="center"/>
              <w:ind w:right="17"/>
              <w:spacing w:after="0"/>
              <w:rPr>
                <w:sz w:val="20"/>
                <w:szCs w:val="20"/>
                <w:color w:val="auto"/>
              </w:rPr>
            </w:pPr>
            <w:r>
              <w:rPr>
                <w:rFonts w:ascii="Arial" w:cs="Arial" w:eastAsia="Arial" w:hAnsi="Arial"/>
                <w:sz w:val="13"/>
                <w:szCs w:val="13"/>
                <w:color w:val="auto"/>
                <w:w w:val="87"/>
              </w:rPr>
              <w:t>KR912629</w:t>
            </w:r>
          </w:p>
        </w:tc>
        <w:tc>
          <w:tcPr>
            <w:tcW w:w="4500" w:type="dxa"/>
            <w:vAlign w:val="bottom"/>
          </w:tcPr>
          <w:p>
            <w:pPr>
              <w:ind w:left="80"/>
              <w:spacing w:after="0"/>
              <w:rPr>
                <w:sz w:val="20"/>
                <w:szCs w:val="20"/>
                <w:color w:val="auto"/>
              </w:rPr>
            </w:pPr>
            <w:r>
              <w:rPr>
                <w:rFonts w:ascii="Arial" w:cs="Arial" w:eastAsia="Arial" w:hAnsi="Arial"/>
                <w:sz w:val="13"/>
                <w:szCs w:val="13"/>
                <w:color w:val="auto"/>
                <w:w w:val="91"/>
              </w:rPr>
              <w:t>Inter-System Hand-Over Of A Mobile Terminal Operable With A First And A Second</w:t>
            </w:r>
          </w:p>
        </w:tc>
        <w:tc>
          <w:tcPr>
            <w:tcW w:w="1600" w:type="dxa"/>
            <w:vAlign w:val="bottom"/>
            <w:vMerge w:val="restart"/>
          </w:tcPr>
          <w:p>
            <w:pPr>
              <w:ind w:left="80"/>
              <w:spacing w:after="0"/>
              <w:rPr>
                <w:sz w:val="20"/>
                <w:szCs w:val="20"/>
                <w:color w:val="auto"/>
              </w:rPr>
            </w:pPr>
            <w:r>
              <w:rPr>
                <w:rFonts w:ascii="Arial" w:cs="Arial" w:eastAsia="Arial" w:hAnsi="Arial"/>
                <w:sz w:val="13"/>
                <w:szCs w:val="13"/>
                <w:color w:val="auto"/>
              </w:rPr>
              <w:t>Pitkamaki Antti [Fi]</w:t>
            </w:r>
          </w:p>
        </w:tc>
        <w:tc>
          <w:tcPr>
            <w:tcW w:w="760" w:type="dxa"/>
            <w:vAlign w:val="bottom"/>
            <w:vMerge w:val="restart"/>
          </w:tcPr>
          <w:p>
            <w:pPr>
              <w:ind w:left="500"/>
              <w:spacing w:after="0"/>
              <w:rPr>
                <w:sz w:val="20"/>
                <w:szCs w:val="20"/>
                <w:color w:val="auto"/>
              </w:rPr>
            </w:pPr>
            <w:r>
              <w:rPr>
                <w:rFonts w:ascii="Arial" w:cs="Arial" w:eastAsia="Arial" w:hAnsi="Arial"/>
                <w:sz w:val="13"/>
                <w:szCs w:val="13"/>
                <w:color w:val="auto"/>
                <w:w w:val="82"/>
              </w:rPr>
              <w:t>ETSI</w:t>
            </w:r>
          </w:p>
        </w:tc>
        <w:tc>
          <w:tcPr>
            <w:tcW w:w="0" w:type="dxa"/>
            <w:vAlign w:val="bottom"/>
          </w:tcPr>
          <w:p>
            <w:pPr>
              <w:spacing w:after="0"/>
              <w:rPr>
                <w:sz w:val="1"/>
                <w:szCs w:val="1"/>
                <w:color w:val="auto"/>
              </w:rPr>
            </w:pPr>
          </w:p>
        </w:tc>
      </w:tr>
      <w:tr>
        <w:trPr>
          <w:trHeight w:val="93"/>
        </w:trPr>
        <w:tc>
          <w:tcPr>
            <w:tcW w:w="820" w:type="dxa"/>
            <w:vAlign w:val="bottom"/>
            <w:vMerge w:val="continue"/>
          </w:tcPr>
          <w:p>
            <w:pPr>
              <w:spacing w:after="0"/>
              <w:rPr>
                <w:sz w:val="8"/>
                <w:szCs w:val="8"/>
                <w:color w:val="auto"/>
              </w:rPr>
            </w:pPr>
          </w:p>
        </w:tc>
        <w:tc>
          <w:tcPr>
            <w:tcW w:w="4500" w:type="dxa"/>
            <w:vAlign w:val="bottom"/>
            <w:vMerge w:val="restart"/>
          </w:tcPr>
          <w:p>
            <w:pPr>
              <w:ind w:left="80"/>
              <w:spacing w:after="0"/>
              <w:rPr>
                <w:sz w:val="20"/>
                <w:szCs w:val="20"/>
                <w:color w:val="auto"/>
              </w:rPr>
            </w:pPr>
            <w:r>
              <w:rPr>
                <w:rFonts w:ascii="Arial" w:cs="Arial" w:eastAsia="Arial" w:hAnsi="Arial"/>
                <w:sz w:val="13"/>
                <w:szCs w:val="13"/>
                <w:color w:val="auto"/>
              </w:rPr>
              <w:t>Radio Access Network</w:t>
            </w:r>
          </w:p>
        </w:tc>
        <w:tc>
          <w:tcPr>
            <w:tcW w:w="16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820" w:type="dxa"/>
            <w:vAlign w:val="bottom"/>
            <w:vMerge w:val="restart"/>
          </w:tcPr>
          <w:p>
            <w:pPr>
              <w:spacing w:after="0"/>
              <w:rPr>
                <w:sz w:val="20"/>
                <w:szCs w:val="20"/>
                <w:color w:val="auto"/>
              </w:rPr>
            </w:pPr>
            <w:r>
              <w:rPr>
                <w:rFonts w:ascii="Arial" w:cs="Arial" w:eastAsia="Arial" w:hAnsi="Arial"/>
                <w:sz w:val="13"/>
                <w:szCs w:val="13"/>
                <w:color w:val="auto"/>
                <w:w w:val="99"/>
              </w:rPr>
              <w:t>MY-142706-A</w:t>
            </w:r>
          </w:p>
        </w:tc>
        <w:tc>
          <w:tcPr>
            <w:tcW w:w="4500" w:type="dxa"/>
            <w:vAlign w:val="bottom"/>
          </w:tcPr>
          <w:p>
            <w:pPr>
              <w:ind w:left="80"/>
              <w:spacing w:after="0"/>
              <w:rPr>
                <w:sz w:val="20"/>
                <w:szCs w:val="20"/>
                <w:color w:val="auto"/>
              </w:rPr>
            </w:pPr>
            <w:r>
              <w:rPr>
                <w:rFonts w:ascii="Arial" w:cs="Arial" w:eastAsia="Arial" w:hAnsi="Arial"/>
                <w:sz w:val="13"/>
                <w:szCs w:val="13"/>
                <w:color w:val="auto"/>
                <w:w w:val="91"/>
              </w:rPr>
              <w:t>Inter-System Hand-Over Of A Mobile Terminal Operable With A First And A Second</w:t>
            </w:r>
          </w:p>
        </w:tc>
        <w:tc>
          <w:tcPr>
            <w:tcW w:w="1600" w:type="dxa"/>
            <w:vAlign w:val="bottom"/>
            <w:vMerge w:val="restart"/>
          </w:tcPr>
          <w:p>
            <w:pPr>
              <w:ind w:left="80"/>
              <w:spacing w:after="0"/>
              <w:rPr>
                <w:sz w:val="20"/>
                <w:szCs w:val="20"/>
                <w:color w:val="auto"/>
              </w:rPr>
            </w:pPr>
            <w:r>
              <w:rPr>
                <w:rFonts w:ascii="Arial" w:cs="Arial" w:eastAsia="Arial" w:hAnsi="Arial"/>
                <w:sz w:val="13"/>
                <w:szCs w:val="13"/>
                <w:color w:val="auto"/>
              </w:rPr>
              <w:t>Pitkamaki Antti [Fi]</w:t>
            </w:r>
          </w:p>
        </w:tc>
        <w:tc>
          <w:tcPr>
            <w:tcW w:w="760" w:type="dxa"/>
            <w:vAlign w:val="bottom"/>
            <w:vMerge w:val="restart"/>
          </w:tcPr>
          <w:p>
            <w:pPr>
              <w:ind w:left="500"/>
              <w:spacing w:after="0"/>
              <w:rPr>
                <w:sz w:val="20"/>
                <w:szCs w:val="20"/>
                <w:color w:val="auto"/>
              </w:rPr>
            </w:pPr>
            <w:r>
              <w:rPr>
                <w:rFonts w:ascii="Arial" w:cs="Arial" w:eastAsia="Arial" w:hAnsi="Arial"/>
                <w:sz w:val="13"/>
                <w:szCs w:val="13"/>
                <w:color w:val="auto"/>
                <w:w w:val="82"/>
              </w:rPr>
              <w:t>ETSI</w:t>
            </w:r>
          </w:p>
        </w:tc>
        <w:tc>
          <w:tcPr>
            <w:tcW w:w="0" w:type="dxa"/>
            <w:vAlign w:val="bottom"/>
          </w:tcPr>
          <w:p>
            <w:pPr>
              <w:spacing w:after="0"/>
              <w:rPr>
                <w:sz w:val="1"/>
                <w:szCs w:val="1"/>
                <w:color w:val="auto"/>
              </w:rPr>
            </w:pPr>
          </w:p>
        </w:tc>
      </w:tr>
      <w:tr>
        <w:trPr>
          <w:trHeight w:val="93"/>
        </w:trPr>
        <w:tc>
          <w:tcPr>
            <w:tcW w:w="820" w:type="dxa"/>
            <w:vAlign w:val="bottom"/>
            <w:vMerge w:val="continue"/>
          </w:tcPr>
          <w:p>
            <w:pPr>
              <w:spacing w:after="0"/>
              <w:rPr>
                <w:sz w:val="8"/>
                <w:szCs w:val="8"/>
                <w:color w:val="auto"/>
              </w:rPr>
            </w:pPr>
          </w:p>
        </w:tc>
        <w:tc>
          <w:tcPr>
            <w:tcW w:w="4500" w:type="dxa"/>
            <w:vAlign w:val="bottom"/>
            <w:vMerge w:val="restart"/>
          </w:tcPr>
          <w:p>
            <w:pPr>
              <w:ind w:left="80"/>
              <w:spacing w:after="0"/>
              <w:rPr>
                <w:sz w:val="20"/>
                <w:szCs w:val="20"/>
                <w:color w:val="auto"/>
              </w:rPr>
            </w:pPr>
            <w:r>
              <w:rPr>
                <w:rFonts w:ascii="Arial" w:cs="Arial" w:eastAsia="Arial" w:hAnsi="Arial"/>
                <w:sz w:val="13"/>
                <w:szCs w:val="13"/>
                <w:color w:val="auto"/>
              </w:rPr>
              <w:t>Radio Access Network</w:t>
            </w:r>
          </w:p>
        </w:tc>
        <w:tc>
          <w:tcPr>
            <w:tcW w:w="16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820" w:type="dxa"/>
            <w:vAlign w:val="bottom"/>
            <w:vMerge w:val="restart"/>
          </w:tcPr>
          <w:p>
            <w:pPr>
              <w:jc w:val="center"/>
              <w:ind w:right="17"/>
              <w:spacing w:after="0"/>
              <w:rPr>
                <w:sz w:val="20"/>
                <w:szCs w:val="20"/>
                <w:color w:val="auto"/>
              </w:rPr>
            </w:pPr>
            <w:r>
              <w:rPr>
                <w:rFonts w:ascii="Arial" w:cs="Arial" w:eastAsia="Arial" w:hAnsi="Arial"/>
                <w:sz w:val="13"/>
                <w:szCs w:val="13"/>
                <w:color w:val="auto"/>
                <w:w w:val="88"/>
              </w:rPr>
              <w:t>PK141924</w:t>
            </w:r>
          </w:p>
        </w:tc>
        <w:tc>
          <w:tcPr>
            <w:tcW w:w="4500" w:type="dxa"/>
            <w:vAlign w:val="bottom"/>
          </w:tcPr>
          <w:p>
            <w:pPr>
              <w:ind w:left="80"/>
              <w:spacing w:after="0"/>
              <w:rPr>
                <w:sz w:val="20"/>
                <w:szCs w:val="20"/>
                <w:color w:val="auto"/>
              </w:rPr>
            </w:pPr>
            <w:r>
              <w:rPr>
                <w:rFonts w:ascii="Arial" w:cs="Arial" w:eastAsia="Arial" w:hAnsi="Arial"/>
                <w:sz w:val="13"/>
                <w:szCs w:val="13"/>
                <w:color w:val="auto"/>
                <w:w w:val="91"/>
              </w:rPr>
              <w:t>Inter-System Hand-Over Of A Mobile Terminal Operable With A First And A Second</w:t>
            </w:r>
          </w:p>
        </w:tc>
        <w:tc>
          <w:tcPr>
            <w:tcW w:w="1600" w:type="dxa"/>
            <w:vAlign w:val="bottom"/>
            <w:vMerge w:val="restart"/>
          </w:tcPr>
          <w:p>
            <w:pPr>
              <w:ind w:left="80"/>
              <w:spacing w:after="0"/>
              <w:rPr>
                <w:sz w:val="20"/>
                <w:szCs w:val="20"/>
                <w:color w:val="auto"/>
              </w:rPr>
            </w:pPr>
            <w:r>
              <w:rPr>
                <w:rFonts w:ascii="Arial" w:cs="Arial" w:eastAsia="Arial" w:hAnsi="Arial"/>
                <w:sz w:val="13"/>
                <w:szCs w:val="13"/>
                <w:color w:val="auto"/>
              </w:rPr>
              <w:t>Pitkamaki Antti [Fi]</w:t>
            </w:r>
          </w:p>
        </w:tc>
        <w:tc>
          <w:tcPr>
            <w:tcW w:w="760" w:type="dxa"/>
            <w:vAlign w:val="bottom"/>
            <w:vMerge w:val="restart"/>
          </w:tcPr>
          <w:p>
            <w:pPr>
              <w:ind w:left="500"/>
              <w:spacing w:after="0"/>
              <w:rPr>
                <w:sz w:val="20"/>
                <w:szCs w:val="20"/>
                <w:color w:val="auto"/>
              </w:rPr>
            </w:pPr>
            <w:r>
              <w:rPr>
                <w:rFonts w:ascii="Arial" w:cs="Arial" w:eastAsia="Arial" w:hAnsi="Arial"/>
                <w:sz w:val="13"/>
                <w:szCs w:val="13"/>
                <w:color w:val="auto"/>
                <w:w w:val="82"/>
              </w:rPr>
              <w:t>ETSI</w:t>
            </w:r>
          </w:p>
        </w:tc>
        <w:tc>
          <w:tcPr>
            <w:tcW w:w="0" w:type="dxa"/>
            <w:vAlign w:val="bottom"/>
          </w:tcPr>
          <w:p>
            <w:pPr>
              <w:spacing w:after="0"/>
              <w:rPr>
                <w:sz w:val="1"/>
                <w:szCs w:val="1"/>
                <w:color w:val="auto"/>
              </w:rPr>
            </w:pPr>
          </w:p>
        </w:tc>
      </w:tr>
      <w:tr>
        <w:trPr>
          <w:trHeight w:val="93"/>
        </w:trPr>
        <w:tc>
          <w:tcPr>
            <w:tcW w:w="820" w:type="dxa"/>
            <w:vAlign w:val="bottom"/>
            <w:vMerge w:val="continue"/>
          </w:tcPr>
          <w:p>
            <w:pPr>
              <w:spacing w:after="0"/>
              <w:rPr>
                <w:sz w:val="8"/>
                <w:szCs w:val="8"/>
                <w:color w:val="auto"/>
              </w:rPr>
            </w:pPr>
          </w:p>
        </w:tc>
        <w:tc>
          <w:tcPr>
            <w:tcW w:w="4500" w:type="dxa"/>
            <w:vAlign w:val="bottom"/>
            <w:vMerge w:val="restart"/>
          </w:tcPr>
          <w:p>
            <w:pPr>
              <w:ind w:left="80"/>
              <w:spacing w:after="0"/>
              <w:rPr>
                <w:sz w:val="20"/>
                <w:szCs w:val="20"/>
                <w:color w:val="auto"/>
              </w:rPr>
            </w:pPr>
            <w:r>
              <w:rPr>
                <w:rFonts w:ascii="Arial" w:cs="Arial" w:eastAsia="Arial" w:hAnsi="Arial"/>
                <w:sz w:val="13"/>
                <w:szCs w:val="13"/>
                <w:color w:val="auto"/>
              </w:rPr>
              <w:t>Radio Access Network</w:t>
            </w:r>
          </w:p>
        </w:tc>
        <w:tc>
          <w:tcPr>
            <w:tcW w:w="16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820" w:type="dxa"/>
            <w:vAlign w:val="bottom"/>
          </w:tcPr>
          <w:p>
            <w:pPr>
              <w:jc w:val="center"/>
              <w:ind w:right="17"/>
              <w:spacing w:after="0"/>
              <w:rPr>
                <w:sz w:val="20"/>
                <w:szCs w:val="20"/>
                <w:color w:val="auto"/>
              </w:rPr>
            </w:pPr>
            <w:r>
              <w:rPr>
                <w:rFonts w:ascii="Arial" w:cs="Arial" w:eastAsia="Arial" w:hAnsi="Arial"/>
                <w:sz w:val="13"/>
                <w:szCs w:val="13"/>
                <w:color w:val="auto"/>
                <w:w w:val="88"/>
              </w:rPr>
              <w:t>RO1808029</w:t>
            </w:r>
          </w:p>
        </w:tc>
        <w:tc>
          <w:tcPr>
            <w:tcW w:w="4500" w:type="dxa"/>
            <w:vAlign w:val="bottom"/>
          </w:tcPr>
          <w:p>
            <w:pPr>
              <w:ind w:left="80"/>
              <w:spacing w:after="0"/>
              <w:rPr>
                <w:sz w:val="20"/>
                <w:szCs w:val="20"/>
                <w:color w:val="auto"/>
              </w:rPr>
            </w:pPr>
            <w:r>
              <w:rPr>
                <w:rFonts w:ascii="Arial" w:cs="Arial" w:eastAsia="Arial" w:hAnsi="Arial"/>
                <w:sz w:val="13"/>
                <w:szCs w:val="13"/>
                <w:color w:val="auto"/>
              </w:rPr>
              <w:t>Lack Of Channel Codings Implies A Handover</w:t>
            </w:r>
          </w:p>
        </w:tc>
        <w:tc>
          <w:tcPr>
            <w:tcW w:w="1600" w:type="dxa"/>
            <w:vAlign w:val="bottom"/>
          </w:tcPr>
          <w:p>
            <w:pPr>
              <w:ind w:left="80"/>
              <w:spacing w:after="0"/>
              <w:rPr>
                <w:sz w:val="20"/>
                <w:szCs w:val="20"/>
                <w:color w:val="auto"/>
              </w:rPr>
            </w:pPr>
            <w:r>
              <w:rPr>
                <w:rFonts w:ascii="Arial" w:cs="Arial" w:eastAsia="Arial" w:hAnsi="Arial"/>
                <w:sz w:val="13"/>
                <w:szCs w:val="13"/>
                <w:color w:val="auto"/>
              </w:rPr>
              <w:t>Pitkamaki Antti [Fi]</w:t>
            </w:r>
          </w:p>
        </w:tc>
        <w:tc>
          <w:tcPr>
            <w:tcW w:w="760" w:type="dxa"/>
            <w:vAlign w:val="bottom"/>
          </w:tcPr>
          <w:p>
            <w:pPr>
              <w:ind w:left="500"/>
              <w:spacing w:after="0"/>
              <w:rPr>
                <w:sz w:val="20"/>
                <w:szCs w:val="20"/>
                <w:color w:val="auto"/>
              </w:rPr>
            </w:pPr>
            <w:r>
              <w:rPr>
                <w:rFonts w:ascii="Arial" w:cs="Arial" w:eastAsia="Arial" w:hAnsi="Arial"/>
                <w:sz w:val="13"/>
                <w:szCs w:val="13"/>
                <w:color w:val="auto"/>
                <w:w w:val="82"/>
              </w:rPr>
              <w:t>ETSI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-1550035</wp:posOffset>
            </wp:positionV>
            <wp:extent cx="7246620" cy="857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-1207135</wp:posOffset>
            </wp:positionV>
            <wp:extent cx="7246620" cy="2571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-692150</wp:posOffset>
            </wp:positionV>
            <wp:extent cx="7246620" cy="2571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-177800</wp:posOffset>
            </wp:positionV>
            <wp:extent cx="7246620" cy="2571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3340" w:space="200"/>
            <w:col w:w="7780"/>
          </w:cols>
          <w:pgMar w:left="280" w:top="111" w:right="299" w:bottom="0" w:gutter="0" w:footer="0" w:header="0"/>
        </w:sectPr>
      </w:pPr>
    </w:p>
    <w:tbl>
      <w:tblPr>
        <w:tblLayout w:type="fixed"/>
        <w:tblInd w:w="0" w:type="dxa"/>
        <w:tblCellMar>
          <w:top w:w="0" w:type="dxa"/>
          <w:left w:w="0" w:type="dxa"/>
          <w:bottom w:w="0" w:type="dxa"/>
          <w:right w:w="0" w:type="dxa"/>
        </w:tblCellMar>
      </w:tblPr>
      <w:tr>
        <w:trPr>
          <w:trHeight w:val="180"/>
        </w:trPr>
        <w:tc>
          <w:tcPr>
            <w:tcW w:w="640" w:type="dxa"/>
            <w:vAlign w:val="bottom"/>
          </w:tcPr>
          <w:p>
            <w:pPr>
              <w:jc w:val="center"/>
              <w:spacing w:after="0"/>
              <w:rPr>
                <w:sz w:val="20"/>
                <w:szCs w:val="20"/>
                <w:color w:val="auto"/>
              </w:rPr>
            </w:pPr>
            <w:r>
              <w:rPr>
                <w:rFonts w:ascii="Arial" w:cs="Arial" w:eastAsia="Arial" w:hAnsi="Arial"/>
                <w:sz w:val="13"/>
                <w:szCs w:val="13"/>
                <w:color w:val="auto"/>
                <w:w w:val="94"/>
              </w:rPr>
              <w:t>A40773VI-</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rPr>
                <w:sz w:val="20"/>
                <w:szCs w:val="20"/>
                <w:color w:val="auto"/>
              </w:rPr>
            </w:pPr>
            <w:r>
              <w:rPr>
                <w:rFonts w:ascii="Arial" w:cs="Arial" w:eastAsia="Arial" w:hAnsi="Arial"/>
                <w:sz w:val="13"/>
                <w:szCs w:val="13"/>
                <w:color w:val="auto"/>
                <w:w w:val="98"/>
              </w:rPr>
              <w:t>TW</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37"/>
              <w:spacing w:after="0"/>
              <w:rPr>
                <w:sz w:val="20"/>
                <w:szCs w:val="20"/>
                <w:color w:val="auto"/>
              </w:rPr>
            </w:pPr>
            <w:r>
              <w:rPr>
                <w:rFonts w:ascii="Arial" w:cs="Arial" w:eastAsia="Arial" w:hAnsi="Arial"/>
                <w:sz w:val="13"/>
                <w:szCs w:val="13"/>
                <w:color w:val="auto"/>
                <w:w w:val="89"/>
              </w:rPr>
              <w:t>18-Oct-05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TW01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A40773VI-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7"/>
              </w:rPr>
              <w:t>Pending</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5"/>
              </w:rPr>
              <w:t>2-Jun-08</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A40837VI-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0"/>
              </w:rPr>
              <w:t>20-May-05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A40985VI-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1"/>
              </w:rPr>
              <w:t>EP</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7"/>
              </w:rPr>
              <w:t>Pending</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9"/>
              </w:rPr>
              <w:t>8-Dec-05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A40985VI-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5"/>
              </w:rPr>
              <w:t>RU</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9"/>
              </w:rPr>
              <w:t>8-Dec-05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RU01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A41305VI-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17"/>
              <w:spacing w:after="0" w:line="123" w:lineRule="exact"/>
              <w:rPr>
                <w:sz w:val="20"/>
                <w:szCs w:val="20"/>
                <w:color w:val="auto"/>
              </w:rPr>
            </w:pPr>
            <w:r>
              <w:rPr>
                <w:rFonts w:ascii="Arial" w:cs="Arial" w:eastAsia="Arial" w:hAnsi="Arial"/>
                <w:sz w:val="13"/>
                <w:szCs w:val="13"/>
                <w:color w:val="auto"/>
                <w:w w:val="88"/>
              </w:rPr>
              <w:t>12-Dec-05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A41410VI-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1"/>
              </w:rPr>
              <w:t>EP</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7"/>
              </w:rPr>
              <w:t>Pending</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9"/>
              </w:rPr>
              <w:t>26-Oct-06</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A41410VI-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9"/>
              </w:rPr>
              <w:t>Notice of</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91"/>
              </w:rPr>
              <w:t>Allowance</w:t>
            </w:r>
          </w:p>
        </w:tc>
        <w:tc>
          <w:tcPr>
            <w:tcW w:w="660" w:type="dxa"/>
            <w:vAlign w:val="bottom"/>
          </w:tcPr>
          <w:p>
            <w:pPr>
              <w:jc w:val="center"/>
              <w:ind w:left="17"/>
              <w:spacing w:after="0" w:line="123" w:lineRule="exact"/>
              <w:rPr>
                <w:sz w:val="20"/>
                <w:szCs w:val="20"/>
                <w:color w:val="auto"/>
              </w:rPr>
            </w:pPr>
            <w:r>
              <w:rPr>
                <w:rFonts w:ascii="Arial" w:cs="Arial" w:eastAsia="Arial" w:hAnsi="Arial"/>
                <w:sz w:val="13"/>
                <w:szCs w:val="13"/>
                <w:color w:val="auto"/>
                <w:w w:val="89"/>
              </w:rPr>
              <w:t>27-Mar-06</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3"/>
                <w:szCs w:val="13"/>
                <w:color w:val="auto"/>
                <w:w w:val="89"/>
              </w:rPr>
              <w:t>Granted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A43841VI-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7"/>
              </w:rPr>
              <w:t>Pending</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5"/>
              </w:rPr>
              <w:t>13-Sep-12</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A43895VI-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9"/>
              </w:rPr>
              <w:t>AU</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25-Jul-05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AU01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A43895VI-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88"/>
              </w:rPr>
              <w:t>BR</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7"/>
              </w:rPr>
              <w:t>Pending</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25-Jul-05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BR01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A43895VI-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9"/>
              </w:rPr>
              <w:t>CA</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7"/>
              </w:rPr>
              <w:t>Pending</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25-Jul-05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CA01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A43895VI-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5"/>
              </w:rPr>
              <w:t>CN</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25-Jul-05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A43895VI-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1"/>
              </w:rPr>
              <w:t>EP</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7"/>
              </w:rPr>
              <w:t>Pending</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25-Jul-05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A43895VI-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9"/>
              </w:rPr>
              <w:t>HK</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6"/>
              </w:rPr>
              <w:t>28-Feb-08</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HK01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A43895VI-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1"/>
              </w:rPr>
              <w:t>ID</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25-Jul-05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ID01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A43895VI-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1"/>
              </w:rPr>
              <w:t>IN</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7"/>
              </w:rPr>
              <w:t>Pending</w:t>
            </w:r>
          </w:p>
        </w:tc>
        <w:tc>
          <w:tcPr>
            <w:tcW w:w="66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3"/>
              </w:rPr>
              <w:t>3-Aug-07</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IN01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A43895VI-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78"/>
              </w:rPr>
              <w:t>JP</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25-Jul-05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A43895VI-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rPr>
              <w:t>MX</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25-Jul-05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9"/>
              </w:rPr>
              <w:t>MX01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A43895VI-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5"/>
              </w:rPr>
              <w:t>RU</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25-Jul-05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RU01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A43895VI-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84"/>
              </w:rPr>
              <w:t>SG</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7"/>
              </w:rPr>
              <w:t>Pending</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27-Jul-09</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SG01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A43895VI-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9"/>
              </w:rPr>
              <w:t>Notice of</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91"/>
              </w:rPr>
              <w:t>Allowance</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26-Jul-04</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3"/>
                <w:szCs w:val="13"/>
                <w:color w:val="auto"/>
                <w:w w:val="89"/>
              </w:rPr>
              <w:t>Granted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A43895VI-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6"/>
              </w:rPr>
              <w:t>ZA</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25-Jul-05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6"/>
              </w:rPr>
              <w:t>ZA01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A44802VI-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7"/>
              </w:rPr>
              <w:t>Pending</w:t>
            </w:r>
          </w:p>
        </w:tc>
        <w:tc>
          <w:tcPr>
            <w:tcW w:w="660" w:type="dxa"/>
            <w:vAlign w:val="bottom"/>
          </w:tcPr>
          <w:p>
            <w:pPr>
              <w:jc w:val="center"/>
              <w:ind w:left="17"/>
              <w:spacing w:after="0" w:line="123" w:lineRule="exact"/>
              <w:rPr>
                <w:sz w:val="20"/>
                <w:szCs w:val="20"/>
                <w:color w:val="auto"/>
              </w:rPr>
            </w:pPr>
            <w:r>
              <w:rPr>
                <w:rFonts w:ascii="Arial" w:cs="Arial" w:eastAsia="Arial" w:hAnsi="Arial"/>
                <w:sz w:val="13"/>
                <w:szCs w:val="13"/>
                <w:color w:val="auto"/>
                <w:w w:val="85"/>
              </w:rPr>
              <w:t>14-Jun-04</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A44839VI-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5"/>
              </w:rPr>
              <w:t>CN</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17"/>
              <w:spacing w:after="0" w:line="123" w:lineRule="exact"/>
              <w:rPr>
                <w:sz w:val="20"/>
                <w:szCs w:val="20"/>
                <w:color w:val="auto"/>
              </w:rPr>
            </w:pPr>
            <w:r>
              <w:rPr>
                <w:rFonts w:ascii="Arial" w:cs="Arial" w:eastAsia="Arial" w:hAnsi="Arial"/>
                <w:sz w:val="13"/>
                <w:szCs w:val="13"/>
                <w:color w:val="auto"/>
                <w:w w:val="88"/>
              </w:rPr>
              <w:t>20-Dec-05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A44839VI-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1"/>
              </w:rPr>
              <w:t>EP</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7"/>
              </w:rPr>
              <w:t>Pending</w:t>
            </w:r>
          </w:p>
        </w:tc>
        <w:tc>
          <w:tcPr>
            <w:tcW w:w="660" w:type="dxa"/>
            <w:vAlign w:val="bottom"/>
          </w:tcPr>
          <w:p>
            <w:pPr>
              <w:jc w:val="center"/>
              <w:ind w:left="17"/>
              <w:spacing w:after="0" w:line="123" w:lineRule="exact"/>
              <w:rPr>
                <w:sz w:val="20"/>
                <w:szCs w:val="20"/>
                <w:color w:val="auto"/>
              </w:rPr>
            </w:pPr>
            <w:r>
              <w:rPr>
                <w:rFonts w:ascii="Arial" w:cs="Arial" w:eastAsia="Arial" w:hAnsi="Arial"/>
                <w:sz w:val="13"/>
                <w:szCs w:val="13"/>
                <w:color w:val="auto"/>
                <w:w w:val="88"/>
              </w:rPr>
              <w:t>20-Dec-05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A44839VI-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9"/>
              </w:rPr>
              <w:t>KR</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17"/>
              <w:spacing w:after="0" w:line="123" w:lineRule="exact"/>
              <w:rPr>
                <w:sz w:val="20"/>
                <w:szCs w:val="20"/>
                <w:color w:val="auto"/>
              </w:rPr>
            </w:pPr>
            <w:r>
              <w:rPr>
                <w:rFonts w:ascii="Arial" w:cs="Arial" w:eastAsia="Arial" w:hAnsi="Arial"/>
                <w:sz w:val="13"/>
                <w:szCs w:val="13"/>
                <w:color w:val="auto"/>
                <w:w w:val="88"/>
              </w:rPr>
              <w:t>20-Dec-05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KR01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A44839VI-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17"/>
              <w:spacing w:after="0" w:line="123" w:lineRule="exact"/>
              <w:rPr>
                <w:sz w:val="20"/>
                <w:szCs w:val="20"/>
                <w:color w:val="auto"/>
              </w:rPr>
            </w:pPr>
            <w:r>
              <w:rPr>
                <w:rFonts w:ascii="Arial" w:cs="Arial" w:eastAsia="Arial" w:hAnsi="Arial"/>
                <w:sz w:val="13"/>
                <w:szCs w:val="13"/>
                <w:color w:val="auto"/>
                <w:w w:val="88"/>
              </w:rPr>
              <w:t>20-Dec-04</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A45193VI-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5"/>
              </w:rPr>
              <w:t>CN</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0"/>
              </w:rPr>
              <w:t>31-May-05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A45193VI-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1"/>
              </w:rPr>
              <w:t>EP</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7"/>
              </w:rPr>
              <w:t>Pending</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0"/>
              </w:rPr>
              <w:t>31-May-05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A45193VI-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78"/>
              </w:rPr>
              <w:t>JP</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0"/>
              </w:rPr>
              <w:t>31-May-05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A45193VI-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88"/>
              </w:rPr>
              <w:t>US</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5"/>
              </w:rPr>
              <w:t>4-Jun-04</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A45236VI-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5"/>
              </w:rPr>
              <w:t>CN</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7"/>
              </w:rPr>
              <w:t>Pending</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9"/>
              </w:rPr>
              <w:t>27-Oct-05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A45236VI-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23" w:lineRule="exact"/>
              <w:rPr>
                <w:sz w:val="20"/>
                <w:szCs w:val="20"/>
                <w:color w:val="auto"/>
              </w:rPr>
            </w:pPr>
            <w:r>
              <w:rPr>
                <w:rFonts w:ascii="Arial" w:cs="Arial" w:eastAsia="Arial" w:hAnsi="Arial"/>
                <w:sz w:val="13"/>
                <w:szCs w:val="13"/>
                <w:color w:val="auto"/>
                <w:w w:val="91"/>
              </w:rPr>
              <w:t>EP</w:t>
            </w:r>
          </w:p>
        </w:tc>
        <w:tc>
          <w:tcPr>
            <w:tcW w:w="740" w:type="dxa"/>
            <w:vAlign w:val="bottom"/>
          </w:tcPr>
          <w:p>
            <w:pPr>
              <w:jc w:val="center"/>
              <w:spacing w:after="0" w:line="123" w:lineRule="exact"/>
              <w:rPr>
                <w:sz w:val="20"/>
                <w:szCs w:val="20"/>
                <w:color w:val="auto"/>
              </w:rPr>
            </w:pPr>
            <w:r>
              <w:rPr>
                <w:rFonts w:ascii="Arial" w:cs="Arial" w:eastAsia="Arial" w:hAnsi="Arial"/>
                <w:sz w:val="13"/>
                <w:szCs w:val="13"/>
                <w:color w:val="auto"/>
                <w:w w:val="87"/>
              </w:rPr>
              <w:t>Pending</w:t>
            </w:r>
          </w:p>
        </w:tc>
        <w:tc>
          <w:tcPr>
            <w:tcW w:w="66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9"/>
              </w:rPr>
              <w:t>27-Oct-05</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40" w:type="dxa"/>
            <w:vAlign w:val="bottom"/>
          </w:tcPr>
          <w:p>
            <w:pPr>
              <w:jc w:val="center"/>
              <w:spacing w:after="0"/>
              <w:rPr>
                <w:sz w:val="20"/>
                <w:szCs w:val="20"/>
                <w:color w:val="auto"/>
              </w:rPr>
            </w:pPr>
            <w:r>
              <w:rPr>
                <w:rFonts w:ascii="Arial" w:cs="Arial" w:eastAsia="Arial" w:hAnsi="Arial"/>
                <w:sz w:val="13"/>
                <w:szCs w:val="13"/>
                <w:color w:val="auto"/>
                <w:w w:val="94"/>
              </w:rPr>
              <w:t>A45236VI-</w:t>
            </w:r>
          </w:p>
        </w:tc>
        <w:tc>
          <w:tcPr>
            <w:tcW w:w="880" w:type="dxa"/>
            <w:vAlign w:val="bottom"/>
          </w:tcPr>
          <w:p>
            <w:pPr>
              <w:jc w:val="center"/>
              <w:spacing w:after="0"/>
              <w:rPr>
                <w:sz w:val="20"/>
                <w:szCs w:val="20"/>
                <w:color w:val="auto"/>
              </w:rPr>
            </w:pPr>
            <w:r>
              <w:rPr>
                <w:rFonts w:ascii="Arial" w:cs="Arial" w:eastAsia="Arial" w:hAnsi="Arial"/>
                <w:sz w:val="13"/>
                <w:szCs w:val="13"/>
                <w:color w:val="auto"/>
                <w:w w:val="90"/>
              </w:rPr>
              <w:t>Vringo</w:t>
            </w:r>
          </w:p>
        </w:tc>
        <w:tc>
          <w:tcPr>
            <w:tcW w:w="420" w:type="dxa"/>
            <w:vAlign w:val="bottom"/>
          </w:tcPr>
          <w:p>
            <w:pPr>
              <w:jc w:val="center"/>
              <w:spacing w:after="0"/>
              <w:rPr>
                <w:sz w:val="20"/>
                <w:szCs w:val="20"/>
                <w:color w:val="auto"/>
              </w:rPr>
            </w:pPr>
            <w:r>
              <w:rPr>
                <w:rFonts w:ascii="Arial" w:cs="Arial" w:eastAsia="Arial" w:hAnsi="Arial"/>
                <w:sz w:val="13"/>
                <w:szCs w:val="13"/>
                <w:color w:val="auto"/>
                <w:w w:val="88"/>
              </w:rPr>
              <w:t>US</w:t>
            </w: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Granted</w:t>
            </w:r>
          </w:p>
        </w:tc>
        <w:tc>
          <w:tcPr>
            <w:tcW w:w="660" w:type="dxa"/>
            <w:vAlign w:val="bottom"/>
          </w:tcPr>
          <w:p>
            <w:pPr>
              <w:jc w:val="center"/>
              <w:ind w:left="17"/>
              <w:spacing w:after="0"/>
              <w:rPr>
                <w:sz w:val="20"/>
                <w:szCs w:val="20"/>
                <w:color w:val="auto"/>
              </w:rPr>
            </w:pPr>
            <w:r>
              <w:rPr>
                <w:rFonts w:ascii="Arial" w:cs="Arial" w:eastAsia="Arial" w:hAnsi="Arial"/>
                <w:sz w:val="13"/>
                <w:szCs w:val="13"/>
                <w:color w:val="auto"/>
                <w:w w:val="93"/>
              </w:rPr>
              <w:t>1-Nov-04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I393462</w:t>
      </w: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US20090156215</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US7283092</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EP1842386</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RU2405285</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US7817622</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EP1964357</w:t>
      </w: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US20070143502</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US20130003705</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2"/>
          <w:szCs w:val="12"/>
          <w:color w:val="auto"/>
        </w:rPr>
        <w:t>AU2005268547</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PI0514400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2"/>
          <w:szCs w:val="12"/>
          <w:color w:val="auto"/>
        </w:rPr>
        <w:t>CN101027924</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EP1779684</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HK1108311</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ID P0031233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JP4750114</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MX277338</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RU2407236</w:t>
      </w:r>
    </w:p>
    <w:p>
      <w:pPr>
        <w:spacing w:after="0" w:line="25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SG154528</w:t>
      </w: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US20060020669</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2"/>
          <w:szCs w:val="12"/>
          <w:color w:val="auto"/>
        </w:rPr>
        <w:t>ZA200701602</w:t>
      </w:r>
    </w:p>
    <w:p>
      <w:pPr>
        <w:spacing w:after="0" w:line="267" w:lineRule="exact"/>
        <w:rPr>
          <w:sz w:val="20"/>
          <w:szCs w:val="20"/>
          <w:color w:val="auto"/>
        </w:rPr>
      </w:pPr>
    </w:p>
    <w:p>
      <w:pPr>
        <w:spacing w:after="0"/>
        <w:rPr>
          <w:sz w:val="20"/>
          <w:szCs w:val="20"/>
          <w:color w:val="auto"/>
        </w:rPr>
      </w:pPr>
      <w:r>
        <w:rPr>
          <w:rFonts w:ascii="Arial" w:cs="Arial" w:eastAsia="Arial" w:hAnsi="Arial"/>
          <w:sz w:val="11"/>
          <w:szCs w:val="11"/>
          <w:color w:val="auto"/>
        </w:rPr>
        <w:t>US20060015520</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2"/>
          <w:szCs w:val="12"/>
          <w:color w:val="auto"/>
        </w:rPr>
        <w:t>CN101112048</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EP1829292</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2"/>
          <w:szCs w:val="12"/>
          <w:color w:val="auto"/>
        </w:rPr>
        <w:t>KR10-0899331</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US7366511</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CN1985251</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EP1769377</w:t>
      </w:r>
    </w:p>
    <w:p>
      <w:pPr>
        <w:spacing w:after="0" w:line="25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JP4657294</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US7730294</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2"/>
          <w:szCs w:val="12"/>
          <w:color w:val="auto"/>
        </w:rPr>
        <w:t>CN101053201</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EP1807970</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US7729385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4460" w:type="dxa"/>
            <w:vAlign w:val="bottom"/>
          </w:tcPr>
          <w:p>
            <w:pPr>
              <w:spacing w:after="0" w:line="125" w:lineRule="exact"/>
              <w:rPr>
                <w:sz w:val="20"/>
                <w:szCs w:val="20"/>
                <w:color w:val="auto"/>
              </w:rPr>
            </w:pPr>
            <w:r>
              <w:rPr>
                <w:rFonts w:ascii="Arial" w:cs="Arial" w:eastAsia="Arial" w:hAnsi="Arial"/>
                <w:sz w:val="13"/>
                <w:szCs w:val="13"/>
                <w:color w:val="auto"/>
                <w:w w:val="92"/>
              </w:rPr>
              <w:t>Inter-System Hand-Over Of A Mobile Terminal Operable With A First And A Second</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Pitkamaki Antti [Fi]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4460" w:type="dxa"/>
            <w:vAlign w:val="bottom"/>
            <w:vMerge w:val="restart"/>
          </w:tcPr>
          <w:p>
            <w:pPr>
              <w:spacing w:after="0"/>
              <w:rPr>
                <w:sz w:val="20"/>
                <w:szCs w:val="20"/>
                <w:color w:val="auto"/>
              </w:rPr>
            </w:pPr>
            <w:r>
              <w:rPr>
                <w:rFonts w:ascii="Arial" w:cs="Arial" w:eastAsia="Arial" w:hAnsi="Arial"/>
                <w:sz w:val="13"/>
                <w:szCs w:val="13"/>
                <w:color w:val="auto"/>
              </w:rPr>
              <w:t>Radio Access Network</w:t>
            </w:r>
          </w:p>
        </w:tc>
        <w:tc>
          <w:tcPr>
            <w:tcW w:w="19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46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2"/>
              </w:rPr>
              <w:t>Inter-System Hand-Over Of A Mobile Terminal Operable With A First And A Second</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Pitkamaki Antti [Fi]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4460" w:type="dxa"/>
            <w:vAlign w:val="bottom"/>
            <w:vMerge w:val="restart"/>
          </w:tcPr>
          <w:p>
            <w:pPr>
              <w:spacing w:after="0"/>
              <w:rPr>
                <w:sz w:val="20"/>
                <w:szCs w:val="20"/>
                <w:color w:val="auto"/>
              </w:rPr>
            </w:pPr>
            <w:r>
              <w:rPr>
                <w:rFonts w:ascii="Arial" w:cs="Arial" w:eastAsia="Arial" w:hAnsi="Arial"/>
                <w:sz w:val="13"/>
                <w:szCs w:val="13"/>
                <w:color w:val="auto"/>
              </w:rPr>
              <w:t>Radio Access Network</w:t>
            </w:r>
          </w:p>
        </w:tc>
        <w:tc>
          <w:tcPr>
            <w:tcW w:w="19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46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60" w:type="dxa"/>
            <w:vAlign w:val="bottom"/>
            <w:vMerge w:val="restart"/>
          </w:tcPr>
          <w:p>
            <w:pPr>
              <w:spacing w:after="0"/>
              <w:rPr>
                <w:sz w:val="20"/>
                <w:szCs w:val="20"/>
                <w:color w:val="auto"/>
              </w:rPr>
            </w:pPr>
            <w:r>
              <w:rPr>
                <w:rFonts w:ascii="Arial" w:cs="Arial" w:eastAsia="Arial" w:hAnsi="Arial"/>
                <w:sz w:val="13"/>
                <w:szCs w:val="13"/>
                <w:color w:val="auto"/>
              </w:rPr>
              <w:t>Enhanced Switched-Beam Antenna Arrangement</w:t>
            </w:r>
          </w:p>
        </w:tc>
        <w:tc>
          <w:tcPr>
            <w:tcW w:w="1940" w:type="dxa"/>
            <w:vAlign w:val="bottom"/>
          </w:tcPr>
          <w:p>
            <w:pPr>
              <w:ind w:left="40"/>
              <w:spacing w:after="0"/>
              <w:rPr>
                <w:sz w:val="20"/>
                <w:szCs w:val="20"/>
                <w:color w:val="auto"/>
              </w:rPr>
            </w:pPr>
            <w:r>
              <w:rPr>
                <w:rFonts w:ascii="Arial" w:cs="Arial" w:eastAsia="Arial" w:hAnsi="Arial"/>
                <w:sz w:val="13"/>
                <w:szCs w:val="13"/>
                <w:color w:val="auto"/>
              </w:rPr>
              <w:t>Minghai Feng [Fi] Yuan Zhu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446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(+1)</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60" w:type="dxa"/>
            <w:vAlign w:val="bottom"/>
            <w:vMerge w:val="restart"/>
          </w:tcPr>
          <w:p>
            <w:pPr>
              <w:spacing w:after="0"/>
              <w:rPr>
                <w:sz w:val="20"/>
                <w:szCs w:val="20"/>
                <w:color w:val="auto"/>
              </w:rPr>
            </w:pPr>
            <w:r>
              <w:rPr>
                <w:rFonts w:ascii="Arial" w:cs="Arial" w:eastAsia="Arial" w:hAnsi="Arial"/>
                <w:sz w:val="13"/>
                <w:szCs w:val="13"/>
                <w:color w:val="auto"/>
              </w:rPr>
              <w:t>Downlink Data Optimization For Packet Switched Handover</w:t>
            </w:r>
          </w:p>
        </w:tc>
        <w:tc>
          <w:tcPr>
            <w:tcW w:w="1940" w:type="dxa"/>
            <w:vAlign w:val="bottom"/>
          </w:tcPr>
          <w:p>
            <w:pPr>
              <w:ind w:left="40"/>
              <w:spacing w:after="0"/>
              <w:rPr>
                <w:sz w:val="20"/>
                <w:szCs w:val="20"/>
                <w:color w:val="auto"/>
              </w:rPr>
            </w:pPr>
            <w:r>
              <w:rPr>
                <w:rFonts w:ascii="Arial" w:cs="Arial" w:eastAsia="Arial" w:hAnsi="Arial"/>
                <w:sz w:val="13"/>
                <w:szCs w:val="13"/>
                <w:color w:val="auto"/>
                <w:w w:val="90"/>
              </w:rPr>
              <w:t>Kangas Arto Ta [Fi] Virtanen Tapani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446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3"/>
              </w:rPr>
              <w:t>Optimisation Of Data Transfer Along Downlink In Process Of Service Transfer With</w:t>
            </w:r>
          </w:p>
        </w:tc>
        <w:tc>
          <w:tcPr>
            <w:tcW w:w="1940" w:type="dxa"/>
            <w:vAlign w:val="bottom"/>
          </w:tcPr>
          <w:p>
            <w:pPr>
              <w:ind w:left="40"/>
              <w:spacing w:after="0"/>
              <w:rPr>
                <w:sz w:val="20"/>
                <w:szCs w:val="20"/>
                <w:color w:val="auto"/>
              </w:rPr>
            </w:pPr>
            <w:r>
              <w:rPr>
                <w:rFonts w:ascii="Arial" w:cs="Arial" w:eastAsia="Arial" w:hAnsi="Arial"/>
                <w:sz w:val="13"/>
                <w:szCs w:val="13"/>
                <w:color w:val="auto"/>
                <w:w w:val="90"/>
              </w:rPr>
              <w:t>Kangas Arto Ta [Fi] Virtanen Tapani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4460" w:type="dxa"/>
            <w:vAlign w:val="bottom"/>
            <w:vMerge w:val="restart"/>
          </w:tcPr>
          <w:p>
            <w:pPr>
              <w:spacing w:after="0"/>
              <w:rPr>
                <w:sz w:val="20"/>
                <w:szCs w:val="20"/>
                <w:color w:val="auto"/>
              </w:rPr>
            </w:pPr>
            <w:r>
              <w:rPr>
                <w:rFonts w:ascii="Arial" w:cs="Arial" w:eastAsia="Arial" w:hAnsi="Arial"/>
                <w:sz w:val="13"/>
                <w:szCs w:val="13"/>
                <w:color w:val="auto"/>
              </w:rPr>
              <w:t>Switching Of Packets</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[Fi]</w:t>
            </w: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46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60" w:type="dxa"/>
            <w:vAlign w:val="bottom"/>
            <w:vMerge w:val="restart"/>
          </w:tcPr>
          <w:p>
            <w:pPr>
              <w:spacing w:after="0"/>
              <w:rPr>
                <w:sz w:val="20"/>
                <w:szCs w:val="20"/>
                <w:color w:val="auto"/>
              </w:rPr>
            </w:pPr>
            <w:r>
              <w:rPr>
                <w:rFonts w:ascii="Arial" w:cs="Arial" w:eastAsia="Arial" w:hAnsi="Arial"/>
                <w:sz w:val="13"/>
                <w:szCs w:val="13"/>
                <w:color w:val="auto"/>
              </w:rPr>
              <w:t>Unlicensed Mobile Access Optimization</w:t>
            </w:r>
          </w:p>
        </w:tc>
        <w:tc>
          <w:tcPr>
            <w:tcW w:w="1940" w:type="dxa"/>
            <w:vAlign w:val="bottom"/>
          </w:tcPr>
          <w:p>
            <w:pPr>
              <w:ind w:left="40"/>
              <w:spacing w:after="0"/>
              <w:rPr>
                <w:sz w:val="20"/>
                <w:szCs w:val="20"/>
                <w:color w:val="auto"/>
              </w:rPr>
            </w:pPr>
            <w:r>
              <w:rPr>
                <w:rFonts w:ascii="Arial" w:cs="Arial" w:eastAsia="Arial" w:hAnsi="Arial"/>
                <w:sz w:val="13"/>
                <w:szCs w:val="13"/>
                <w:color w:val="auto"/>
                <w:w w:val="88"/>
              </w:rPr>
              <w:t>Haumont Serge [Fi] Pena Sierra Luis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446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[Es] (+3)</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60" w:type="dxa"/>
            <w:vAlign w:val="bottom"/>
            <w:vMerge w:val="restart"/>
          </w:tcPr>
          <w:p>
            <w:pPr>
              <w:spacing w:after="0"/>
              <w:rPr>
                <w:sz w:val="20"/>
                <w:szCs w:val="20"/>
                <w:color w:val="auto"/>
              </w:rPr>
            </w:pPr>
            <w:r>
              <w:rPr>
                <w:rFonts w:ascii="Arial" w:cs="Arial" w:eastAsia="Arial" w:hAnsi="Arial"/>
                <w:sz w:val="13"/>
                <w:szCs w:val="13"/>
                <w:color w:val="auto"/>
              </w:rPr>
              <w:t>Content Aggregation Service For Mobile Environment</w:t>
            </w:r>
          </w:p>
        </w:tc>
        <w:tc>
          <w:tcPr>
            <w:tcW w:w="1940" w:type="dxa"/>
            <w:vAlign w:val="bottom"/>
          </w:tcPr>
          <w:p>
            <w:pPr>
              <w:ind w:left="40"/>
              <w:spacing w:after="0"/>
              <w:rPr>
                <w:sz w:val="20"/>
                <w:szCs w:val="20"/>
                <w:color w:val="auto"/>
              </w:rPr>
            </w:pPr>
            <w:r>
              <w:rPr>
                <w:rFonts w:ascii="Arial" w:cs="Arial" w:eastAsia="Arial" w:hAnsi="Arial"/>
                <w:sz w:val="13"/>
                <w:szCs w:val="13"/>
                <w:color w:val="auto"/>
                <w:w w:val="92"/>
              </w:rPr>
              <w:t>Garcia-Martin Miguel A [Fi] Suotula</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446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Janne K [Fi] (+1)</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60" w:type="dxa"/>
            <w:vAlign w:val="bottom"/>
            <w:vMerge w:val="restart"/>
          </w:tcPr>
          <w:p>
            <w:pPr>
              <w:spacing w:after="0"/>
              <w:rPr>
                <w:sz w:val="20"/>
                <w:szCs w:val="20"/>
                <w:color w:val="auto"/>
              </w:rPr>
            </w:pPr>
            <w:r>
              <w:rPr>
                <w:rFonts w:ascii="Arial" w:cs="Arial" w:eastAsia="Arial" w:hAnsi="Arial"/>
                <w:sz w:val="13"/>
                <w:szCs w:val="13"/>
                <w:color w:val="auto"/>
              </w:rPr>
              <w:t>Content Aggregation Service For Mobile Environment</w:t>
            </w:r>
          </w:p>
        </w:tc>
        <w:tc>
          <w:tcPr>
            <w:tcW w:w="1940" w:type="dxa"/>
            <w:vAlign w:val="bottom"/>
          </w:tcPr>
          <w:p>
            <w:pPr>
              <w:ind w:left="40"/>
              <w:spacing w:after="0"/>
              <w:rPr>
                <w:sz w:val="20"/>
                <w:szCs w:val="20"/>
                <w:color w:val="auto"/>
              </w:rPr>
            </w:pPr>
            <w:r>
              <w:rPr>
                <w:rFonts w:ascii="Arial" w:cs="Arial" w:eastAsia="Arial" w:hAnsi="Arial"/>
                <w:sz w:val="13"/>
                <w:szCs w:val="13"/>
                <w:color w:val="auto"/>
                <w:w w:val="92"/>
              </w:rPr>
              <w:t>Garcia-Martin Miguel A [Fi] Suotula</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446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Janne K [Fi] (+1)</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1"/>
              </w:rPr>
              <w:t>Method, Device, System And Software Product For Providing System Information To</w:t>
            </w:r>
          </w:p>
        </w:tc>
        <w:tc>
          <w:tcPr>
            <w:tcW w:w="1940" w:type="dxa"/>
            <w:vAlign w:val="bottom"/>
          </w:tcPr>
          <w:p>
            <w:pPr>
              <w:ind w:left="40"/>
              <w:spacing w:after="0"/>
              <w:rPr>
                <w:sz w:val="20"/>
                <w:szCs w:val="20"/>
                <w:color w:val="auto"/>
              </w:rPr>
            </w:pPr>
            <w:r>
              <w:rPr>
                <w:rFonts w:ascii="Arial" w:cs="Arial" w:eastAsia="Arial" w:hAnsi="Arial"/>
                <w:sz w:val="13"/>
                <w:szCs w:val="13"/>
                <w:color w:val="auto"/>
                <w:w w:val="93"/>
              </w:rPr>
              <w:t>Hwang Woonhee [Fi] Guyot Olivier</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Enable Packet Switched Handover</w:t>
            </w:r>
          </w:p>
        </w:tc>
        <w:tc>
          <w:tcPr>
            <w:tcW w:w="1940" w:type="dxa"/>
            <w:vAlign w:val="bottom"/>
          </w:tcPr>
          <w:p>
            <w:pPr>
              <w:ind w:left="40"/>
              <w:spacing w:after="0"/>
              <w:rPr>
                <w:sz w:val="20"/>
                <w:szCs w:val="20"/>
                <w:color w:val="auto"/>
              </w:rPr>
            </w:pPr>
            <w:r>
              <w:rPr>
                <w:rFonts w:ascii="Arial" w:cs="Arial" w:eastAsia="Arial" w:hAnsi="Arial"/>
                <w:sz w:val="13"/>
                <w:szCs w:val="13"/>
                <w:color w:val="auto"/>
              </w:rPr>
              <w:t>[Tw] (+1)</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4"/>
              </w:rPr>
              <w:t>System And Method For Informing A Sender Of Content Adaptation And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Poikela Heikki [Fi] Pihlajamaki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Failure Issues</w:t>
            </w:r>
          </w:p>
        </w:tc>
        <w:tc>
          <w:tcPr>
            <w:tcW w:w="1940" w:type="dxa"/>
            <w:vAlign w:val="bottom"/>
          </w:tcPr>
          <w:p>
            <w:pPr>
              <w:ind w:left="40"/>
              <w:spacing w:after="0"/>
              <w:rPr>
                <w:sz w:val="20"/>
                <w:szCs w:val="20"/>
                <w:color w:val="auto"/>
              </w:rPr>
            </w:pPr>
            <w:r>
              <w:rPr>
                <w:rFonts w:ascii="Arial" w:cs="Arial" w:eastAsia="Arial" w:hAnsi="Arial"/>
                <w:sz w:val="13"/>
                <w:szCs w:val="13"/>
                <w:color w:val="auto"/>
              </w:rPr>
              <w:t>Sisko [Fi] (+3)</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4"/>
              </w:rPr>
              <w:t>System And Method For Informing A Sender Of Content Adaptation And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Poikela Heikki [Fi] Pihlajamaki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Failure Issues</w:t>
            </w:r>
          </w:p>
        </w:tc>
        <w:tc>
          <w:tcPr>
            <w:tcW w:w="1940" w:type="dxa"/>
            <w:vAlign w:val="bottom"/>
          </w:tcPr>
          <w:p>
            <w:pPr>
              <w:ind w:left="40"/>
              <w:spacing w:after="0"/>
              <w:rPr>
                <w:sz w:val="20"/>
                <w:szCs w:val="20"/>
                <w:color w:val="auto"/>
              </w:rPr>
            </w:pPr>
            <w:r>
              <w:rPr>
                <w:rFonts w:ascii="Arial" w:cs="Arial" w:eastAsia="Arial" w:hAnsi="Arial"/>
                <w:sz w:val="13"/>
                <w:szCs w:val="13"/>
                <w:color w:val="auto"/>
              </w:rPr>
              <w:t>Sisko [Fi] (+3)</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4"/>
              </w:rPr>
              <w:t>System And Method For Informing A Sender Of Content Adaptation And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Poikela Heikki [Fi] Pihlajamaki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Failure Issues</w:t>
            </w:r>
          </w:p>
        </w:tc>
        <w:tc>
          <w:tcPr>
            <w:tcW w:w="1940" w:type="dxa"/>
            <w:vAlign w:val="bottom"/>
          </w:tcPr>
          <w:p>
            <w:pPr>
              <w:ind w:left="40"/>
              <w:spacing w:after="0"/>
              <w:rPr>
                <w:sz w:val="20"/>
                <w:szCs w:val="20"/>
                <w:color w:val="auto"/>
              </w:rPr>
            </w:pPr>
            <w:r>
              <w:rPr>
                <w:rFonts w:ascii="Arial" w:cs="Arial" w:eastAsia="Arial" w:hAnsi="Arial"/>
                <w:sz w:val="13"/>
                <w:szCs w:val="13"/>
                <w:color w:val="auto"/>
              </w:rPr>
              <w:t>Sisko [Fi] (+3)</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4"/>
              </w:rPr>
              <w:t>System And Method For Informing A Sender Of Content Adaptation And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Poikela Heikki [Fi] Pihlajamaki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Failure Issues</w:t>
            </w:r>
          </w:p>
        </w:tc>
        <w:tc>
          <w:tcPr>
            <w:tcW w:w="1940" w:type="dxa"/>
            <w:vAlign w:val="bottom"/>
          </w:tcPr>
          <w:p>
            <w:pPr>
              <w:ind w:left="40"/>
              <w:spacing w:after="0"/>
              <w:rPr>
                <w:sz w:val="20"/>
                <w:szCs w:val="20"/>
                <w:color w:val="auto"/>
              </w:rPr>
            </w:pPr>
            <w:r>
              <w:rPr>
                <w:rFonts w:ascii="Arial" w:cs="Arial" w:eastAsia="Arial" w:hAnsi="Arial"/>
                <w:sz w:val="13"/>
                <w:szCs w:val="13"/>
                <w:color w:val="auto"/>
              </w:rPr>
              <w:t>Sisko [Fi] (+3)</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4"/>
              </w:rPr>
              <w:t>System And Method For Informing A Sender Of Content Adaptation And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Poikela Heikki [Fi] Pihlajamaki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Failure Issues</w:t>
            </w:r>
          </w:p>
        </w:tc>
        <w:tc>
          <w:tcPr>
            <w:tcW w:w="1940" w:type="dxa"/>
            <w:vAlign w:val="bottom"/>
          </w:tcPr>
          <w:p>
            <w:pPr>
              <w:ind w:left="40"/>
              <w:spacing w:after="0"/>
              <w:rPr>
                <w:sz w:val="20"/>
                <w:szCs w:val="20"/>
                <w:color w:val="auto"/>
              </w:rPr>
            </w:pPr>
            <w:r>
              <w:rPr>
                <w:rFonts w:ascii="Arial" w:cs="Arial" w:eastAsia="Arial" w:hAnsi="Arial"/>
                <w:sz w:val="13"/>
                <w:szCs w:val="13"/>
                <w:color w:val="auto"/>
              </w:rPr>
              <w:t>Sisko [Fi] (+3)</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4"/>
              </w:rPr>
              <w:t>System And Method For Informing A Sender Of Content Adaptation And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Poikela Heikki [Fi] Pihlajamaki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Failure Issues</w:t>
            </w:r>
          </w:p>
        </w:tc>
        <w:tc>
          <w:tcPr>
            <w:tcW w:w="1940" w:type="dxa"/>
            <w:vAlign w:val="bottom"/>
          </w:tcPr>
          <w:p>
            <w:pPr>
              <w:ind w:left="40"/>
              <w:spacing w:after="0"/>
              <w:rPr>
                <w:sz w:val="20"/>
                <w:szCs w:val="20"/>
                <w:color w:val="auto"/>
              </w:rPr>
            </w:pPr>
            <w:r>
              <w:rPr>
                <w:rFonts w:ascii="Arial" w:cs="Arial" w:eastAsia="Arial" w:hAnsi="Arial"/>
                <w:sz w:val="13"/>
                <w:szCs w:val="13"/>
                <w:color w:val="auto"/>
              </w:rPr>
              <w:t>Sisko [Fi] (+3)</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4"/>
              </w:rPr>
              <w:t>System And Method For Informing A Sender Of Content Adaptation And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Poikela Heikki [Fi] Pihlajamaki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Failure Issues</w:t>
            </w:r>
          </w:p>
        </w:tc>
        <w:tc>
          <w:tcPr>
            <w:tcW w:w="1940" w:type="dxa"/>
            <w:vAlign w:val="bottom"/>
          </w:tcPr>
          <w:p>
            <w:pPr>
              <w:ind w:left="40"/>
              <w:spacing w:after="0"/>
              <w:rPr>
                <w:sz w:val="20"/>
                <w:szCs w:val="20"/>
                <w:color w:val="auto"/>
              </w:rPr>
            </w:pPr>
            <w:r>
              <w:rPr>
                <w:rFonts w:ascii="Arial" w:cs="Arial" w:eastAsia="Arial" w:hAnsi="Arial"/>
                <w:sz w:val="13"/>
                <w:szCs w:val="13"/>
                <w:color w:val="auto"/>
              </w:rPr>
              <w:t>Sisko [Fi] (+3)</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4"/>
              </w:rPr>
              <w:t>System And Method For Informing A Sender Of Content Adaptation And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Poikela Heikki [Fi] Pihlajamaki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Failure Issues</w:t>
            </w:r>
          </w:p>
        </w:tc>
        <w:tc>
          <w:tcPr>
            <w:tcW w:w="1940" w:type="dxa"/>
            <w:vAlign w:val="bottom"/>
          </w:tcPr>
          <w:p>
            <w:pPr>
              <w:ind w:left="40"/>
              <w:spacing w:after="0"/>
              <w:rPr>
                <w:sz w:val="20"/>
                <w:szCs w:val="20"/>
                <w:color w:val="auto"/>
              </w:rPr>
            </w:pPr>
            <w:r>
              <w:rPr>
                <w:rFonts w:ascii="Arial" w:cs="Arial" w:eastAsia="Arial" w:hAnsi="Arial"/>
                <w:sz w:val="13"/>
                <w:szCs w:val="13"/>
                <w:color w:val="auto"/>
              </w:rPr>
              <w:t>Sisko [Fi] (+3)</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4"/>
              </w:rPr>
              <w:t>System And Method For Informing A Sender Of Content Adaptation And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Poikela Heikki [Fi] Pihlajamaki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Failure Issues</w:t>
            </w:r>
          </w:p>
        </w:tc>
        <w:tc>
          <w:tcPr>
            <w:tcW w:w="1940" w:type="dxa"/>
            <w:vAlign w:val="bottom"/>
          </w:tcPr>
          <w:p>
            <w:pPr>
              <w:ind w:left="40"/>
              <w:spacing w:after="0"/>
              <w:rPr>
                <w:sz w:val="20"/>
                <w:szCs w:val="20"/>
                <w:color w:val="auto"/>
              </w:rPr>
            </w:pPr>
            <w:r>
              <w:rPr>
                <w:rFonts w:ascii="Arial" w:cs="Arial" w:eastAsia="Arial" w:hAnsi="Arial"/>
                <w:sz w:val="13"/>
                <w:szCs w:val="13"/>
                <w:color w:val="auto"/>
              </w:rPr>
              <w:t>Sisko [Fi] (+3)</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4"/>
              </w:rPr>
              <w:t>System And Method For Informing A Sender Of Content Adaptation And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Poikela Heikki [Fi] Pihlajamaki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Failure Issues</w:t>
            </w:r>
          </w:p>
        </w:tc>
        <w:tc>
          <w:tcPr>
            <w:tcW w:w="1940" w:type="dxa"/>
            <w:vAlign w:val="bottom"/>
          </w:tcPr>
          <w:p>
            <w:pPr>
              <w:ind w:left="40"/>
              <w:spacing w:after="0"/>
              <w:rPr>
                <w:sz w:val="20"/>
                <w:szCs w:val="20"/>
                <w:color w:val="auto"/>
              </w:rPr>
            </w:pPr>
            <w:r>
              <w:rPr>
                <w:rFonts w:ascii="Arial" w:cs="Arial" w:eastAsia="Arial" w:hAnsi="Arial"/>
                <w:sz w:val="13"/>
                <w:szCs w:val="13"/>
                <w:color w:val="auto"/>
              </w:rPr>
              <w:t>Sisko [Fi] (+3)</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6400" w:type="dxa"/>
            <w:vAlign w:val="bottom"/>
            <w:gridSpan w:val="2"/>
          </w:tcPr>
          <w:p>
            <w:pPr>
              <w:spacing w:after="0"/>
              <w:rPr>
                <w:sz w:val="20"/>
                <w:szCs w:val="20"/>
                <w:color w:val="auto"/>
              </w:rPr>
            </w:pPr>
            <w:r>
              <w:rPr>
                <w:rFonts w:ascii="Arial" w:cs="Arial" w:eastAsia="Arial" w:hAnsi="Arial"/>
                <w:sz w:val="13"/>
                <w:szCs w:val="13"/>
                <w:color w:val="auto"/>
                <w:w w:val="94"/>
              </w:rPr>
              <w:t>System And Method To Inform Sender On Adaptation Of Content And On Impossibility Poikela Heikki [Fi] Pihlajamaki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To Send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Sisko [Fi] (+3)</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4"/>
              </w:rPr>
              <w:t>System And Method For Informing A Sender Of Content Adaptation And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Poikela Heikki [Fi] Pihlajamaki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Failure Issues</w:t>
            </w:r>
          </w:p>
        </w:tc>
        <w:tc>
          <w:tcPr>
            <w:tcW w:w="1940" w:type="dxa"/>
            <w:vAlign w:val="bottom"/>
          </w:tcPr>
          <w:p>
            <w:pPr>
              <w:ind w:left="40"/>
              <w:spacing w:after="0"/>
              <w:rPr>
                <w:sz w:val="20"/>
                <w:szCs w:val="20"/>
                <w:color w:val="auto"/>
              </w:rPr>
            </w:pPr>
            <w:r>
              <w:rPr>
                <w:rFonts w:ascii="Arial" w:cs="Arial" w:eastAsia="Arial" w:hAnsi="Arial"/>
                <w:sz w:val="13"/>
                <w:szCs w:val="13"/>
                <w:color w:val="auto"/>
              </w:rPr>
              <w:t>Sisko [Fi] (+3)</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4"/>
              </w:rPr>
              <w:t>System And Method For Informing A Sender Of Content Adaptation And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Poikela Heikki [Fi] Pihlajamaki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Failure Issues</w:t>
            </w:r>
          </w:p>
        </w:tc>
        <w:tc>
          <w:tcPr>
            <w:tcW w:w="1940" w:type="dxa"/>
            <w:vAlign w:val="bottom"/>
          </w:tcPr>
          <w:p>
            <w:pPr>
              <w:ind w:left="40"/>
              <w:spacing w:after="0"/>
              <w:rPr>
                <w:sz w:val="20"/>
                <w:szCs w:val="20"/>
                <w:color w:val="auto"/>
              </w:rPr>
            </w:pPr>
            <w:r>
              <w:rPr>
                <w:rFonts w:ascii="Arial" w:cs="Arial" w:eastAsia="Arial" w:hAnsi="Arial"/>
                <w:sz w:val="13"/>
                <w:szCs w:val="13"/>
                <w:color w:val="auto"/>
              </w:rPr>
              <w:t>Sisko [Fi] (+3)</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4"/>
              </w:rPr>
              <w:t>System And Method For Informing A Sender Of Content Adaptation And Message</w:t>
            </w:r>
          </w:p>
        </w:tc>
        <w:tc>
          <w:tcPr>
            <w:tcW w:w="1940" w:type="dxa"/>
            <w:vAlign w:val="bottom"/>
          </w:tcPr>
          <w:p>
            <w:pPr>
              <w:ind w:left="40"/>
              <w:spacing w:after="0"/>
              <w:rPr>
                <w:sz w:val="20"/>
                <w:szCs w:val="20"/>
                <w:color w:val="auto"/>
              </w:rPr>
            </w:pPr>
            <w:r>
              <w:rPr>
                <w:rFonts w:ascii="Arial" w:cs="Arial" w:eastAsia="Arial" w:hAnsi="Arial"/>
                <w:sz w:val="13"/>
                <w:szCs w:val="13"/>
                <w:color w:val="auto"/>
              </w:rPr>
              <w:t>Poikela Heikki [Fi] Pihlajamaki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Failure Issues</w:t>
            </w:r>
          </w:p>
        </w:tc>
        <w:tc>
          <w:tcPr>
            <w:tcW w:w="1940" w:type="dxa"/>
            <w:vAlign w:val="bottom"/>
          </w:tcPr>
          <w:p>
            <w:pPr>
              <w:ind w:left="40"/>
              <w:spacing w:after="0"/>
              <w:rPr>
                <w:sz w:val="20"/>
                <w:szCs w:val="20"/>
                <w:color w:val="auto"/>
              </w:rPr>
            </w:pPr>
            <w:r>
              <w:rPr>
                <w:rFonts w:ascii="Arial" w:cs="Arial" w:eastAsia="Arial" w:hAnsi="Arial"/>
                <w:sz w:val="13"/>
                <w:szCs w:val="13"/>
                <w:color w:val="auto"/>
              </w:rPr>
              <w:t>Sisko [Fi] (+3)</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vMerge w:val="restart"/>
          </w:tcPr>
          <w:p>
            <w:pPr>
              <w:spacing w:after="0"/>
              <w:rPr>
                <w:sz w:val="20"/>
                <w:szCs w:val="20"/>
                <w:color w:val="auto"/>
              </w:rPr>
            </w:pPr>
            <w:r>
              <w:rPr>
                <w:rFonts w:ascii="Arial" w:cs="Arial" w:eastAsia="Arial" w:hAnsi="Arial"/>
                <w:sz w:val="13"/>
                <w:szCs w:val="13"/>
                <w:color w:val="auto"/>
              </w:rPr>
              <w:t>System And Method For Content Management</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w w:val="99"/>
              </w:rPr>
              <w:t>Lahtiranta Atte [Fi] Berg Jyrki [Fi]</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446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60" w:type="dxa"/>
            <w:vAlign w:val="bottom"/>
            <w:vMerge w:val="restart"/>
          </w:tcPr>
          <w:p>
            <w:pPr>
              <w:spacing w:after="0"/>
              <w:rPr>
                <w:sz w:val="20"/>
                <w:szCs w:val="20"/>
                <w:color w:val="auto"/>
              </w:rPr>
            </w:pPr>
            <w:r>
              <w:rPr>
                <w:rFonts w:ascii="Arial" w:cs="Arial" w:eastAsia="Arial" w:hAnsi="Arial"/>
                <w:sz w:val="13"/>
                <w:szCs w:val="13"/>
                <w:color w:val="auto"/>
                <w:w w:val="90"/>
              </w:rPr>
              <w:t>Apparatus, And Associated Method, For Facilitating Identification For Usable Network</w:t>
            </w:r>
          </w:p>
        </w:tc>
        <w:tc>
          <w:tcPr>
            <w:tcW w:w="1940" w:type="dxa"/>
            <w:vAlign w:val="bottom"/>
          </w:tcPr>
          <w:p>
            <w:pPr>
              <w:ind w:left="40"/>
              <w:spacing w:after="0"/>
              <w:rPr>
                <w:sz w:val="20"/>
                <w:szCs w:val="20"/>
                <w:color w:val="auto"/>
              </w:rPr>
            </w:pPr>
            <w:r>
              <w:rPr>
                <w:rFonts w:ascii="Arial" w:cs="Arial" w:eastAsia="Arial" w:hAnsi="Arial"/>
                <w:sz w:val="13"/>
                <w:szCs w:val="13"/>
                <w:color w:val="auto"/>
              </w:rPr>
              <w:t>Mikko Jaakkola [Fi] Henry</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vMerge w:val="continue"/>
          </w:tcPr>
          <w:p>
            <w:pPr>
              <w:spacing w:after="0"/>
              <w:rPr>
                <w:sz w:val="13"/>
                <w:szCs w:val="13"/>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Havenrinen [Fi]</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2"/>
              </w:rPr>
              <w:t>Apparatus, And Associated Method, For Facilitating Network Scanning By A WLAN</w:t>
            </w:r>
          </w:p>
        </w:tc>
        <w:tc>
          <w:tcPr>
            <w:tcW w:w="1940" w:type="dxa"/>
            <w:vAlign w:val="bottom"/>
          </w:tcPr>
          <w:p>
            <w:pPr>
              <w:ind w:left="40"/>
              <w:spacing w:after="0"/>
              <w:rPr>
                <w:sz w:val="20"/>
                <w:szCs w:val="20"/>
                <w:color w:val="auto"/>
              </w:rPr>
            </w:pPr>
            <w:r>
              <w:rPr>
                <w:rFonts w:ascii="Arial" w:cs="Arial" w:eastAsia="Arial" w:hAnsi="Arial"/>
                <w:sz w:val="13"/>
                <w:szCs w:val="13"/>
                <w:color w:val="auto"/>
              </w:rPr>
              <w:t>Mikko Jaakkola [Fi] Henry</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Terminal Operable In A Multiple-Network WLAN System</w:t>
            </w:r>
          </w:p>
        </w:tc>
        <w:tc>
          <w:tcPr>
            <w:tcW w:w="1940" w:type="dxa"/>
            <w:vAlign w:val="bottom"/>
          </w:tcPr>
          <w:p>
            <w:pPr>
              <w:ind w:left="40"/>
              <w:spacing w:after="0"/>
              <w:rPr>
                <w:sz w:val="20"/>
                <w:szCs w:val="20"/>
                <w:color w:val="auto"/>
              </w:rPr>
            </w:pPr>
            <w:r>
              <w:rPr>
                <w:rFonts w:ascii="Arial" w:cs="Arial" w:eastAsia="Arial" w:hAnsi="Arial"/>
                <w:sz w:val="13"/>
                <w:szCs w:val="13"/>
                <w:color w:val="auto"/>
              </w:rPr>
              <w:t>Havenrinen [Fi]</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2"/>
              </w:rPr>
              <w:t>Apparatus, And Associated Method, For Facilitating Network Scanning By A WLAN</w:t>
            </w:r>
          </w:p>
        </w:tc>
        <w:tc>
          <w:tcPr>
            <w:tcW w:w="1940" w:type="dxa"/>
            <w:vAlign w:val="bottom"/>
          </w:tcPr>
          <w:p>
            <w:pPr>
              <w:ind w:left="40"/>
              <w:spacing w:after="0"/>
              <w:rPr>
                <w:sz w:val="20"/>
                <w:szCs w:val="20"/>
                <w:color w:val="auto"/>
              </w:rPr>
            </w:pPr>
            <w:r>
              <w:rPr>
                <w:rFonts w:ascii="Arial" w:cs="Arial" w:eastAsia="Arial" w:hAnsi="Arial"/>
                <w:sz w:val="13"/>
                <w:szCs w:val="13"/>
                <w:color w:val="auto"/>
              </w:rPr>
              <w:t>Mikko Jaakkola [Fi] Henry</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Terminal Operable In A Multiple-Network WLAN System</w:t>
            </w:r>
          </w:p>
        </w:tc>
        <w:tc>
          <w:tcPr>
            <w:tcW w:w="1940" w:type="dxa"/>
            <w:vAlign w:val="bottom"/>
          </w:tcPr>
          <w:p>
            <w:pPr>
              <w:ind w:left="40"/>
              <w:spacing w:after="0"/>
              <w:rPr>
                <w:sz w:val="20"/>
                <w:szCs w:val="20"/>
                <w:color w:val="auto"/>
              </w:rPr>
            </w:pPr>
            <w:r>
              <w:rPr>
                <w:rFonts w:ascii="Arial" w:cs="Arial" w:eastAsia="Arial" w:hAnsi="Arial"/>
                <w:sz w:val="13"/>
                <w:szCs w:val="13"/>
                <w:color w:val="auto"/>
              </w:rPr>
              <w:t>Havenrinen [Fi]</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Arial" w:cs="Arial" w:eastAsia="Arial" w:hAnsi="Arial"/>
                <w:sz w:val="13"/>
                <w:szCs w:val="13"/>
                <w:color w:val="auto"/>
                <w:w w:val="92"/>
              </w:rPr>
              <w:t>Apparatus, And Associated Method, For Facilitating Network Scanning By A WLAN</w:t>
            </w:r>
          </w:p>
        </w:tc>
        <w:tc>
          <w:tcPr>
            <w:tcW w:w="1940" w:type="dxa"/>
            <w:vAlign w:val="bottom"/>
          </w:tcPr>
          <w:p>
            <w:pPr>
              <w:ind w:left="40"/>
              <w:spacing w:after="0"/>
              <w:rPr>
                <w:sz w:val="20"/>
                <w:szCs w:val="20"/>
                <w:color w:val="auto"/>
              </w:rPr>
            </w:pPr>
            <w:r>
              <w:rPr>
                <w:rFonts w:ascii="Arial" w:cs="Arial" w:eastAsia="Arial" w:hAnsi="Arial"/>
                <w:sz w:val="13"/>
                <w:szCs w:val="13"/>
                <w:color w:val="auto"/>
              </w:rPr>
              <w:t>Mikko Jaakkola [Fi] Henry</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20"/>
                <w:szCs w:val="20"/>
                <w:color w:val="auto"/>
              </w:rPr>
            </w:pPr>
            <w:r>
              <w:rPr>
                <w:rFonts w:ascii="Arial" w:cs="Arial" w:eastAsia="Arial" w:hAnsi="Arial"/>
                <w:sz w:val="13"/>
                <w:szCs w:val="13"/>
                <w:color w:val="auto"/>
              </w:rPr>
              <w:t>Terminal Operable In A Multiple-Network WLAN System</w:t>
            </w:r>
          </w:p>
        </w:tc>
        <w:tc>
          <w:tcPr>
            <w:tcW w:w="1940" w:type="dxa"/>
            <w:vAlign w:val="bottom"/>
          </w:tcPr>
          <w:p>
            <w:pPr>
              <w:ind w:left="40"/>
              <w:spacing w:after="0"/>
              <w:rPr>
                <w:sz w:val="20"/>
                <w:szCs w:val="20"/>
                <w:color w:val="auto"/>
              </w:rPr>
            </w:pPr>
            <w:r>
              <w:rPr>
                <w:rFonts w:ascii="Arial" w:cs="Arial" w:eastAsia="Arial" w:hAnsi="Arial"/>
                <w:sz w:val="13"/>
                <w:szCs w:val="13"/>
                <w:color w:val="auto"/>
              </w:rPr>
              <w:t>Havenrinen [Fi]</w:t>
            </w:r>
          </w:p>
        </w:tc>
        <w:tc>
          <w:tcPr>
            <w:tcW w:w="48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4460" w:type="dxa"/>
            <w:vAlign w:val="bottom"/>
            <w:vMerge w:val="restart"/>
          </w:tcPr>
          <w:p>
            <w:pPr>
              <w:spacing w:after="0"/>
              <w:rPr>
                <w:sz w:val="20"/>
                <w:szCs w:val="20"/>
                <w:color w:val="auto"/>
              </w:rPr>
            </w:pPr>
            <w:r>
              <w:rPr>
                <w:rFonts w:ascii="Arial" w:cs="Arial" w:eastAsia="Arial" w:hAnsi="Arial"/>
                <w:sz w:val="13"/>
                <w:szCs w:val="13"/>
                <w:color w:val="auto"/>
              </w:rPr>
              <w:t>System For Geographically Distributed Virtual Routing</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David Asnis James [Us]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446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60" w:type="dxa"/>
            <w:vAlign w:val="bottom"/>
            <w:vMerge w:val="restart"/>
          </w:tcPr>
          <w:p>
            <w:pPr>
              <w:spacing w:after="0"/>
              <w:rPr>
                <w:sz w:val="20"/>
                <w:szCs w:val="20"/>
                <w:color w:val="auto"/>
              </w:rPr>
            </w:pPr>
            <w:r>
              <w:rPr>
                <w:rFonts w:ascii="Arial" w:cs="Arial" w:eastAsia="Arial" w:hAnsi="Arial"/>
                <w:sz w:val="13"/>
                <w:szCs w:val="13"/>
                <w:color w:val="auto"/>
              </w:rPr>
              <w:t>System For Geographically Distributed Virtual Routing</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David Asnis James [Us]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446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60" w:type="dxa"/>
            <w:vAlign w:val="bottom"/>
            <w:vMerge w:val="restart"/>
          </w:tcPr>
          <w:p>
            <w:pPr>
              <w:spacing w:after="0"/>
              <w:rPr>
                <w:sz w:val="20"/>
                <w:szCs w:val="20"/>
                <w:color w:val="auto"/>
              </w:rPr>
            </w:pPr>
            <w:r>
              <w:rPr>
                <w:rFonts w:ascii="Arial" w:cs="Arial" w:eastAsia="Arial" w:hAnsi="Arial"/>
                <w:sz w:val="13"/>
                <w:szCs w:val="13"/>
                <w:color w:val="auto"/>
              </w:rPr>
              <w:t>System For Geographically Distributed Virtual Routing</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David Asnis James [Us]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446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60" w:type="dxa"/>
            <w:vAlign w:val="bottom"/>
            <w:vMerge w:val="restart"/>
          </w:tcPr>
          <w:p>
            <w:pPr>
              <w:spacing w:after="0"/>
              <w:rPr>
                <w:sz w:val="20"/>
                <w:szCs w:val="20"/>
                <w:color w:val="auto"/>
              </w:rPr>
            </w:pPr>
            <w:r>
              <w:rPr>
                <w:rFonts w:ascii="Arial" w:cs="Arial" w:eastAsia="Arial" w:hAnsi="Arial"/>
                <w:sz w:val="13"/>
                <w:szCs w:val="13"/>
                <w:color w:val="auto"/>
              </w:rPr>
              <w:t>System For Geographically Distributed Virtual Routing</w:t>
            </w: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David Asnis James [Us]</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446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60" w:type="dxa"/>
            <w:vAlign w:val="bottom"/>
            <w:vMerge w:val="restart"/>
          </w:tcPr>
          <w:p>
            <w:pPr>
              <w:spacing w:after="0"/>
              <w:rPr>
                <w:sz w:val="20"/>
                <w:szCs w:val="20"/>
                <w:color w:val="auto"/>
              </w:rPr>
            </w:pPr>
            <w:r>
              <w:rPr>
                <w:rFonts w:ascii="Arial" w:cs="Arial" w:eastAsia="Arial" w:hAnsi="Arial"/>
                <w:sz w:val="13"/>
                <w:szCs w:val="13"/>
                <w:color w:val="auto"/>
              </w:rPr>
              <w:t>Techniques For The Utilization Of Spare Bandwidth</w:t>
            </w:r>
          </w:p>
        </w:tc>
        <w:tc>
          <w:tcPr>
            <w:tcW w:w="1940" w:type="dxa"/>
            <w:vAlign w:val="bottom"/>
          </w:tcPr>
          <w:p>
            <w:pPr>
              <w:ind w:left="40"/>
              <w:spacing w:after="0"/>
              <w:rPr>
                <w:sz w:val="20"/>
                <w:szCs w:val="20"/>
                <w:color w:val="auto"/>
              </w:rPr>
            </w:pPr>
            <w:r>
              <w:rPr>
                <w:rFonts w:ascii="Arial" w:cs="Arial" w:eastAsia="Arial" w:hAnsi="Arial"/>
                <w:sz w:val="13"/>
                <w:szCs w:val="13"/>
                <w:color w:val="auto"/>
              </w:rPr>
              <w:t>Harri Muller Dominique Vermola</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446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[Fi]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4460" w:type="dxa"/>
            <w:vAlign w:val="bottom"/>
            <w:vMerge w:val="restart"/>
          </w:tcPr>
          <w:p>
            <w:pPr>
              <w:spacing w:after="0"/>
              <w:rPr>
                <w:sz w:val="20"/>
                <w:szCs w:val="20"/>
                <w:color w:val="auto"/>
              </w:rPr>
            </w:pPr>
            <w:r>
              <w:rPr>
                <w:rFonts w:ascii="Arial" w:cs="Arial" w:eastAsia="Arial" w:hAnsi="Arial"/>
                <w:sz w:val="13"/>
                <w:szCs w:val="13"/>
                <w:color w:val="auto"/>
              </w:rPr>
              <w:t>Techniques For The Utilization Of Spare Bandwidth</w:t>
            </w:r>
          </w:p>
        </w:tc>
        <w:tc>
          <w:tcPr>
            <w:tcW w:w="1940" w:type="dxa"/>
            <w:vAlign w:val="bottom"/>
          </w:tcPr>
          <w:p>
            <w:pPr>
              <w:ind w:left="40"/>
              <w:spacing w:after="0"/>
              <w:rPr>
                <w:sz w:val="20"/>
                <w:szCs w:val="20"/>
                <w:color w:val="auto"/>
              </w:rPr>
            </w:pPr>
            <w:r>
              <w:rPr>
                <w:rFonts w:ascii="Arial" w:cs="Arial" w:eastAsia="Arial" w:hAnsi="Arial"/>
                <w:sz w:val="13"/>
                <w:szCs w:val="13"/>
                <w:color w:val="auto"/>
              </w:rPr>
              <w:t>Harri Muller Dominique Vermola</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4460" w:type="dxa"/>
            <w:vAlign w:val="bottom"/>
            <w:vMerge w:val="continue"/>
          </w:tcPr>
          <w:p>
            <w:pPr>
              <w:spacing w:after="0"/>
              <w:rPr>
                <w:sz w:val="8"/>
                <w:szCs w:val="8"/>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color w:val="auto"/>
              </w:rPr>
              <w:t>[Fi]</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rPr>
                <w:sz w:val="20"/>
                <w:szCs w:val="20"/>
                <w:color w:val="auto"/>
              </w:rPr>
            </w:pPr>
            <w:r>
              <w:rPr>
                <w:rFonts w:ascii="Arial" w:cs="Arial" w:eastAsia="Arial" w:hAnsi="Arial"/>
                <w:sz w:val="13"/>
                <w:szCs w:val="13"/>
                <w:color w:val="auto"/>
              </w:rPr>
              <w:t>Techniques For The Utilization Of Spare Bandwidth</w:t>
            </w:r>
          </w:p>
        </w:tc>
        <w:tc>
          <w:tcPr>
            <w:tcW w:w="1940" w:type="dxa"/>
            <w:vAlign w:val="bottom"/>
          </w:tcPr>
          <w:p>
            <w:pPr>
              <w:ind w:left="40"/>
              <w:spacing w:after="0"/>
              <w:rPr>
                <w:sz w:val="20"/>
                <w:szCs w:val="20"/>
                <w:color w:val="auto"/>
              </w:rPr>
            </w:pPr>
            <w:r>
              <w:rPr>
                <w:rFonts w:ascii="Arial" w:cs="Arial" w:eastAsia="Arial" w:hAnsi="Arial"/>
                <w:sz w:val="13"/>
                <w:szCs w:val="13"/>
                <w:color w:val="auto"/>
              </w:rPr>
              <w:t>Harri Muller Dominique Vermola</w:t>
            </w:r>
          </w:p>
        </w:tc>
        <w:tc>
          <w:tcPr>
            <w:tcW w:w="48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-8582025</wp:posOffset>
            </wp:positionV>
            <wp:extent cx="7246620" cy="2571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-8067675</wp:posOffset>
            </wp:positionV>
            <wp:extent cx="7246620" cy="2571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-7553325</wp:posOffset>
            </wp:positionV>
            <wp:extent cx="7246620" cy="2571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-7038340</wp:posOffset>
            </wp:positionV>
            <wp:extent cx="7246620" cy="2571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-6523990</wp:posOffset>
            </wp:positionV>
            <wp:extent cx="7246620" cy="2571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-6009640</wp:posOffset>
            </wp:positionV>
            <wp:extent cx="7246620" cy="2571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-5494655</wp:posOffset>
            </wp:positionV>
            <wp:extent cx="7246620" cy="2571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-4980305</wp:posOffset>
            </wp:positionV>
            <wp:extent cx="7246620" cy="2571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-4465955</wp:posOffset>
            </wp:positionV>
            <wp:extent cx="7246620" cy="2571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-3950970</wp:posOffset>
            </wp:positionV>
            <wp:extent cx="7246620" cy="2571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-3436620</wp:posOffset>
            </wp:positionV>
            <wp:extent cx="7246620" cy="2571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-2922270</wp:posOffset>
            </wp:positionV>
            <wp:extent cx="7246620" cy="2571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-2407285</wp:posOffset>
            </wp:positionV>
            <wp:extent cx="7246620" cy="2571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-1892935</wp:posOffset>
            </wp:positionV>
            <wp:extent cx="7246620" cy="2571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-1378585</wp:posOffset>
            </wp:positionV>
            <wp:extent cx="7246620" cy="2571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-864235</wp:posOffset>
            </wp:positionV>
            <wp:extent cx="7246620" cy="2571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-349250</wp:posOffset>
            </wp:positionV>
            <wp:extent cx="7246620" cy="2571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ectPr>
          <w:pgSz w:w="11900" w:h="16838" w:orient="portrait"/>
          <w:cols w:equalWidth="0" w:num="3">
            <w:col w:w="3340" w:space="140"/>
            <w:col w:w="860" w:space="100"/>
            <w:col w:w="6880"/>
          </w:cols>
          <w:pgMar w:left="280" w:top="111" w:right="299" w:bottom="0" w:gutter="0" w:footer="0" w:header="0"/>
          <w:type w:val="continuous"/>
        </w:sectPr>
      </w:pPr>
    </w:p>
    <w:bookmarkStart w:id="108" w:name="page109"/>
    <w:bookmarkEnd w:id="108"/>
    <w:tbl>
      <w:tblPr>
        <w:tblLayout w:type="fixed"/>
        <w:tblInd w:w="140" w:type="dxa"/>
        <w:tblCellMar>
          <w:top w:w="0" w:type="dxa"/>
          <w:left w:w="0" w:type="dxa"/>
          <w:bottom w:w="0" w:type="dxa"/>
          <w:right w:w="0" w:type="dxa"/>
        </w:tblCellMar>
      </w:tblPr>
      <w:tr>
        <w:trPr>
          <w:trHeight w:val="149"/>
        </w:trPr>
        <w:tc>
          <w:tcPr>
            <w:tcW w:w="420" w:type="dxa"/>
            <w:vAlign w:val="bottom"/>
          </w:tcPr>
          <w:p>
            <w:pPr>
              <w:spacing w:after="0"/>
              <w:rPr>
                <w:sz w:val="20"/>
                <w:szCs w:val="20"/>
                <w:color w:val="auto"/>
              </w:rPr>
            </w:pPr>
            <w:r>
              <w:rPr>
                <w:rFonts w:ascii="Arial" w:cs="Arial" w:eastAsia="Arial" w:hAnsi="Arial"/>
                <w:sz w:val="13"/>
                <w:szCs w:val="13"/>
                <w:color w:val="auto"/>
              </w:rPr>
              <w:t>US01</w:t>
            </w:r>
          </w:p>
        </w:tc>
        <w:tc>
          <w:tcPr>
            <w:tcW w:w="860" w:type="dxa"/>
            <w:vAlign w:val="bottom"/>
          </w:tcPr>
          <w:p>
            <w:pPr>
              <w:jc w:val="center"/>
              <w:ind w:left="84"/>
              <w:spacing w:after="0"/>
              <w:rPr>
                <w:sz w:val="20"/>
                <w:szCs w:val="20"/>
                <w:color w:val="auto"/>
              </w:rPr>
            </w:pPr>
            <w:r>
              <w:rPr>
                <w:rFonts w:ascii="Arial" w:cs="Arial" w:eastAsia="Arial" w:hAnsi="Arial"/>
                <w:sz w:val="13"/>
                <w:szCs w:val="13"/>
                <w:color w:val="auto"/>
                <w:w w:val="89"/>
              </w:rPr>
              <w:t>Infrastructure,</w:t>
            </w:r>
          </w:p>
        </w:tc>
      </w:tr>
      <w:tr>
        <w:trPr>
          <w:trHeight w:val="135"/>
        </w:trPr>
        <w:tc>
          <w:tcPr>
            <w:tcW w:w="420" w:type="dxa"/>
            <w:vAlign w:val="bottom"/>
          </w:tcPr>
          <w:p>
            <w:pPr>
              <w:spacing w:after="0"/>
              <w:rPr>
                <w:sz w:val="11"/>
                <w:szCs w:val="11"/>
                <w:color w:val="auto"/>
              </w:rPr>
            </w:pPr>
          </w:p>
        </w:tc>
        <w:tc>
          <w:tcPr>
            <w:tcW w:w="860" w:type="dxa"/>
            <w:vAlign w:val="bottom"/>
          </w:tcPr>
          <w:p>
            <w:pPr>
              <w:jc w:val="center"/>
              <w:ind w:left="84"/>
              <w:spacing w:after="0" w:line="135" w:lineRule="exact"/>
              <w:rPr>
                <w:sz w:val="20"/>
                <w:szCs w:val="20"/>
                <w:color w:val="auto"/>
              </w:rPr>
            </w:pPr>
            <w:r>
              <w:rPr>
                <w:rFonts w:ascii="Arial" w:cs="Arial" w:eastAsia="Arial" w:hAnsi="Arial"/>
                <w:sz w:val="13"/>
                <w:szCs w:val="13"/>
                <w:color w:val="auto"/>
                <w:w w:val="95"/>
              </w:rPr>
              <w:t>Inc.</w:t>
            </w:r>
          </w:p>
        </w:tc>
      </w:tr>
      <w:tr>
        <w:trPr>
          <w:trHeight w:val="78"/>
        </w:trPr>
        <w:tc>
          <w:tcPr>
            <w:tcW w:w="420" w:type="dxa"/>
            <w:vAlign w:val="bottom"/>
          </w:tcPr>
          <w:p>
            <w:pPr>
              <w:spacing w:after="0"/>
              <w:rPr>
                <w:sz w:val="6"/>
                <w:szCs w:val="6"/>
                <w:color w:val="auto"/>
              </w:rPr>
            </w:pPr>
          </w:p>
        </w:tc>
        <w:tc>
          <w:tcPr>
            <w:tcW w:w="860" w:type="dxa"/>
            <w:vAlign w:val="bottom"/>
          </w:tcPr>
          <w:p>
            <w:pPr>
              <w:jc w:val="center"/>
              <w:ind w:left="64"/>
              <w:spacing w:after="0" w:line="78" w:lineRule="exact"/>
              <w:rPr>
                <w:sz w:val="20"/>
                <w:szCs w:val="20"/>
                <w:color w:val="auto"/>
              </w:rPr>
            </w:pPr>
            <w:r>
              <w:rPr>
                <w:rFonts w:ascii="Arial" w:cs="Arial" w:eastAsia="Arial" w:hAnsi="Arial"/>
                <w:sz w:val="8"/>
                <w:szCs w:val="8"/>
                <w:color w:val="auto"/>
              </w:rPr>
              <w:t>Vringo</w:t>
            </w:r>
          </w:p>
        </w:tc>
      </w:tr>
    </w:tbl>
    <w:p>
      <w:pPr>
        <w:spacing w:after="0" w:line="20" w:lineRule="exact"/>
        <w:rPr>
          <w:sz w:val="20"/>
          <w:szCs w:val="20"/>
          <w:color w:val="auto"/>
        </w:rPr>
      </w:pPr>
      <w:r>
        <w:rPr>
          <w:sz w:val="20"/>
          <w:szCs w:val="20"/>
          <w:color w:val="auto"/>
        </w:rPr>
        <w:br w:type="column"/>
      </w:r>
    </w:p>
    <w:p>
      <w:pPr>
        <w:spacing w:after="0"/>
        <w:tabs>
          <w:tab w:leader="none" w:pos="1900" w:val="left"/>
        </w:tabs>
        <w:rPr>
          <w:sz w:val="20"/>
          <w:szCs w:val="20"/>
          <w:color w:val="auto"/>
        </w:rPr>
      </w:pPr>
      <w:r>
        <w:rPr>
          <w:rFonts w:ascii="Arial" w:cs="Arial" w:eastAsia="Arial" w:hAnsi="Arial"/>
          <w:sz w:val="11"/>
          <w:szCs w:val="11"/>
          <w:color w:val="auto"/>
        </w:rPr>
        <w:t>[Fi]</w:t>
      </w:r>
      <w:r>
        <w:rPr>
          <w:sz w:val="20"/>
          <w:szCs w:val="20"/>
          <w:color w:val="auto"/>
        </w:rPr>
        <w:tab/>
      </w:r>
      <w:r>
        <w:rPr>
          <w:rFonts w:ascii="Arial" w:cs="Arial" w:eastAsia="Arial" w:hAnsi="Arial"/>
          <w:sz w:val="11"/>
          <w:szCs w:val="11"/>
          <w:color w:val="auto"/>
        </w:rPr>
        <w:t>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-5696585</wp:posOffset>
            </wp:positionH>
            <wp:positionV relativeFrom="paragraph">
              <wp:posOffset>100330</wp:posOffset>
            </wp:positionV>
            <wp:extent cx="7246620" cy="2571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220" w:space="720"/>
            <w:col w:w="2380"/>
          </w:cols>
          <w:pgMar w:left="280" w:top="111" w:right="299" w:bottom="0" w:gutter="0" w:footer="0" w:header="0"/>
        </w:sectPr>
      </w:pPr>
    </w:p>
    <w:tbl>
      <w:tblPr>
        <w:tblLayout w:type="fixed"/>
        <w:tblInd w:w="0" w:type="dxa"/>
        <w:tblCellMar>
          <w:top w:w="0" w:type="dxa"/>
          <w:left w:w="0" w:type="dxa"/>
          <w:bottom w:w="0" w:type="dxa"/>
          <w:right w:w="0" w:type="dxa"/>
        </w:tblCellMar>
      </w:tblPr>
      <w:tr>
        <w:trPr>
          <w:trHeight w:val="180"/>
        </w:trPr>
        <w:tc>
          <w:tcPr>
            <w:tcW w:w="640" w:type="dxa"/>
            <w:vAlign w:val="bottom"/>
          </w:tcPr>
          <w:p>
            <w:pPr>
              <w:jc w:val="center"/>
              <w:spacing w:after="0"/>
              <w:rPr>
                <w:sz w:val="20"/>
                <w:szCs w:val="20"/>
                <w:color w:val="auto"/>
              </w:rPr>
            </w:pPr>
            <w:r>
              <w:rPr>
                <w:rFonts w:ascii="Arial" w:cs="Arial" w:eastAsia="Arial" w:hAnsi="Arial"/>
                <w:sz w:val="13"/>
                <w:szCs w:val="13"/>
                <w:color w:val="auto"/>
                <w:w w:val="94"/>
              </w:rPr>
              <w:t>A45410VI-</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A45410VI-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A45410VI-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IN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IN01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A45410VI-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9"/>
              </w:rPr>
              <w:t>KR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KR01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A45410VI-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A4561VI-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30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A4561VI-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30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US02</w:t>
            </w:r>
          </w:p>
        </w:tc>
        <w:tc>
          <w:tcPr>
            <w:tcW w:w="8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A46645VI-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A46645VI-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A46841VI-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AP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AP01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A46841VI-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A46841VI-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A46841VI-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IN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IN01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A46841VI-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JP01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A46841VI-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9"/>
              </w:rPr>
              <w:t>KR</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KR01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A46841VI-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PK</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PK01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A46841VI-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8"/>
              </w:rPr>
              <w:t>TW</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TW01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A46841VI-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A51553VI-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A52014VI-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A52069VI-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A52716VI-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A53394VI-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A53394VI-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A53394VI-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US02</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A54228VI-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A56536VI-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17"/>
              <w:spacing w:after="0" w:line="123" w:lineRule="exact"/>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CN01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A56536VI-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EP01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A56536VI-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91"/>
              </w:rPr>
              <w:t>IN</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4"/>
              </w:rPr>
              <w:t>IN01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A56536VI-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A56542VI-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A56542VI-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color w:val="auto"/>
                <w:w w:val="89"/>
              </w:rPr>
              <w:t>Infrastructure,</w:t>
            </w:r>
          </w:p>
        </w:tc>
        <w:tc>
          <w:tcPr>
            <w:tcW w:w="300" w:type="dxa"/>
            <w:vAlign w:val="bottom"/>
          </w:tcPr>
          <w:p>
            <w:pPr>
              <w:jc w:val="center"/>
              <w:ind w:left="37"/>
              <w:spacing w:after="0" w:line="123"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148"/>
        </w:trPr>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2"/>
              </w:rPr>
              <w:t>US02</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A6390VI-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30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5"/>
              </w:rPr>
              <w:t>A6815VI-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30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40" w:type="dxa"/>
            <w:vAlign w:val="bottom"/>
          </w:tcPr>
          <w:p>
            <w:pPr>
              <w:jc w:val="center"/>
              <w:spacing w:after="0" w:line="145" w:lineRule="exact"/>
              <w:rPr>
                <w:sz w:val="20"/>
                <w:szCs w:val="20"/>
                <w:color w:val="auto"/>
              </w:rPr>
            </w:pPr>
            <w:r>
              <w:rPr>
                <w:rFonts w:ascii="Arial" w:cs="Arial" w:eastAsia="Arial" w:hAnsi="Arial"/>
                <w:sz w:val="13"/>
                <w:szCs w:val="13"/>
                <w:color w:val="auto"/>
                <w:w w:val="95"/>
              </w:rPr>
              <w:t>A7158VI-</w:t>
            </w:r>
          </w:p>
        </w:tc>
        <w:tc>
          <w:tcPr>
            <w:tcW w:w="880" w:type="dxa"/>
            <w:vAlign w:val="bottom"/>
          </w:tcPr>
          <w:p>
            <w:pPr>
              <w:jc w:val="center"/>
              <w:spacing w:after="0"/>
              <w:rPr>
                <w:sz w:val="20"/>
                <w:szCs w:val="20"/>
                <w:color w:val="auto"/>
              </w:rPr>
            </w:pPr>
            <w:r>
              <w:rPr>
                <w:rFonts w:ascii="Arial" w:cs="Arial" w:eastAsia="Arial" w:hAnsi="Arial"/>
                <w:sz w:val="13"/>
                <w:szCs w:val="13"/>
                <w:color w:val="auto"/>
                <w:w w:val="90"/>
              </w:rPr>
              <w:t>Vringo</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26-Oct-05</w:t>
      </w:r>
    </w:p>
    <w:p>
      <w:pPr>
        <w:spacing w:after="0" w:line="26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2"/>
          <w:szCs w:val="12"/>
          <w:color w:val="auto"/>
        </w:rPr>
        <w:t>Pending</w:t>
      </w:r>
      <w:r>
        <w:rPr>
          <w:sz w:val="20"/>
          <w:szCs w:val="20"/>
          <w:color w:val="auto"/>
        </w:rPr>
        <w:tab/>
      </w:r>
      <w:r>
        <w:rPr>
          <w:rFonts w:ascii="Arial" w:cs="Arial" w:eastAsia="Arial" w:hAnsi="Arial"/>
          <w:sz w:val="12"/>
          <w:szCs w:val="12"/>
          <w:color w:val="auto"/>
        </w:rPr>
        <w:t>26-Oct-05</w:t>
      </w:r>
    </w:p>
    <w:p>
      <w:pPr>
        <w:spacing w:after="0" w:line="267"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15-May-07</w:t>
      </w:r>
    </w:p>
    <w:p>
      <w:pPr>
        <w:spacing w:after="0" w:line="279"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26-Aug-05</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1-Nov-04</w:t>
      </w:r>
    </w:p>
    <w:p>
      <w:pPr>
        <w:spacing w:after="0" w:line="256"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29-Dec-00</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24-Jun-05</w:t>
      </w:r>
    </w:p>
    <w:p>
      <w:pPr>
        <w:spacing w:after="0" w:line="279"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2"/>
          <w:szCs w:val="12"/>
          <w:color w:val="auto"/>
        </w:rPr>
        <w:t>Pending</w:t>
      </w:r>
      <w:r>
        <w:rPr>
          <w:sz w:val="20"/>
          <w:szCs w:val="20"/>
          <w:color w:val="auto"/>
        </w:rPr>
        <w:tab/>
      </w:r>
      <w:r>
        <w:rPr>
          <w:rFonts w:ascii="Arial" w:cs="Arial" w:eastAsia="Arial" w:hAnsi="Arial"/>
          <w:sz w:val="12"/>
          <w:szCs w:val="12"/>
          <w:color w:val="auto"/>
        </w:rPr>
        <w:t>12-Apr-06</w:t>
      </w:r>
    </w:p>
    <w:p>
      <w:pPr>
        <w:spacing w:after="0" w:line="267"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12-Apr-06</w:t>
      </w:r>
    </w:p>
    <w:p>
      <w:pPr>
        <w:spacing w:after="0" w:line="26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29-Sep-06</w:t>
      </w: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29-Sep-06</w:t>
      </w: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29-Sep-06</w:t>
      </w:r>
    </w:p>
    <w:p>
      <w:pPr>
        <w:spacing w:after="0" w:line="279"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2"/>
          <w:szCs w:val="12"/>
          <w:color w:val="auto"/>
        </w:rPr>
        <w:t>Pending</w:t>
      </w:r>
      <w:r>
        <w:rPr>
          <w:sz w:val="20"/>
          <w:szCs w:val="20"/>
          <w:color w:val="auto"/>
        </w:rPr>
        <w:tab/>
      </w:r>
      <w:r>
        <w:rPr>
          <w:rFonts w:ascii="Arial" w:cs="Arial" w:eastAsia="Arial" w:hAnsi="Arial"/>
          <w:sz w:val="12"/>
          <w:szCs w:val="12"/>
          <w:color w:val="auto"/>
        </w:rPr>
        <w:t>4-Mar-08</w:t>
      </w:r>
    </w:p>
    <w:p>
      <w:pPr>
        <w:spacing w:after="0" w:line="267" w:lineRule="exact"/>
        <w:rPr>
          <w:sz w:val="20"/>
          <w:szCs w:val="20"/>
          <w:color w:val="auto"/>
        </w:rPr>
      </w:pPr>
    </w:p>
    <w:p>
      <w:pPr>
        <w:spacing w:after="0"/>
        <w:tabs>
          <w:tab w:leader="none" w:pos="68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29-Sep-06</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29-Sep-06</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Pending</w:t>
      </w:r>
    </w:p>
    <w:p>
      <w:pPr>
        <w:spacing w:after="0" w:line="256"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29-Sep-06</w:t>
      </w: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28-Sep-06</w:t>
      </w:r>
    </w:p>
    <w:p>
      <w:pPr>
        <w:spacing w:after="0" w:line="279"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2"/>
          <w:szCs w:val="12"/>
          <w:color w:val="auto"/>
        </w:rPr>
        <w:t>Pending</w:t>
      </w:r>
      <w:r>
        <w:rPr>
          <w:sz w:val="20"/>
          <w:szCs w:val="20"/>
          <w:color w:val="auto"/>
        </w:rPr>
        <w:tab/>
      </w:r>
      <w:r>
        <w:rPr>
          <w:rFonts w:ascii="Arial" w:cs="Arial" w:eastAsia="Arial" w:hAnsi="Arial"/>
          <w:sz w:val="12"/>
          <w:szCs w:val="12"/>
          <w:color w:val="auto"/>
        </w:rPr>
        <w:t>30-Mar-06</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3"/>
          <w:szCs w:val="13"/>
          <w:color w:val="auto"/>
        </w:rPr>
        <w:t>Pending</w:t>
      </w:r>
      <w:r>
        <w:rPr>
          <w:sz w:val="20"/>
          <w:szCs w:val="20"/>
          <w:color w:val="auto"/>
        </w:rPr>
        <w:tab/>
      </w:r>
      <w:r>
        <w:rPr>
          <w:rFonts w:ascii="Arial" w:cs="Arial" w:eastAsia="Arial" w:hAnsi="Arial"/>
          <w:sz w:val="13"/>
          <w:szCs w:val="13"/>
          <w:color w:val="auto"/>
        </w:rPr>
        <w:t>5-Apr-07</w:t>
      </w:r>
    </w:p>
    <w:p>
      <w:pPr>
        <w:spacing w:after="0" w:line="256"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13-Dec-06</w:t>
      </w:r>
    </w:p>
    <w:p>
      <w:pPr>
        <w:spacing w:after="0" w:line="279"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23-Mar-07</w:t>
      </w:r>
    </w:p>
    <w:p>
      <w:pPr>
        <w:spacing w:after="0" w:line="267" w:lineRule="exact"/>
        <w:rPr>
          <w:sz w:val="20"/>
          <w:szCs w:val="20"/>
          <w:color w:val="auto"/>
        </w:rPr>
      </w:pPr>
    </w:p>
    <w:p>
      <w:pPr>
        <w:spacing w:after="0"/>
        <w:tabs>
          <w:tab w:leader="none" w:pos="68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22-Jun-07</w:t>
      </w: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27-Jun-07</w:t>
      </w: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13-Sep-12</w:t>
      </w:r>
    </w:p>
    <w:p>
      <w:pPr>
        <w:spacing w:after="0" w:line="279" w:lineRule="exact"/>
        <w:rPr>
          <w:sz w:val="20"/>
          <w:szCs w:val="20"/>
          <w:color w:val="auto"/>
        </w:rPr>
      </w:pPr>
    </w:p>
    <w:p>
      <w:pPr>
        <w:spacing w:after="0"/>
        <w:tabs>
          <w:tab w:leader="none" w:pos="66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22-Dec-06</w:t>
      </w:r>
    </w:p>
    <w:p>
      <w:pPr>
        <w:spacing w:after="0" w:line="279"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color w:val="auto"/>
        </w:rPr>
        <w:t>Pending</w:t>
      </w:r>
      <w:r>
        <w:rPr>
          <w:sz w:val="20"/>
          <w:szCs w:val="20"/>
          <w:color w:val="auto"/>
        </w:rPr>
        <w:tab/>
      </w:r>
      <w:r>
        <w:rPr>
          <w:rFonts w:ascii="Arial" w:cs="Arial" w:eastAsia="Arial" w:hAnsi="Arial"/>
          <w:sz w:val="12"/>
          <w:szCs w:val="12"/>
          <w:color w:val="auto"/>
        </w:rPr>
        <w:t>31-Mar-08</w:t>
      </w:r>
    </w:p>
    <w:p>
      <w:pPr>
        <w:spacing w:after="0" w:line="267"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2"/>
          <w:szCs w:val="12"/>
          <w:color w:val="auto"/>
        </w:rPr>
        <w:t>Pending</w:t>
      </w:r>
      <w:r>
        <w:rPr>
          <w:sz w:val="20"/>
          <w:szCs w:val="20"/>
          <w:color w:val="auto"/>
        </w:rPr>
        <w:tab/>
      </w:r>
      <w:r>
        <w:rPr>
          <w:rFonts w:ascii="Arial" w:cs="Arial" w:eastAsia="Arial" w:hAnsi="Arial"/>
          <w:sz w:val="12"/>
          <w:szCs w:val="12"/>
          <w:color w:val="auto"/>
        </w:rPr>
        <w:t>31-Mar-08</w:t>
      </w:r>
    </w:p>
    <w:p>
      <w:pPr>
        <w:spacing w:after="0" w:line="267"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3"/>
          <w:szCs w:val="13"/>
          <w:color w:val="auto"/>
        </w:rPr>
        <w:t>Pending</w:t>
      </w:r>
      <w:r>
        <w:rPr>
          <w:sz w:val="20"/>
          <w:szCs w:val="20"/>
          <w:color w:val="auto"/>
        </w:rPr>
        <w:tab/>
      </w:r>
      <w:r>
        <w:rPr>
          <w:rFonts w:ascii="Arial" w:cs="Arial" w:eastAsia="Arial" w:hAnsi="Arial"/>
          <w:sz w:val="13"/>
          <w:szCs w:val="13"/>
          <w:color w:val="auto"/>
        </w:rPr>
        <w:t>6-Oct-09</w:t>
      </w:r>
    </w:p>
    <w:p>
      <w:pPr>
        <w:spacing w:after="0" w:line="256"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30-Mar-07</w:t>
      </w:r>
    </w:p>
    <w:p>
      <w:pPr>
        <w:spacing w:after="0" w:line="26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1"/>
          <w:szCs w:val="11"/>
          <w:color w:val="auto"/>
        </w:rPr>
        <w:t>Pending</w:t>
      </w:r>
      <w:r>
        <w:rPr>
          <w:sz w:val="20"/>
          <w:szCs w:val="20"/>
          <w:color w:val="auto"/>
        </w:rPr>
        <w:tab/>
      </w:r>
      <w:r>
        <w:rPr>
          <w:rFonts w:ascii="Arial" w:cs="Arial" w:eastAsia="Arial" w:hAnsi="Arial"/>
          <w:sz w:val="11"/>
          <w:szCs w:val="11"/>
          <w:color w:val="auto"/>
        </w:rPr>
        <w:t>13-Sep-12</w:t>
      </w:r>
    </w:p>
    <w:p>
      <w:pPr>
        <w:spacing w:after="0" w:line="279"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color w:val="auto"/>
        </w:rPr>
        <w:t>Pending</w:t>
      </w:r>
      <w:r>
        <w:rPr>
          <w:sz w:val="20"/>
          <w:szCs w:val="20"/>
          <w:color w:val="auto"/>
        </w:rPr>
        <w:tab/>
      </w:r>
      <w:r>
        <w:rPr>
          <w:rFonts w:ascii="Arial" w:cs="Arial" w:eastAsia="Arial" w:hAnsi="Arial"/>
          <w:sz w:val="12"/>
          <w:szCs w:val="12"/>
          <w:color w:val="auto"/>
        </w:rPr>
        <w:t>13-Apr-07</w:t>
      </w:r>
    </w:p>
    <w:p>
      <w:pPr>
        <w:spacing w:after="0" w:line="267"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30-Apr-99</w:t>
      </w:r>
    </w:p>
    <w:p>
      <w:pPr>
        <w:spacing w:after="0" w:line="26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5-May-97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25"/>
        </w:trPr>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8"/>
              </w:rPr>
              <w:t>CN100568807</w:t>
            </w:r>
          </w:p>
        </w:tc>
        <w:tc>
          <w:tcPr>
            <w:tcW w:w="4500" w:type="dxa"/>
            <w:vAlign w:val="bottom"/>
          </w:tcPr>
          <w:p>
            <w:pPr>
              <w:ind w:left="60"/>
              <w:spacing w:after="0" w:line="125" w:lineRule="exact"/>
              <w:rPr>
                <w:sz w:val="20"/>
                <w:szCs w:val="20"/>
                <w:color w:val="auto"/>
              </w:rPr>
            </w:pPr>
            <w:r>
              <w:rPr>
                <w:rFonts w:ascii="Arial" w:cs="Arial" w:eastAsia="Arial" w:hAnsi="Arial"/>
                <w:sz w:val="13"/>
                <w:szCs w:val="13"/>
                <w:color w:val="auto"/>
              </w:rPr>
              <w:t>System And Method For Providing Content To A Terminal And Directing The</w:t>
            </w:r>
          </w:p>
        </w:tc>
        <w:tc>
          <w:tcPr>
            <w:tcW w:w="0" w:type="dxa"/>
            <w:vAlign w:val="bottom"/>
          </w:tcPr>
          <w:p>
            <w:pPr>
              <w:spacing w:after="0"/>
              <w:rPr>
                <w:sz w:val="1"/>
                <w:szCs w:val="1"/>
                <w:color w:val="auto"/>
              </w:rPr>
            </w:pPr>
          </w:p>
        </w:tc>
      </w:tr>
      <w:tr>
        <w:trPr>
          <w:trHeight w:val="93"/>
        </w:trPr>
        <w:tc>
          <w:tcPr>
            <w:tcW w:w="92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Rendering Of Such Content At The Terminal</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EP1810445</w:t>
            </w:r>
          </w:p>
        </w:tc>
        <w:tc>
          <w:tcPr>
            <w:tcW w:w="4500" w:type="dxa"/>
            <w:vAlign w:val="bottom"/>
          </w:tcPr>
          <w:p>
            <w:pPr>
              <w:ind w:left="60"/>
              <w:spacing w:after="0"/>
              <w:rPr>
                <w:sz w:val="20"/>
                <w:szCs w:val="20"/>
                <w:color w:val="auto"/>
              </w:rPr>
            </w:pPr>
            <w:r>
              <w:rPr>
                <w:rFonts w:ascii="Arial" w:cs="Arial" w:eastAsia="Arial" w:hAnsi="Arial"/>
                <w:sz w:val="13"/>
                <w:szCs w:val="13"/>
                <w:color w:val="auto"/>
                <w:w w:val="88"/>
              </w:rPr>
              <w:t>System, Method And Computer Program Product For Providing Content To A Terminal</w:t>
            </w:r>
          </w:p>
        </w:tc>
        <w:tc>
          <w:tcPr>
            <w:tcW w:w="0" w:type="dxa"/>
            <w:vAlign w:val="bottom"/>
          </w:tcPr>
          <w:p>
            <w:pPr>
              <w:spacing w:after="0"/>
              <w:rPr>
                <w:sz w:val="1"/>
                <w:szCs w:val="1"/>
                <w:color w:val="auto"/>
              </w:rPr>
            </w:pPr>
          </w:p>
        </w:tc>
      </w:tr>
      <w:tr>
        <w:trPr>
          <w:trHeight w:val="93"/>
        </w:trPr>
        <w:tc>
          <w:tcPr>
            <w:tcW w:w="92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And Directing The Rendering Of Such Content At The Terminal</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Arial" w:cs="Arial" w:eastAsia="Arial" w:hAnsi="Arial"/>
                <w:sz w:val="13"/>
                <w:szCs w:val="13"/>
                <w:color w:val="auto"/>
                <w:w w:val="88"/>
              </w:rPr>
              <w:t>System, Method And Computer Program Product For Providing Content To A Terminal</w:t>
            </w:r>
          </w:p>
        </w:tc>
        <w:tc>
          <w:tcPr>
            <w:tcW w:w="0" w:type="dxa"/>
            <w:vAlign w:val="bottom"/>
          </w:tcPr>
          <w:p>
            <w:pPr>
              <w:spacing w:after="0"/>
              <w:rPr>
                <w:sz w:val="1"/>
                <w:szCs w:val="1"/>
                <w:color w:val="auto"/>
              </w:rPr>
            </w:pPr>
          </w:p>
        </w:tc>
      </w:tr>
      <w:tr>
        <w:trPr>
          <w:trHeight w:val="160"/>
        </w:trPr>
        <w:tc>
          <w:tcPr>
            <w:tcW w:w="920" w:type="dxa"/>
            <w:vAlign w:val="bottom"/>
          </w:tcPr>
          <w:p>
            <w:pPr>
              <w:spacing w:after="0"/>
              <w:rPr>
                <w:sz w:val="13"/>
                <w:szCs w:val="13"/>
                <w:color w:val="auto"/>
              </w:rPr>
            </w:pPr>
          </w:p>
        </w:tc>
        <w:tc>
          <w:tcPr>
            <w:tcW w:w="4500" w:type="dxa"/>
            <w:vAlign w:val="bottom"/>
          </w:tcPr>
          <w:p>
            <w:pPr>
              <w:ind w:left="60"/>
              <w:spacing w:after="0"/>
              <w:rPr>
                <w:sz w:val="20"/>
                <w:szCs w:val="20"/>
                <w:color w:val="auto"/>
              </w:rPr>
            </w:pPr>
            <w:r>
              <w:rPr>
                <w:rFonts w:ascii="Arial" w:cs="Arial" w:eastAsia="Arial" w:hAnsi="Arial"/>
                <w:sz w:val="13"/>
                <w:szCs w:val="13"/>
                <w:color w:val="auto"/>
              </w:rPr>
              <w:t>And Directing The Rendering Of Such Content At The Terminal</w:t>
            </w:r>
          </w:p>
        </w:tc>
        <w:tc>
          <w:tcPr>
            <w:tcW w:w="0" w:type="dxa"/>
            <w:vAlign w:val="bottom"/>
          </w:tcPr>
          <w:p>
            <w:pPr>
              <w:spacing w:after="0"/>
              <w:rPr>
                <w:sz w:val="1"/>
                <w:szCs w:val="1"/>
                <w:color w:val="auto"/>
              </w:rPr>
            </w:pPr>
          </w:p>
        </w:tc>
      </w:tr>
      <w:tr>
        <w:trPr>
          <w:trHeight w:val="245"/>
        </w:trPr>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9"/>
              </w:rPr>
              <w:t>KR10-0895028</w:t>
            </w:r>
          </w:p>
        </w:tc>
        <w:tc>
          <w:tcPr>
            <w:tcW w:w="4500" w:type="dxa"/>
            <w:vAlign w:val="bottom"/>
          </w:tcPr>
          <w:p>
            <w:pPr>
              <w:ind w:left="60"/>
              <w:spacing w:after="0"/>
              <w:rPr>
                <w:sz w:val="20"/>
                <w:szCs w:val="20"/>
                <w:color w:val="auto"/>
              </w:rPr>
            </w:pPr>
            <w:r>
              <w:rPr>
                <w:rFonts w:ascii="Arial" w:cs="Arial" w:eastAsia="Arial" w:hAnsi="Arial"/>
                <w:sz w:val="13"/>
                <w:szCs w:val="13"/>
                <w:color w:val="auto"/>
                <w:w w:val="88"/>
              </w:rPr>
              <w:t>System, Method And Computer Program Product For Providing Content To A Terminal</w:t>
            </w:r>
          </w:p>
        </w:tc>
        <w:tc>
          <w:tcPr>
            <w:tcW w:w="0" w:type="dxa"/>
            <w:vAlign w:val="bottom"/>
          </w:tcPr>
          <w:p>
            <w:pPr>
              <w:spacing w:after="0"/>
              <w:rPr>
                <w:sz w:val="1"/>
                <w:szCs w:val="1"/>
                <w:color w:val="auto"/>
              </w:rPr>
            </w:pPr>
          </w:p>
        </w:tc>
      </w:tr>
      <w:tr>
        <w:trPr>
          <w:trHeight w:val="93"/>
        </w:trPr>
        <w:tc>
          <w:tcPr>
            <w:tcW w:w="92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And Directing The Rendering Of Such Content At The Terminal</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US8150920</w:t>
            </w:r>
          </w:p>
        </w:tc>
        <w:tc>
          <w:tcPr>
            <w:tcW w:w="4500" w:type="dxa"/>
            <w:vAlign w:val="bottom"/>
          </w:tcPr>
          <w:p>
            <w:pPr>
              <w:ind w:left="60"/>
              <w:spacing w:after="0"/>
              <w:rPr>
                <w:sz w:val="20"/>
                <w:szCs w:val="20"/>
                <w:color w:val="auto"/>
              </w:rPr>
            </w:pPr>
            <w:r>
              <w:rPr>
                <w:rFonts w:ascii="Arial" w:cs="Arial" w:eastAsia="Arial" w:hAnsi="Arial"/>
                <w:sz w:val="13"/>
                <w:szCs w:val="13"/>
                <w:color w:val="auto"/>
                <w:w w:val="88"/>
              </w:rPr>
              <w:t>System, Method And Computer Program Product For Providing Content To A Terminal</w:t>
            </w:r>
          </w:p>
        </w:tc>
        <w:tc>
          <w:tcPr>
            <w:tcW w:w="0" w:type="dxa"/>
            <w:vAlign w:val="bottom"/>
          </w:tcPr>
          <w:p>
            <w:pPr>
              <w:spacing w:after="0"/>
              <w:rPr>
                <w:sz w:val="1"/>
                <w:szCs w:val="1"/>
                <w:color w:val="auto"/>
              </w:rPr>
            </w:pPr>
          </w:p>
        </w:tc>
      </w:tr>
      <w:tr>
        <w:trPr>
          <w:trHeight w:val="93"/>
        </w:trPr>
        <w:tc>
          <w:tcPr>
            <w:tcW w:w="92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And Directing The Rendering Of Such Content At The Terminal</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3"/>
                <w:szCs w:val="13"/>
                <w:color w:val="auto"/>
                <w:w w:val="87"/>
              </w:rPr>
              <w:t>US6961953</w:t>
            </w:r>
          </w:p>
        </w:tc>
        <w:tc>
          <w:tcPr>
            <w:tcW w:w="4500" w:type="dxa"/>
            <w:vAlign w:val="bottom"/>
          </w:tcPr>
          <w:p>
            <w:pPr>
              <w:ind w:left="60"/>
              <w:spacing w:after="0"/>
              <w:rPr>
                <w:sz w:val="20"/>
                <w:szCs w:val="20"/>
                <w:color w:val="auto"/>
              </w:rPr>
            </w:pPr>
            <w:r>
              <w:rPr>
                <w:rFonts w:ascii="Arial" w:cs="Arial" w:eastAsia="Arial" w:hAnsi="Arial"/>
                <w:sz w:val="13"/>
                <w:szCs w:val="13"/>
                <w:color w:val="auto"/>
              </w:rPr>
              <w:t>System And Method For Broadcasting Advertisements</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3"/>
                <w:szCs w:val="13"/>
                <w:color w:val="auto"/>
                <w:w w:val="88"/>
              </w:rPr>
              <w:t>US20050240981</w:t>
            </w:r>
          </w:p>
        </w:tc>
        <w:tc>
          <w:tcPr>
            <w:tcW w:w="4500" w:type="dxa"/>
            <w:vAlign w:val="bottom"/>
          </w:tcPr>
          <w:p>
            <w:pPr>
              <w:ind w:left="60"/>
              <w:spacing w:after="0"/>
              <w:rPr>
                <w:sz w:val="20"/>
                <w:szCs w:val="20"/>
                <w:color w:val="auto"/>
              </w:rPr>
            </w:pPr>
            <w:r>
              <w:rPr>
                <w:rFonts w:ascii="Arial" w:cs="Arial" w:eastAsia="Arial" w:hAnsi="Arial"/>
                <w:sz w:val="13"/>
                <w:szCs w:val="13"/>
                <w:color w:val="auto"/>
              </w:rPr>
              <w:t>System And Method For Broadcasting Advertisements</w:t>
            </w:r>
          </w:p>
        </w:tc>
        <w:tc>
          <w:tcPr>
            <w:tcW w:w="0" w:type="dxa"/>
            <w:vAlign w:val="bottom"/>
          </w:tcPr>
          <w:p>
            <w:pPr>
              <w:spacing w:after="0"/>
              <w:rPr>
                <w:sz w:val="1"/>
                <w:szCs w:val="1"/>
                <w:color w:val="auto"/>
              </w:rPr>
            </w:pPr>
          </w:p>
        </w:tc>
      </w:tr>
      <w:tr>
        <w:trPr>
          <w:trHeight w:val="312"/>
        </w:trPr>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EP1869929</w:t>
            </w:r>
          </w:p>
        </w:tc>
        <w:tc>
          <w:tcPr>
            <w:tcW w:w="4500" w:type="dxa"/>
            <w:vAlign w:val="bottom"/>
          </w:tcPr>
          <w:p>
            <w:pPr>
              <w:ind w:left="60"/>
              <w:spacing w:after="0"/>
              <w:rPr>
                <w:sz w:val="20"/>
                <w:szCs w:val="20"/>
                <w:color w:val="auto"/>
              </w:rPr>
            </w:pPr>
            <w:r>
              <w:rPr>
                <w:rFonts w:ascii="Arial" w:cs="Arial" w:eastAsia="Arial" w:hAnsi="Arial"/>
                <w:sz w:val="13"/>
                <w:szCs w:val="13"/>
                <w:color w:val="auto"/>
                <w:w w:val="93"/>
              </w:rPr>
              <w:t>Techniques For Radio Link Resource Management In Wireless Networks Carrying</w:t>
            </w:r>
          </w:p>
        </w:tc>
        <w:tc>
          <w:tcPr>
            <w:tcW w:w="0" w:type="dxa"/>
            <w:vAlign w:val="bottom"/>
          </w:tcPr>
          <w:p>
            <w:pPr>
              <w:spacing w:after="0"/>
              <w:rPr>
                <w:sz w:val="1"/>
                <w:szCs w:val="1"/>
                <w:color w:val="auto"/>
              </w:rPr>
            </w:pPr>
          </w:p>
        </w:tc>
      </w:tr>
      <w:tr>
        <w:trPr>
          <w:trHeight w:val="93"/>
        </w:trPr>
        <w:tc>
          <w:tcPr>
            <w:tcW w:w="92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Packet Traffic</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US7630338</w:t>
            </w:r>
          </w:p>
        </w:tc>
        <w:tc>
          <w:tcPr>
            <w:tcW w:w="4500" w:type="dxa"/>
            <w:vAlign w:val="bottom"/>
          </w:tcPr>
          <w:p>
            <w:pPr>
              <w:ind w:left="60"/>
              <w:spacing w:after="0"/>
              <w:rPr>
                <w:sz w:val="20"/>
                <w:szCs w:val="20"/>
                <w:color w:val="auto"/>
              </w:rPr>
            </w:pPr>
            <w:r>
              <w:rPr>
                <w:rFonts w:ascii="Arial" w:cs="Arial" w:eastAsia="Arial" w:hAnsi="Arial"/>
                <w:sz w:val="13"/>
                <w:szCs w:val="13"/>
                <w:color w:val="auto"/>
                <w:w w:val="93"/>
              </w:rPr>
              <w:t>Techniques For Radio Link Resource Management In Wireless Networks Carrying</w:t>
            </w:r>
          </w:p>
        </w:tc>
        <w:tc>
          <w:tcPr>
            <w:tcW w:w="0" w:type="dxa"/>
            <w:vAlign w:val="bottom"/>
          </w:tcPr>
          <w:p>
            <w:pPr>
              <w:spacing w:after="0"/>
              <w:rPr>
                <w:sz w:val="1"/>
                <w:szCs w:val="1"/>
                <w:color w:val="auto"/>
              </w:rPr>
            </w:pPr>
          </w:p>
        </w:tc>
      </w:tr>
      <w:tr>
        <w:trPr>
          <w:trHeight w:val="93"/>
        </w:trPr>
        <w:tc>
          <w:tcPr>
            <w:tcW w:w="92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Packet Traffic</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0"/>
              </w:rPr>
              <w:t>AP2390</w:t>
            </w:r>
          </w:p>
        </w:tc>
        <w:tc>
          <w:tcPr>
            <w:tcW w:w="4500" w:type="dxa"/>
            <w:vAlign w:val="bottom"/>
          </w:tcPr>
          <w:p>
            <w:pPr>
              <w:ind w:left="60"/>
              <w:spacing w:after="0"/>
              <w:rPr>
                <w:sz w:val="20"/>
                <w:szCs w:val="20"/>
                <w:color w:val="auto"/>
              </w:rPr>
            </w:pPr>
            <w:r>
              <w:rPr>
                <w:rFonts w:ascii="Arial" w:cs="Arial" w:eastAsia="Arial" w:hAnsi="Arial"/>
                <w:sz w:val="13"/>
                <w:szCs w:val="13"/>
                <w:color w:val="auto"/>
                <w:w w:val="90"/>
              </w:rPr>
              <w:t>Method, Device, System And Software Product For Providing System Information To</w:t>
            </w:r>
          </w:p>
        </w:tc>
        <w:tc>
          <w:tcPr>
            <w:tcW w:w="0" w:type="dxa"/>
            <w:vAlign w:val="bottom"/>
          </w:tcPr>
          <w:p>
            <w:pPr>
              <w:spacing w:after="0"/>
              <w:rPr>
                <w:sz w:val="1"/>
                <w:szCs w:val="1"/>
                <w:color w:val="auto"/>
              </w:rPr>
            </w:pPr>
          </w:p>
        </w:tc>
      </w:tr>
      <w:tr>
        <w:trPr>
          <w:trHeight w:val="93"/>
        </w:trPr>
        <w:tc>
          <w:tcPr>
            <w:tcW w:w="92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Enable Packet Switched Handover</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8"/>
              </w:rPr>
              <w:t>CN101278589</w:t>
            </w:r>
          </w:p>
        </w:tc>
        <w:tc>
          <w:tcPr>
            <w:tcW w:w="4500" w:type="dxa"/>
            <w:vAlign w:val="bottom"/>
          </w:tcPr>
          <w:p>
            <w:pPr>
              <w:ind w:left="60"/>
              <w:spacing w:after="0"/>
              <w:rPr>
                <w:sz w:val="20"/>
                <w:szCs w:val="20"/>
                <w:color w:val="auto"/>
              </w:rPr>
            </w:pPr>
            <w:r>
              <w:rPr>
                <w:rFonts w:ascii="Arial" w:cs="Arial" w:eastAsia="Arial" w:hAnsi="Arial"/>
                <w:sz w:val="13"/>
                <w:szCs w:val="13"/>
                <w:color w:val="auto"/>
                <w:w w:val="90"/>
              </w:rPr>
              <w:t>Method, Device, System And Software Product For Providing System Information To</w:t>
            </w:r>
          </w:p>
        </w:tc>
        <w:tc>
          <w:tcPr>
            <w:tcW w:w="0" w:type="dxa"/>
            <w:vAlign w:val="bottom"/>
          </w:tcPr>
          <w:p>
            <w:pPr>
              <w:spacing w:after="0"/>
              <w:rPr>
                <w:sz w:val="1"/>
                <w:szCs w:val="1"/>
                <w:color w:val="auto"/>
              </w:rPr>
            </w:pPr>
          </w:p>
        </w:tc>
      </w:tr>
      <w:tr>
        <w:trPr>
          <w:trHeight w:val="93"/>
        </w:trPr>
        <w:tc>
          <w:tcPr>
            <w:tcW w:w="92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Enable Packet Switched Handover</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EP1938648</w:t>
            </w:r>
          </w:p>
        </w:tc>
        <w:tc>
          <w:tcPr>
            <w:tcW w:w="4500" w:type="dxa"/>
            <w:vAlign w:val="bottom"/>
          </w:tcPr>
          <w:p>
            <w:pPr>
              <w:ind w:left="60"/>
              <w:spacing w:after="0"/>
              <w:rPr>
                <w:sz w:val="20"/>
                <w:szCs w:val="20"/>
                <w:color w:val="auto"/>
              </w:rPr>
            </w:pPr>
            <w:r>
              <w:rPr>
                <w:rFonts w:ascii="Arial" w:cs="Arial" w:eastAsia="Arial" w:hAnsi="Arial"/>
                <w:sz w:val="13"/>
                <w:szCs w:val="13"/>
                <w:color w:val="auto"/>
                <w:w w:val="90"/>
              </w:rPr>
              <w:t>Method, Device, System And Software Product For Providing System Information To</w:t>
            </w:r>
          </w:p>
        </w:tc>
        <w:tc>
          <w:tcPr>
            <w:tcW w:w="0" w:type="dxa"/>
            <w:vAlign w:val="bottom"/>
          </w:tcPr>
          <w:p>
            <w:pPr>
              <w:spacing w:after="0"/>
              <w:rPr>
                <w:sz w:val="1"/>
                <w:szCs w:val="1"/>
                <w:color w:val="auto"/>
              </w:rPr>
            </w:pPr>
          </w:p>
        </w:tc>
      </w:tr>
      <w:tr>
        <w:trPr>
          <w:trHeight w:val="93"/>
        </w:trPr>
        <w:tc>
          <w:tcPr>
            <w:tcW w:w="92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Enable Packet Switched Handover</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Arial" w:cs="Arial" w:eastAsia="Arial" w:hAnsi="Arial"/>
                <w:sz w:val="13"/>
                <w:szCs w:val="13"/>
                <w:color w:val="auto"/>
                <w:w w:val="90"/>
              </w:rPr>
              <w:t>Method, Device, System And Software Product For Providing System Information To</w:t>
            </w:r>
          </w:p>
        </w:tc>
        <w:tc>
          <w:tcPr>
            <w:tcW w:w="0" w:type="dxa"/>
            <w:vAlign w:val="bottom"/>
          </w:tcPr>
          <w:p>
            <w:pPr>
              <w:spacing w:after="0"/>
              <w:rPr>
                <w:sz w:val="1"/>
                <w:szCs w:val="1"/>
                <w:color w:val="auto"/>
              </w:rPr>
            </w:pPr>
          </w:p>
        </w:tc>
      </w:tr>
      <w:tr>
        <w:trPr>
          <w:trHeight w:val="160"/>
        </w:trPr>
        <w:tc>
          <w:tcPr>
            <w:tcW w:w="920" w:type="dxa"/>
            <w:vAlign w:val="bottom"/>
          </w:tcPr>
          <w:p>
            <w:pPr>
              <w:spacing w:after="0"/>
              <w:rPr>
                <w:sz w:val="13"/>
                <w:szCs w:val="13"/>
                <w:color w:val="auto"/>
              </w:rPr>
            </w:pPr>
          </w:p>
        </w:tc>
        <w:tc>
          <w:tcPr>
            <w:tcW w:w="4500" w:type="dxa"/>
            <w:vAlign w:val="bottom"/>
          </w:tcPr>
          <w:p>
            <w:pPr>
              <w:ind w:left="60"/>
              <w:spacing w:after="0"/>
              <w:rPr>
                <w:sz w:val="20"/>
                <w:szCs w:val="20"/>
                <w:color w:val="auto"/>
              </w:rPr>
            </w:pPr>
            <w:r>
              <w:rPr>
                <w:rFonts w:ascii="Arial" w:cs="Arial" w:eastAsia="Arial" w:hAnsi="Arial"/>
                <w:sz w:val="13"/>
                <w:szCs w:val="13"/>
                <w:color w:val="auto"/>
              </w:rPr>
              <w:t>Enable Packet Switched Handover</w:t>
            </w:r>
          </w:p>
        </w:tc>
        <w:tc>
          <w:tcPr>
            <w:tcW w:w="0" w:type="dxa"/>
            <w:vAlign w:val="bottom"/>
          </w:tcPr>
          <w:p>
            <w:pPr>
              <w:spacing w:after="0"/>
              <w:rPr>
                <w:sz w:val="1"/>
                <w:szCs w:val="1"/>
                <w:color w:val="auto"/>
              </w:rPr>
            </w:pPr>
          </w:p>
        </w:tc>
      </w:tr>
      <w:tr>
        <w:trPr>
          <w:trHeight w:val="245"/>
        </w:trPr>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4"/>
              </w:rPr>
              <w:t>JP2009-509448</w:t>
            </w:r>
          </w:p>
        </w:tc>
        <w:tc>
          <w:tcPr>
            <w:tcW w:w="4500" w:type="dxa"/>
            <w:vAlign w:val="bottom"/>
          </w:tcPr>
          <w:p>
            <w:pPr>
              <w:ind w:left="60"/>
              <w:spacing w:after="0"/>
              <w:rPr>
                <w:sz w:val="20"/>
                <w:szCs w:val="20"/>
                <w:color w:val="auto"/>
              </w:rPr>
            </w:pPr>
            <w:r>
              <w:rPr>
                <w:rFonts w:ascii="Arial" w:cs="Arial" w:eastAsia="Arial" w:hAnsi="Arial"/>
                <w:sz w:val="13"/>
                <w:szCs w:val="13"/>
                <w:color w:val="auto"/>
                <w:w w:val="90"/>
              </w:rPr>
              <w:t>Method, Device, System And Software Product For Providing System Information To</w:t>
            </w:r>
          </w:p>
        </w:tc>
        <w:tc>
          <w:tcPr>
            <w:tcW w:w="0" w:type="dxa"/>
            <w:vAlign w:val="bottom"/>
          </w:tcPr>
          <w:p>
            <w:pPr>
              <w:spacing w:after="0"/>
              <w:rPr>
                <w:sz w:val="1"/>
                <w:szCs w:val="1"/>
                <w:color w:val="auto"/>
              </w:rPr>
            </w:pPr>
          </w:p>
        </w:tc>
      </w:tr>
      <w:tr>
        <w:trPr>
          <w:trHeight w:val="93"/>
        </w:trPr>
        <w:tc>
          <w:tcPr>
            <w:tcW w:w="92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Enable Packet Switched Handover</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9"/>
              </w:rPr>
              <w:t>KR10-0992075</w:t>
            </w:r>
          </w:p>
        </w:tc>
        <w:tc>
          <w:tcPr>
            <w:tcW w:w="4500" w:type="dxa"/>
            <w:vAlign w:val="bottom"/>
          </w:tcPr>
          <w:p>
            <w:pPr>
              <w:ind w:left="60"/>
              <w:spacing w:after="0"/>
              <w:rPr>
                <w:sz w:val="20"/>
                <w:szCs w:val="20"/>
                <w:color w:val="auto"/>
              </w:rPr>
            </w:pPr>
            <w:r>
              <w:rPr>
                <w:rFonts w:ascii="Arial" w:cs="Arial" w:eastAsia="Arial" w:hAnsi="Arial"/>
                <w:sz w:val="13"/>
                <w:szCs w:val="13"/>
                <w:color w:val="auto"/>
                <w:w w:val="90"/>
              </w:rPr>
              <w:t>Method, Device, System And Software Product For Providing System Information To</w:t>
            </w:r>
          </w:p>
        </w:tc>
        <w:tc>
          <w:tcPr>
            <w:tcW w:w="0" w:type="dxa"/>
            <w:vAlign w:val="bottom"/>
          </w:tcPr>
          <w:p>
            <w:pPr>
              <w:spacing w:after="0"/>
              <w:rPr>
                <w:sz w:val="1"/>
                <w:szCs w:val="1"/>
                <w:color w:val="auto"/>
              </w:rPr>
            </w:pPr>
          </w:p>
        </w:tc>
      </w:tr>
      <w:tr>
        <w:trPr>
          <w:trHeight w:val="93"/>
        </w:trPr>
        <w:tc>
          <w:tcPr>
            <w:tcW w:w="92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Enable Packet Switched Handover</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Arial" w:cs="Arial" w:eastAsia="Arial" w:hAnsi="Arial"/>
                <w:sz w:val="13"/>
                <w:szCs w:val="13"/>
                <w:color w:val="auto"/>
                <w:w w:val="90"/>
              </w:rPr>
              <w:t>Method, Device, System And Software Product For Providing System Information To</w:t>
            </w:r>
          </w:p>
        </w:tc>
        <w:tc>
          <w:tcPr>
            <w:tcW w:w="0" w:type="dxa"/>
            <w:vAlign w:val="bottom"/>
          </w:tcPr>
          <w:p>
            <w:pPr>
              <w:spacing w:after="0"/>
              <w:rPr>
                <w:sz w:val="1"/>
                <w:szCs w:val="1"/>
                <w:color w:val="auto"/>
              </w:rPr>
            </w:pPr>
          </w:p>
        </w:tc>
      </w:tr>
      <w:tr>
        <w:trPr>
          <w:trHeight w:val="160"/>
        </w:trPr>
        <w:tc>
          <w:tcPr>
            <w:tcW w:w="920" w:type="dxa"/>
            <w:vAlign w:val="bottom"/>
          </w:tcPr>
          <w:p>
            <w:pPr>
              <w:spacing w:after="0"/>
              <w:rPr>
                <w:sz w:val="13"/>
                <w:szCs w:val="13"/>
                <w:color w:val="auto"/>
              </w:rPr>
            </w:pPr>
          </w:p>
        </w:tc>
        <w:tc>
          <w:tcPr>
            <w:tcW w:w="4500" w:type="dxa"/>
            <w:vAlign w:val="bottom"/>
          </w:tcPr>
          <w:p>
            <w:pPr>
              <w:ind w:left="60"/>
              <w:spacing w:after="0"/>
              <w:rPr>
                <w:sz w:val="20"/>
                <w:szCs w:val="20"/>
                <w:color w:val="auto"/>
              </w:rPr>
            </w:pPr>
            <w:r>
              <w:rPr>
                <w:rFonts w:ascii="Arial" w:cs="Arial" w:eastAsia="Arial" w:hAnsi="Arial"/>
                <w:sz w:val="13"/>
                <w:szCs w:val="13"/>
                <w:color w:val="auto"/>
              </w:rPr>
              <w:t>Enable Packet Switched Handover</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Arial" w:cs="Arial" w:eastAsia="Arial" w:hAnsi="Arial"/>
                <w:sz w:val="13"/>
                <w:szCs w:val="13"/>
                <w:color w:val="auto"/>
                <w:w w:val="90"/>
              </w:rPr>
              <w:t>Method, Device, System And Software Product For Providing System Information To</w:t>
            </w:r>
          </w:p>
        </w:tc>
        <w:tc>
          <w:tcPr>
            <w:tcW w:w="0" w:type="dxa"/>
            <w:vAlign w:val="bottom"/>
          </w:tcPr>
          <w:p>
            <w:pPr>
              <w:spacing w:after="0"/>
              <w:rPr>
                <w:sz w:val="1"/>
                <w:szCs w:val="1"/>
                <w:color w:val="auto"/>
              </w:rPr>
            </w:pPr>
          </w:p>
        </w:tc>
      </w:tr>
      <w:tr>
        <w:trPr>
          <w:trHeight w:val="160"/>
        </w:trPr>
        <w:tc>
          <w:tcPr>
            <w:tcW w:w="920" w:type="dxa"/>
            <w:vAlign w:val="bottom"/>
          </w:tcPr>
          <w:p>
            <w:pPr>
              <w:spacing w:after="0"/>
              <w:rPr>
                <w:sz w:val="13"/>
                <w:szCs w:val="13"/>
                <w:color w:val="auto"/>
              </w:rPr>
            </w:pPr>
          </w:p>
        </w:tc>
        <w:tc>
          <w:tcPr>
            <w:tcW w:w="4500" w:type="dxa"/>
            <w:vAlign w:val="bottom"/>
          </w:tcPr>
          <w:p>
            <w:pPr>
              <w:ind w:left="60"/>
              <w:spacing w:after="0"/>
              <w:rPr>
                <w:sz w:val="20"/>
                <w:szCs w:val="20"/>
                <w:color w:val="auto"/>
              </w:rPr>
            </w:pPr>
            <w:r>
              <w:rPr>
                <w:rFonts w:ascii="Arial" w:cs="Arial" w:eastAsia="Arial" w:hAnsi="Arial"/>
                <w:sz w:val="13"/>
                <w:szCs w:val="13"/>
                <w:color w:val="auto"/>
              </w:rPr>
              <w:t>Enable Packet Switched Handover</w:t>
            </w:r>
          </w:p>
        </w:tc>
        <w:tc>
          <w:tcPr>
            <w:tcW w:w="0" w:type="dxa"/>
            <w:vAlign w:val="bottom"/>
          </w:tcPr>
          <w:p>
            <w:pPr>
              <w:spacing w:after="0"/>
              <w:rPr>
                <w:sz w:val="1"/>
                <w:szCs w:val="1"/>
                <w:color w:val="auto"/>
              </w:rPr>
            </w:pPr>
          </w:p>
        </w:tc>
      </w:tr>
      <w:tr>
        <w:trPr>
          <w:trHeight w:val="245"/>
        </w:trPr>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8"/>
              </w:rPr>
              <w:t>US20070070949</w:t>
            </w:r>
          </w:p>
        </w:tc>
        <w:tc>
          <w:tcPr>
            <w:tcW w:w="4500" w:type="dxa"/>
            <w:vAlign w:val="bottom"/>
          </w:tcPr>
          <w:p>
            <w:pPr>
              <w:ind w:left="60"/>
              <w:spacing w:after="0"/>
              <w:rPr>
                <w:sz w:val="20"/>
                <w:szCs w:val="20"/>
                <w:color w:val="auto"/>
              </w:rPr>
            </w:pPr>
            <w:r>
              <w:rPr>
                <w:rFonts w:ascii="Arial" w:cs="Arial" w:eastAsia="Arial" w:hAnsi="Arial"/>
                <w:sz w:val="13"/>
                <w:szCs w:val="13"/>
                <w:color w:val="auto"/>
                <w:w w:val="90"/>
              </w:rPr>
              <w:t>Method, Device, System And Software Product For Providing System Information To</w:t>
            </w:r>
          </w:p>
        </w:tc>
        <w:tc>
          <w:tcPr>
            <w:tcW w:w="0" w:type="dxa"/>
            <w:vAlign w:val="bottom"/>
          </w:tcPr>
          <w:p>
            <w:pPr>
              <w:spacing w:after="0"/>
              <w:rPr>
                <w:sz w:val="1"/>
                <w:szCs w:val="1"/>
                <w:color w:val="auto"/>
              </w:rPr>
            </w:pPr>
          </w:p>
        </w:tc>
      </w:tr>
      <w:tr>
        <w:trPr>
          <w:trHeight w:val="160"/>
        </w:trPr>
        <w:tc>
          <w:tcPr>
            <w:tcW w:w="920" w:type="dxa"/>
            <w:vAlign w:val="bottom"/>
            <w:vMerge w:val="continue"/>
          </w:tcPr>
          <w:p>
            <w:pPr>
              <w:spacing w:after="0"/>
              <w:rPr>
                <w:sz w:val="13"/>
                <w:szCs w:val="13"/>
                <w:color w:val="auto"/>
              </w:rPr>
            </w:pPr>
          </w:p>
        </w:tc>
        <w:tc>
          <w:tcPr>
            <w:tcW w:w="4500" w:type="dxa"/>
            <w:vAlign w:val="bottom"/>
          </w:tcPr>
          <w:p>
            <w:pPr>
              <w:ind w:left="60"/>
              <w:spacing w:after="0"/>
              <w:rPr>
                <w:sz w:val="20"/>
                <w:szCs w:val="20"/>
                <w:color w:val="auto"/>
              </w:rPr>
            </w:pPr>
            <w:r>
              <w:rPr>
                <w:rFonts w:ascii="Arial" w:cs="Arial" w:eastAsia="Arial" w:hAnsi="Arial"/>
                <w:sz w:val="13"/>
                <w:szCs w:val="13"/>
                <w:color w:val="auto"/>
              </w:rPr>
              <w:t>Enable Packet Switched Handover</w:t>
            </w:r>
          </w:p>
        </w:tc>
        <w:tc>
          <w:tcPr>
            <w:tcW w:w="0" w:type="dxa"/>
            <w:vAlign w:val="bottom"/>
          </w:tcPr>
          <w:p>
            <w:pPr>
              <w:spacing w:after="0"/>
              <w:rPr>
                <w:sz w:val="1"/>
                <w:szCs w:val="1"/>
                <w:color w:val="auto"/>
              </w:rPr>
            </w:pPr>
          </w:p>
        </w:tc>
      </w:tr>
      <w:tr>
        <w:trPr>
          <w:trHeight w:val="245"/>
        </w:trPr>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8"/>
              </w:rPr>
              <w:t>US20070238525</w:t>
            </w:r>
          </w:p>
        </w:tc>
        <w:tc>
          <w:tcPr>
            <w:tcW w:w="4500" w:type="dxa"/>
            <w:vAlign w:val="bottom"/>
          </w:tcPr>
          <w:p>
            <w:pPr>
              <w:ind w:left="60"/>
              <w:spacing w:after="0"/>
              <w:rPr>
                <w:sz w:val="20"/>
                <w:szCs w:val="20"/>
                <w:color w:val="auto"/>
              </w:rPr>
            </w:pPr>
            <w:r>
              <w:rPr>
                <w:rFonts w:ascii="Arial" w:cs="Arial" w:eastAsia="Arial" w:hAnsi="Arial"/>
                <w:sz w:val="13"/>
                <w:szCs w:val="13"/>
                <w:color w:val="auto"/>
                <w:w w:val="94"/>
              </w:rPr>
              <w:t>Method, Apparatus, System And Computer Program Product For Event Triggered</w:t>
            </w:r>
          </w:p>
        </w:tc>
        <w:tc>
          <w:tcPr>
            <w:tcW w:w="0" w:type="dxa"/>
            <w:vAlign w:val="bottom"/>
          </w:tcPr>
          <w:p>
            <w:pPr>
              <w:spacing w:after="0"/>
              <w:rPr>
                <w:sz w:val="1"/>
                <w:szCs w:val="1"/>
                <w:color w:val="auto"/>
              </w:rPr>
            </w:pPr>
          </w:p>
        </w:tc>
      </w:tr>
      <w:tr>
        <w:trPr>
          <w:trHeight w:val="160"/>
        </w:trPr>
        <w:tc>
          <w:tcPr>
            <w:tcW w:w="920" w:type="dxa"/>
            <w:vAlign w:val="bottom"/>
            <w:vMerge w:val="continue"/>
          </w:tcPr>
          <w:p>
            <w:pPr>
              <w:spacing w:after="0"/>
              <w:rPr>
                <w:sz w:val="13"/>
                <w:szCs w:val="13"/>
                <w:color w:val="auto"/>
              </w:rPr>
            </w:pPr>
          </w:p>
        </w:tc>
        <w:tc>
          <w:tcPr>
            <w:tcW w:w="4500" w:type="dxa"/>
            <w:vAlign w:val="bottom"/>
          </w:tcPr>
          <w:p>
            <w:pPr>
              <w:ind w:left="60"/>
              <w:spacing w:after="0"/>
              <w:rPr>
                <w:sz w:val="20"/>
                <w:szCs w:val="20"/>
                <w:color w:val="auto"/>
              </w:rPr>
            </w:pPr>
            <w:r>
              <w:rPr>
                <w:rFonts w:ascii="Arial" w:cs="Arial" w:eastAsia="Arial" w:hAnsi="Arial"/>
                <w:sz w:val="13"/>
                <w:szCs w:val="13"/>
                <w:color w:val="auto"/>
              </w:rPr>
              <w:t>Games</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3"/>
                <w:szCs w:val="13"/>
                <w:color w:val="auto"/>
                <w:w w:val="85"/>
              </w:rPr>
              <w:t>EP2011311</w:t>
            </w:r>
          </w:p>
        </w:tc>
        <w:tc>
          <w:tcPr>
            <w:tcW w:w="4500" w:type="dxa"/>
            <w:vAlign w:val="bottom"/>
          </w:tcPr>
          <w:p>
            <w:pPr>
              <w:ind w:left="60"/>
              <w:spacing w:after="0"/>
              <w:rPr>
                <w:sz w:val="20"/>
                <w:szCs w:val="20"/>
                <w:color w:val="auto"/>
              </w:rPr>
            </w:pPr>
            <w:r>
              <w:rPr>
                <w:rFonts w:ascii="Arial" w:cs="Arial" w:eastAsia="Arial" w:hAnsi="Arial"/>
                <w:sz w:val="13"/>
                <w:szCs w:val="13"/>
                <w:color w:val="auto"/>
              </w:rPr>
              <w:t>Utilizing Presence Service For Service Discovery In Mobile Broadcast</w:t>
            </w:r>
          </w:p>
        </w:tc>
        <w:tc>
          <w:tcPr>
            <w:tcW w:w="0" w:type="dxa"/>
            <w:vAlign w:val="bottom"/>
          </w:tcPr>
          <w:p>
            <w:pPr>
              <w:spacing w:after="0"/>
              <w:rPr>
                <w:sz w:val="1"/>
                <w:szCs w:val="1"/>
                <w:color w:val="auto"/>
              </w:rPr>
            </w:pPr>
          </w:p>
        </w:tc>
      </w:tr>
      <w:tr>
        <w:trPr>
          <w:trHeight w:val="312"/>
        </w:trPr>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7"/>
              </w:rPr>
              <w:t>US7869837</w:t>
            </w:r>
          </w:p>
        </w:tc>
        <w:tc>
          <w:tcPr>
            <w:tcW w:w="4500" w:type="dxa"/>
            <w:vAlign w:val="bottom"/>
          </w:tcPr>
          <w:p>
            <w:pPr>
              <w:ind w:left="60"/>
              <w:spacing w:after="0"/>
              <w:rPr>
                <w:sz w:val="20"/>
                <w:szCs w:val="20"/>
                <w:color w:val="auto"/>
              </w:rPr>
            </w:pPr>
            <w:r>
              <w:rPr>
                <w:rFonts w:ascii="Arial" w:cs="Arial" w:eastAsia="Arial" w:hAnsi="Arial"/>
                <w:sz w:val="13"/>
                <w:szCs w:val="13"/>
                <w:color w:val="auto"/>
                <w:w w:val="91"/>
              </w:rPr>
              <w:t>System And Method For Implementing Mobile IP Node Lossless Transition From An</w:t>
            </w:r>
          </w:p>
        </w:tc>
        <w:tc>
          <w:tcPr>
            <w:tcW w:w="0" w:type="dxa"/>
            <w:vAlign w:val="bottom"/>
          </w:tcPr>
          <w:p>
            <w:pPr>
              <w:spacing w:after="0"/>
              <w:rPr>
                <w:sz w:val="1"/>
                <w:szCs w:val="1"/>
                <w:color w:val="auto"/>
              </w:rPr>
            </w:pPr>
          </w:p>
        </w:tc>
      </w:tr>
      <w:tr>
        <w:trPr>
          <w:trHeight w:val="93"/>
        </w:trPr>
        <w:tc>
          <w:tcPr>
            <w:tcW w:w="920" w:type="dxa"/>
            <w:vAlign w:val="bottom"/>
            <w:vMerge w:val="continue"/>
          </w:tcPr>
          <w:p>
            <w:pPr>
              <w:spacing w:after="0"/>
              <w:rPr>
                <w:sz w:val="8"/>
                <w:szCs w:val="8"/>
                <w:color w:val="auto"/>
              </w:rPr>
            </w:pPr>
          </w:p>
        </w:tc>
        <w:tc>
          <w:tcPr>
            <w:tcW w:w="4500" w:type="dxa"/>
            <w:vAlign w:val="bottom"/>
            <w:vMerge w:val="restart"/>
          </w:tcPr>
          <w:p>
            <w:pPr>
              <w:ind w:left="60"/>
              <w:spacing w:after="0"/>
              <w:rPr>
                <w:sz w:val="20"/>
                <w:szCs w:val="20"/>
                <w:color w:val="auto"/>
              </w:rPr>
            </w:pPr>
            <w:r>
              <w:rPr>
                <w:rFonts w:ascii="Arial" w:cs="Arial" w:eastAsia="Arial" w:hAnsi="Arial"/>
                <w:sz w:val="13"/>
                <w:szCs w:val="13"/>
                <w:color w:val="auto"/>
              </w:rPr>
              <w:t>Idle State To An Awake State</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3"/>
                <w:szCs w:val="13"/>
                <w:color w:val="auto"/>
                <w:w w:val="87"/>
              </w:rPr>
              <w:t>US8112075</w:t>
            </w:r>
          </w:p>
        </w:tc>
        <w:tc>
          <w:tcPr>
            <w:tcW w:w="4500" w:type="dxa"/>
            <w:vAlign w:val="bottom"/>
          </w:tcPr>
          <w:p>
            <w:pPr>
              <w:ind w:left="60"/>
              <w:spacing w:after="0"/>
              <w:rPr>
                <w:sz w:val="20"/>
                <w:szCs w:val="20"/>
                <w:color w:val="auto"/>
              </w:rPr>
            </w:pPr>
            <w:r>
              <w:rPr>
                <w:rFonts w:ascii="Arial" w:cs="Arial" w:eastAsia="Arial" w:hAnsi="Arial"/>
                <w:sz w:val="13"/>
                <w:szCs w:val="13"/>
                <w:color w:val="auto"/>
              </w:rPr>
              <w:t>HARQ-Aware CQI Reporting</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3"/>
                <w:szCs w:val="13"/>
                <w:color w:val="auto"/>
                <w:w w:val="85"/>
              </w:rPr>
              <w:t>EP1873998</w:t>
            </w:r>
          </w:p>
        </w:tc>
        <w:tc>
          <w:tcPr>
            <w:tcW w:w="4500" w:type="dxa"/>
            <w:vAlign w:val="bottom"/>
          </w:tcPr>
          <w:p>
            <w:pPr>
              <w:ind w:left="60"/>
              <w:spacing w:after="0"/>
              <w:rPr>
                <w:sz w:val="20"/>
                <w:szCs w:val="20"/>
                <w:color w:val="auto"/>
              </w:rPr>
            </w:pPr>
            <w:r>
              <w:rPr>
                <w:rFonts w:ascii="Arial" w:cs="Arial" w:eastAsia="Arial" w:hAnsi="Arial"/>
                <w:sz w:val="13"/>
                <w:szCs w:val="13"/>
                <w:color w:val="auto"/>
              </w:rPr>
              <w:t>Identifiers In A Communication System</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3"/>
                <w:szCs w:val="13"/>
                <w:color w:val="auto"/>
                <w:w w:val="88"/>
              </w:rPr>
              <w:t>US20080002829</w:t>
            </w:r>
          </w:p>
        </w:tc>
        <w:tc>
          <w:tcPr>
            <w:tcW w:w="4500" w:type="dxa"/>
            <w:vAlign w:val="bottom"/>
          </w:tcPr>
          <w:p>
            <w:pPr>
              <w:ind w:left="60"/>
              <w:spacing w:after="0"/>
              <w:rPr>
                <w:sz w:val="20"/>
                <w:szCs w:val="20"/>
                <w:color w:val="auto"/>
              </w:rPr>
            </w:pPr>
            <w:r>
              <w:rPr>
                <w:rFonts w:ascii="Arial" w:cs="Arial" w:eastAsia="Arial" w:hAnsi="Arial"/>
                <w:sz w:val="13"/>
                <w:szCs w:val="13"/>
                <w:color w:val="auto"/>
              </w:rPr>
              <w:t>Identifiers In A Communication System</w:t>
            </w: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Arial" w:cs="Arial" w:eastAsia="Arial" w:hAnsi="Arial"/>
                <w:sz w:val="13"/>
                <w:szCs w:val="13"/>
                <w:color w:val="auto"/>
              </w:rPr>
              <w:t>Identifiers In A Communication System</w:t>
            </w:r>
          </w:p>
        </w:tc>
        <w:tc>
          <w:tcPr>
            <w:tcW w:w="0" w:type="dxa"/>
            <w:vAlign w:val="bottom"/>
          </w:tcPr>
          <w:p>
            <w:pPr>
              <w:spacing w:after="0"/>
              <w:rPr>
                <w:sz w:val="1"/>
                <w:szCs w:val="1"/>
                <w:color w:val="auto"/>
              </w:rPr>
            </w:pPr>
          </w:p>
        </w:tc>
      </w:tr>
      <w:tr>
        <w:trPr>
          <w:trHeight w:val="312"/>
        </w:trPr>
        <w:tc>
          <w:tcPr>
            <w:tcW w:w="920" w:type="dxa"/>
            <w:vAlign w:val="bottom"/>
            <w:vMerge w:val="restart"/>
          </w:tcPr>
          <w:p>
            <w:pPr>
              <w:spacing w:after="0"/>
              <w:rPr>
                <w:sz w:val="20"/>
                <w:szCs w:val="20"/>
                <w:color w:val="auto"/>
              </w:rPr>
            </w:pPr>
            <w:r>
              <w:rPr>
                <w:rFonts w:ascii="Arial" w:cs="Arial" w:eastAsia="Arial" w:hAnsi="Arial"/>
                <w:sz w:val="13"/>
                <w:szCs w:val="13"/>
                <w:color w:val="auto"/>
                <w:w w:val="92"/>
              </w:rPr>
              <w:t>US20080153510</w:t>
            </w:r>
          </w:p>
        </w:tc>
        <w:tc>
          <w:tcPr>
            <w:tcW w:w="4500" w:type="dxa"/>
            <w:vAlign w:val="bottom"/>
          </w:tcPr>
          <w:p>
            <w:pPr>
              <w:ind w:left="60"/>
              <w:spacing w:after="0"/>
              <w:rPr>
                <w:sz w:val="20"/>
                <w:szCs w:val="20"/>
                <w:color w:val="auto"/>
              </w:rPr>
            </w:pPr>
            <w:r>
              <w:rPr>
                <w:rFonts w:ascii="Arial" w:cs="Arial" w:eastAsia="Arial" w:hAnsi="Arial"/>
                <w:sz w:val="13"/>
                <w:szCs w:val="13"/>
                <w:color w:val="auto"/>
                <w:w w:val="92"/>
              </w:rPr>
              <w:t>Mobile Terminal, System, Computer Program Product, And Method For Updating A</w:t>
            </w:r>
          </w:p>
        </w:tc>
        <w:tc>
          <w:tcPr>
            <w:tcW w:w="0" w:type="dxa"/>
            <w:vAlign w:val="bottom"/>
          </w:tcPr>
          <w:p>
            <w:pPr>
              <w:spacing w:after="0"/>
              <w:rPr>
                <w:sz w:val="1"/>
                <w:szCs w:val="1"/>
                <w:color w:val="auto"/>
              </w:rPr>
            </w:pPr>
          </w:p>
        </w:tc>
      </w:tr>
      <w:tr>
        <w:trPr>
          <w:trHeight w:val="160"/>
        </w:trPr>
        <w:tc>
          <w:tcPr>
            <w:tcW w:w="920" w:type="dxa"/>
            <w:vAlign w:val="bottom"/>
            <w:vMerge w:val="continue"/>
          </w:tcPr>
          <w:p>
            <w:pPr>
              <w:spacing w:after="0"/>
              <w:rPr>
                <w:sz w:val="13"/>
                <w:szCs w:val="13"/>
                <w:color w:val="auto"/>
              </w:rPr>
            </w:pPr>
          </w:p>
        </w:tc>
        <w:tc>
          <w:tcPr>
            <w:tcW w:w="4500" w:type="dxa"/>
            <w:vAlign w:val="bottom"/>
          </w:tcPr>
          <w:p>
            <w:pPr>
              <w:ind w:left="60"/>
              <w:spacing w:after="0"/>
              <w:rPr>
                <w:sz w:val="20"/>
                <w:szCs w:val="20"/>
                <w:color w:val="auto"/>
              </w:rPr>
            </w:pPr>
            <w:r>
              <w:rPr>
                <w:rFonts w:ascii="Arial" w:cs="Arial" w:eastAsia="Arial" w:hAnsi="Arial"/>
                <w:sz w:val="13"/>
                <w:szCs w:val="13"/>
                <w:color w:val="auto"/>
              </w:rPr>
              <w:t>Work Plan</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Arial" w:cs="Arial" w:eastAsia="Arial" w:hAnsi="Arial"/>
                <w:sz w:val="13"/>
                <w:szCs w:val="13"/>
                <w:color w:val="auto"/>
                <w:w w:val="88"/>
              </w:rPr>
              <w:t>CN101653023</w:t>
            </w:r>
          </w:p>
        </w:tc>
        <w:tc>
          <w:tcPr>
            <w:tcW w:w="4500" w:type="dxa"/>
            <w:vAlign w:val="bottom"/>
          </w:tcPr>
          <w:p>
            <w:pPr>
              <w:ind w:left="60"/>
              <w:spacing w:after="0"/>
              <w:rPr>
                <w:sz w:val="20"/>
                <w:szCs w:val="20"/>
                <w:color w:val="auto"/>
              </w:rPr>
            </w:pPr>
            <w:r>
              <w:rPr>
                <w:rFonts w:ascii="Arial" w:cs="Arial" w:eastAsia="Arial" w:hAnsi="Arial"/>
                <w:sz w:val="13"/>
                <w:szCs w:val="13"/>
                <w:color w:val="auto"/>
              </w:rPr>
              <w:t>Radio Telecommunications Network Management</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3"/>
                <w:szCs w:val="13"/>
                <w:color w:val="auto"/>
                <w:w w:val="85"/>
              </w:rPr>
              <w:t>EP2132915</w:t>
            </w:r>
          </w:p>
        </w:tc>
        <w:tc>
          <w:tcPr>
            <w:tcW w:w="4500" w:type="dxa"/>
            <w:vAlign w:val="bottom"/>
          </w:tcPr>
          <w:p>
            <w:pPr>
              <w:ind w:left="60"/>
              <w:spacing w:after="0"/>
              <w:rPr>
                <w:sz w:val="20"/>
                <w:szCs w:val="20"/>
                <w:color w:val="auto"/>
              </w:rPr>
            </w:pPr>
            <w:r>
              <w:rPr>
                <w:rFonts w:ascii="Arial" w:cs="Arial" w:eastAsia="Arial" w:hAnsi="Arial"/>
                <w:sz w:val="13"/>
                <w:szCs w:val="13"/>
                <w:color w:val="auto"/>
              </w:rPr>
              <w:t>Radio Telecommunications Network Management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-6609715</wp:posOffset>
            </wp:positionV>
            <wp:extent cx="7246620" cy="2571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-6095365</wp:posOffset>
            </wp:positionV>
            <wp:extent cx="7246620" cy="2571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-5580380</wp:posOffset>
            </wp:positionV>
            <wp:extent cx="7246620" cy="2571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-5066030</wp:posOffset>
            </wp:positionV>
            <wp:extent cx="7246620" cy="2571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-4551680</wp:posOffset>
            </wp:positionV>
            <wp:extent cx="7246620" cy="2571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-4036695</wp:posOffset>
            </wp:positionV>
            <wp:extent cx="7246620" cy="2571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-3522345</wp:posOffset>
            </wp:positionV>
            <wp:extent cx="7246620" cy="2571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-3007995</wp:posOffset>
            </wp:positionV>
            <wp:extent cx="7246620" cy="2571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-2493645</wp:posOffset>
            </wp:positionV>
            <wp:extent cx="7246620" cy="2571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-1978660</wp:posOffset>
            </wp:positionV>
            <wp:extent cx="7246620" cy="2571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-1464310</wp:posOffset>
            </wp:positionV>
            <wp:extent cx="7246620" cy="2571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-949960</wp:posOffset>
            </wp:positionV>
            <wp:extent cx="7246620" cy="2571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-434975</wp:posOffset>
            </wp:positionV>
            <wp:extent cx="7246620" cy="2571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78740</wp:posOffset>
            </wp:positionV>
            <wp:extent cx="7246620" cy="2571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5874/CHENP/2009 Radio Telecommunications Network Management</w:t>
      </w:r>
    </w:p>
    <w:p>
      <w:pPr>
        <w:spacing w:after="0" w:line="256" w:lineRule="exact"/>
        <w:rPr>
          <w:sz w:val="20"/>
          <w:szCs w:val="20"/>
          <w:color w:val="auto"/>
        </w:rPr>
      </w:pPr>
    </w:p>
    <w:p>
      <w:pPr>
        <w:ind w:left="200"/>
        <w:spacing w:after="0"/>
        <w:tabs>
          <w:tab w:leader="none" w:pos="1000" w:val="left"/>
        </w:tabs>
        <w:rPr>
          <w:sz w:val="20"/>
          <w:szCs w:val="20"/>
          <w:color w:val="auto"/>
        </w:rPr>
      </w:pPr>
      <w:r>
        <w:rPr>
          <w:rFonts w:ascii="Arial" w:cs="Arial" w:eastAsia="Arial" w:hAnsi="Arial"/>
          <w:sz w:val="13"/>
          <w:szCs w:val="13"/>
          <w:color w:val="auto"/>
        </w:rPr>
        <w:t>US7907969</w:t>
      </w:r>
      <w:r>
        <w:rPr>
          <w:sz w:val="20"/>
          <w:szCs w:val="20"/>
          <w:color w:val="auto"/>
        </w:rPr>
        <w:tab/>
      </w:r>
      <w:r>
        <w:rPr>
          <w:rFonts w:ascii="Arial" w:cs="Arial" w:eastAsia="Arial" w:hAnsi="Arial"/>
          <w:sz w:val="13"/>
          <w:szCs w:val="13"/>
          <w:color w:val="auto"/>
        </w:rPr>
        <w:t>Radio Telecommunications Network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85725</wp:posOffset>
            </wp:positionV>
            <wp:extent cx="7246620" cy="2571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36"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Content Purchaser Distribution Payment System</w:t>
      </w:r>
    </w:p>
    <w:p>
      <w:pPr>
        <w:spacing w:after="0" w:line="256"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3"/>
          <w:szCs w:val="13"/>
          <w:color w:val="auto"/>
        </w:rPr>
        <w:t>US20080256627</w:t>
      </w:r>
      <w:r>
        <w:rPr>
          <w:sz w:val="20"/>
          <w:szCs w:val="20"/>
          <w:color w:val="auto"/>
        </w:rPr>
        <w:tab/>
      </w:r>
      <w:r>
        <w:rPr>
          <w:rFonts w:ascii="Arial" w:cs="Arial" w:eastAsia="Arial" w:hAnsi="Arial"/>
          <w:sz w:val="11"/>
          <w:szCs w:val="11"/>
          <w:color w:val="auto"/>
        </w:rPr>
        <w:t>Copyrights With Post-Payments For P2P File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85725</wp:posOffset>
            </wp:positionV>
            <wp:extent cx="7246620" cy="2571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36" w:lineRule="exact"/>
        <w:rPr>
          <w:sz w:val="20"/>
          <w:szCs w:val="20"/>
          <w:color w:val="auto"/>
        </w:rPr>
      </w:pPr>
    </w:p>
    <w:p>
      <w:pPr>
        <w:ind w:left="200"/>
        <w:spacing w:after="0"/>
        <w:tabs>
          <w:tab w:leader="none" w:pos="1000" w:val="left"/>
        </w:tabs>
        <w:rPr>
          <w:sz w:val="20"/>
          <w:szCs w:val="20"/>
          <w:color w:val="auto"/>
        </w:rPr>
      </w:pPr>
      <w:r>
        <w:rPr>
          <w:rFonts w:ascii="Arial" w:cs="Arial" w:eastAsia="Arial" w:hAnsi="Arial"/>
          <w:sz w:val="13"/>
          <w:szCs w:val="13"/>
          <w:color w:val="auto"/>
        </w:rPr>
        <w:t>US6577721</w:t>
      </w:r>
      <w:r>
        <w:rPr>
          <w:sz w:val="20"/>
          <w:szCs w:val="20"/>
          <w:color w:val="auto"/>
        </w:rPr>
        <w:tab/>
      </w:r>
      <w:r>
        <w:rPr>
          <w:rFonts w:ascii="Arial" w:cs="Arial" w:eastAsia="Arial" w:hAnsi="Arial"/>
          <w:sz w:val="13"/>
          <w:szCs w:val="13"/>
          <w:color w:val="auto"/>
        </w:rPr>
        <w:t>Conference Call</w:t>
      </w:r>
    </w:p>
    <w:p>
      <w:pPr>
        <w:spacing w:after="0" w:line="256" w:lineRule="exact"/>
        <w:rPr>
          <w:sz w:val="20"/>
          <w:szCs w:val="20"/>
          <w:color w:val="auto"/>
        </w:rPr>
      </w:pPr>
    </w:p>
    <w:p>
      <w:pPr>
        <w:ind w:left="200"/>
        <w:spacing w:after="0"/>
        <w:tabs>
          <w:tab w:leader="none" w:pos="1000" w:val="left"/>
        </w:tabs>
        <w:rPr>
          <w:sz w:val="20"/>
          <w:szCs w:val="20"/>
          <w:color w:val="auto"/>
        </w:rPr>
      </w:pPr>
      <w:r>
        <w:rPr>
          <w:rFonts w:ascii="Arial" w:cs="Arial" w:eastAsia="Arial" w:hAnsi="Arial"/>
          <w:sz w:val="13"/>
          <w:szCs w:val="13"/>
          <w:color w:val="auto"/>
        </w:rPr>
        <w:t>US6029065</w:t>
      </w:r>
      <w:r>
        <w:rPr>
          <w:sz w:val="20"/>
          <w:szCs w:val="20"/>
          <w:color w:val="auto"/>
        </w:rPr>
        <w:tab/>
      </w:r>
      <w:r>
        <w:rPr>
          <w:rFonts w:ascii="Arial" w:cs="Arial" w:eastAsia="Arial" w:hAnsi="Arial"/>
          <w:sz w:val="13"/>
          <w:szCs w:val="13"/>
          <w:color w:val="auto"/>
        </w:rPr>
        <w:t>Remote Feature Code Programming For Mobile Stations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85725</wp:posOffset>
            </wp:positionV>
            <wp:extent cx="7246620" cy="2571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Antti Forstadius [Fi]</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Antti Forstadius [Fi]</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Antti Forstadius [Fi]</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Antti Forstadius [Fi]</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Antti Forstadius [Fi]</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Nieminen Ari [Se]</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Nieminen Ari [Se]</w:t>
      </w:r>
    </w:p>
    <w:p>
      <w:pPr>
        <w:spacing w:after="0" w:line="188" w:lineRule="exact"/>
        <w:rPr>
          <w:sz w:val="20"/>
          <w:szCs w:val="20"/>
          <w:color w:val="auto"/>
        </w:rPr>
      </w:pPr>
    </w:p>
    <w:p>
      <w:pPr>
        <w:ind w:right="80"/>
        <w:spacing w:after="0" w:line="237" w:lineRule="auto"/>
        <w:rPr>
          <w:sz w:val="20"/>
          <w:szCs w:val="20"/>
          <w:color w:val="auto"/>
        </w:rPr>
      </w:pPr>
      <w:r>
        <w:rPr>
          <w:rFonts w:ascii="Arial" w:cs="Arial" w:eastAsia="Arial" w:hAnsi="Arial"/>
          <w:sz w:val="13"/>
          <w:szCs w:val="13"/>
          <w:color w:val="auto"/>
        </w:rPr>
        <w:t>Vesterinen Seppo [Fi] Rinne Mikko J [Fi]</w:t>
      </w:r>
    </w:p>
    <w:p>
      <w:pPr>
        <w:spacing w:after="0" w:line="110" w:lineRule="exact"/>
        <w:rPr>
          <w:sz w:val="20"/>
          <w:szCs w:val="20"/>
          <w:color w:val="auto"/>
        </w:rPr>
      </w:pPr>
    </w:p>
    <w:p>
      <w:pPr>
        <w:ind w:right="80"/>
        <w:spacing w:after="0" w:line="237" w:lineRule="auto"/>
        <w:rPr>
          <w:sz w:val="20"/>
          <w:szCs w:val="20"/>
          <w:color w:val="auto"/>
        </w:rPr>
      </w:pPr>
      <w:r>
        <w:rPr>
          <w:rFonts w:ascii="Arial" w:cs="Arial" w:eastAsia="Arial" w:hAnsi="Arial"/>
          <w:sz w:val="13"/>
          <w:szCs w:val="13"/>
          <w:color w:val="auto"/>
        </w:rPr>
        <w:t>Vesterinen Seppo [Fi] Rinne Mikko J [Fi]</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Guyot Olivier [Tw] Hwang Woonhee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Guyot Olivier [Tw] Hwang Woonhee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Guyot Olivier [Tw] Hwang Woonhee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Guyot Olivier [Tw] Hwang Woonhee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Guyot Olivier [Tw] Hwang Woonhee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Guyot Olivier [Tw] Hwang Woonhee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Guyot Olivier [Tw] Hwang Woonhee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Guyot Olivier [Tw] Hwang Woonhee [Fi] (+1)</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Guyot Olivier [Tw] Hwang Woonhee [Fi] (+1)</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Suomela Riku [Fi]</w:t>
      </w:r>
    </w:p>
    <w:p>
      <w:pPr>
        <w:spacing w:after="0" w:line="188" w:lineRule="exact"/>
        <w:rPr>
          <w:sz w:val="20"/>
          <w:szCs w:val="20"/>
          <w:color w:val="auto"/>
        </w:rPr>
      </w:pPr>
    </w:p>
    <w:p>
      <w:pPr>
        <w:ind w:right="260"/>
        <w:spacing w:after="0" w:line="237" w:lineRule="auto"/>
        <w:rPr>
          <w:sz w:val="20"/>
          <w:szCs w:val="20"/>
          <w:color w:val="auto"/>
        </w:rPr>
      </w:pPr>
      <w:r>
        <w:rPr>
          <w:rFonts w:ascii="Arial" w:cs="Arial" w:eastAsia="Arial" w:hAnsi="Arial"/>
          <w:sz w:val="13"/>
          <w:szCs w:val="13"/>
          <w:color w:val="auto"/>
        </w:rPr>
        <w:t>Jyske Eero [Us] K671Paila Toni [Us]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Sairanen Jussipekka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Pedersen Klaus I [Dk]</w:t>
      </w: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Forsberg Dan [Fi] Niemi Valtteri [Fi]</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Forsberg Dan [Fi] Niemi Valtteri [Fi]</w:t>
      </w: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Forsberg Dan [Fi] Niemi Valtteri [Fi]</w:t>
      </w:r>
    </w:p>
    <w:p>
      <w:pPr>
        <w:spacing w:after="0" w:line="211" w:lineRule="exact"/>
        <w:rPr>
          <w:sz w:val="20"/>
          <w:szCs w:val="20"/>
          <w:color w:val="auto"/>
        </w:rPr>
      </w:pPr>
    </w:p>
    <w:p>
      <w:pPr>
        <w:ind w:right="280"/>
        <w:spacing w:after="0" w:line="237" w:lineRule="auto"/>
        <w:rPr>
          <w:sz w:val="20"/>
          <w:szCs w:val="20"/>
          <w:color w:val="auto"/>
        </w:rPr>
      </w:pPr>
      <w:r>
        <w:rPr>
          <w:rFonts w:ascii="Arial" w:cs="Arial" w:eastAsia="Arial" w:hAnsi="Arial"/>
          <w:sz w:val="13"/>
          <w:szCs w:val="13"/>
          <w:color w:val="auto"/>
        </w:rPr>
        <w:t>Sulander Saku A [Fi] Haikonen Mikko [Fi] (+4)</w:t>
      </w:r>
    </w:p>
    <w:p>
      <w:pPr>
        <w:spacing w:after="0" w:line="110" w:lineRule="exact"/>
        <w:rPr>
          <w:sz w:val="20"/>
          <w:szCs w:val="20"/>
          <w:color w:val="auto"/>
        </w:rPr>
      </w:pPr>
    </w:p>
    <w:p>
      <w:pPr>
        <w:ind w:right="200"/>
        <w:spacing w:after="0" w:line="237" w:lineRule="auto"/>
        <w:rPr>
          <w:sz w:val="20"/>
          <w:szCs w:val="20"/>
          <w:color w:val="auto"/>
        </w:rPr>
      </w:pPr>
      <w:r>
        <w:rPr>
          <w:rFonts w:ascii="Arial" w:cs="Arial" w:eastAsia="Arial" w:hAnsi="Arial"/>
          <w:sz w:val="13"/>
          <w:szCs w:val="13"/>
          <w:color w:val="auto"/>
        </w:rPr>
        <w:t>Heikki Pulkkinen Miikka Huomo (+2)</w:t>
      </w:r>
    </w:p>
    <w:p>
      <w:pPr>
        <w:spacing w:after="0" w:line="110" w:lineRule="exact"/>
        <w:rPr>
          <w:sz w:val="20"/>
          <w:szCs w:val="20"/>
          <w:color w:val="auto"/>
        </w:rPr>
      </w:pPr>
    </w:p>
    <w:p>
      <w:pPr>
        <w:ind w:right="200"/>
        <w:spacing w:after="0" w:line="237" w:lineRule="auto"/>
        <w:rPr>
          <w:sz w:val="20"/>
          <w:szCs w:val="20"/>
          <w:color w:val="auto"/>
        </w:rPr>
      </w:pPr>
      <w:r>
        <w:rPr>
          <w:rFonts w:ascii="Arial" w:cs="Arial" w:eastAsia="Arial" w:hAnsi="Arial"/>
          <w:sz w:val="13"/>
          <w:szCs w:val="13"/>
          <w:color w:val="auto"/>
        </w:rPr>
        <w:t>Heikki Pulkkinen Miikka Huomo (+2)</w:t>
      </w:r>
    </w:p>
    <w:p>
      <w:pPr>
        <w:spacing w:after="0" w:line="110" w:lineRule="exact"/>
        <w:rPr>
          <w:sz w:val="20"/>
          <w:szCs w:val="20"/>
          <w:color w:val="auto"/>
        </w:rPr>
      </w:pPr>
    </w:p>
    <w:p>
      <w:pPr>
        <w:ind w:right="200"/>
        <w:spacing w:after="0" w:line="237" w:lineRule="auto"/>
        <w:rPr>
          <w:sz w:val="20"/>
          <w:szCs w:val="20"/>
          <w:color w:val="auto"/>
        </w:rPr>
      </w:pPr>
      <w:r>
        <w:rPr>
          <w:rFonts w:ascii="Arial" w:cs="Arial" w:eastAsia="Arial" w:hAnsi="Arial"/>
          <w:sz w:val="13"/>
          <w:szCs w:val="13"/>
          <w:color w:val="auto"/>
        </w:rPr>
        <w:t>Heikki Pulkkinen Miikka Huomo (+2)</w:t>
      </w:r>
    </w:p>
    <w:p>
      <w:pPr>
        <w:spacing w:after="0" w:line="110" w:lineRule="exact"/>
        <w:rPr>
          <w:sz w:val="20"/>
          <w:szCs w:val="20"/>
          <w:color w:val="auto"/>
        </w:rPr>
      </w:pPr>
    </w:p>
    <w:p>
      <w:pPr>
        <w:ind w:right="200"/>
        <w:spacing w:after="0" w:line="237" w:lineRule="auto"/>
        <w:rPr>
          <w:sz w:val="20"/>
          <w:szCs w:val="20"/>
          <w:color w:val="auto"/>
        </w:rPr>
      </w:pPr>
      <w:r>
        <w:rPr>
          <w:rFonts w:ascii="Arial" w:cs="Arial" w:eastAsia="Arial" w:hAnsi="Arial"/>
          <w:sz w:val="13"/>
          <w:szCs w:val="13"/>
          <w:color w:val="auto"/>
        </w:rPr>
        <w:t>Heikki Pulkkinen Miikka Huomo (+2)</w:t>
      </w:r>
    </w:p>
    <w:p>
      <w:pPr>
        <w:spacing w:after="0" w:line="110" w:lineRule="exact"/>
        <w:rPr>
          <w:sz w:val="20"/>
          <w:szCs w:val="20"/>
          <w:color w:val="auto"/>
        </w:rPr>
      </w:pPr>
    </w:p>
    <w:p>
      <w:pPr>
        <w:ind w:right="160"/>
        <w:spacing w:after="0" w:line="237" w:lineRule="auto"/>
        <w:rPr>
          <w:sz w:val="20"/>
          <w:szCs w:val="20"/>
          <w:color w:val="auto"/>
        </w:rPr>
      </w:pPr>
      <w:r>
        <w:rPr>
          <w:rFonts w:ascii="Arial" w:cs="Arial" w:eastAsia="Arial" w:hAnsi="Arial"/>
          <w:sz w:val="13"/>
          <w:szCs w:val="13"/>
          <w:color w:val="auto"/>
        </w:rPr>
        <w:t>Kokkinen Heikki [Fi], Andrew K. Lang, Steven Spencer</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Kokkinen Heikki [Fi]</w:t>
      </w:r>
    </w:p>
    <w:p>
      <w:pPr>
        <w:spacing w:after="0" w:line="188" w:lineRule="exact"/>
        <w:rPr>
          <w:sz w:val="20"/>
          <w:szCs w:val="20"/>
          <w:color w:val="auto"/>
        </w:rPr>
      </w:pPr>
    </w:p>
    <w:p>
      <w:pPr>
        <w:ind w:right="20"/>
        <w:spacing w:after="0" w:line="237" w:lineRule="auto"/>
        <w:rPr>
          <w:sz w:val="20"/>
          <w:szCs w:val="20"/>
          <w:color w:val="auto"/>
        </w:rPr>
      </w:pPr>
      <w:r>
        <w:rPr>
          <w:rFonts w:ascii="Arial" w:cs="Arial" w:eastAsia="Arial" w:hAnsi="Arial"/>
          <w:sz w:val="13"/>
          <w:szCs w:val="13"/>
          <w:color w:val="auto"/>
        </w:rPr>
        <w:t>Vainio Aimo [Us] Pussinen Arto [Fi] (+2)</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Shah Bharat [Us]</w:t>
      </w:r>
    </w:p>
    <w:p>
      <w:pPr>
        <w:spacing w:after="0" w:line="20" w:lineRule="exact"/>
        <w:rPr>
          <w:sz w:val="20"/>
          <w:szCs w:val="20"/>
          <w:color w:val="auto"/>
        </w:rPr>
      </w:pPr>
      <w:r>
        <w:rPr>
          <w:sz w:val="20"/>
          <w:szCs w:val="20"/>
          <w:color w:val="auto"/>
        </w:rPr>
        <w:br w:type="column"/>
      </w:r>
    </w:p>
    <w:p>
      <w:pPr>
        <w:jc w:val="center"/>
        <w:spacing w:after="0" w:line="216" w:lineRule="auto"/>
        <w:rPr>
          <w:sz w:val="20"/>
          <w:szCs w:val="20"/>
          <w:color w:val="auto"/>
        </w:rPr>
      </w:pPr>
      <w:r>
        <w:rPr>
          <w:rFonts w:ascii="Arial" w:cs="Arial" w:eastAsia="Arial" w:hAnsi="Arial"/>
          <w:sz w:val="13"/>
          <w:szCs w:val="13"/>
          <w:color w:val="auto"/>
        </w:rPr>
        <w:t>Not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ETSI</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ETSI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227" w:lineRule="exact"/>
        <w:rPr>
          <w:sz w:val="20"/>
          <w:szCs w:val="20"/>
          <w:color w:val="auto"/>
        </w:rPr>
      </w:pPr>
    </w:p>
    <w:p>
      <w:pPr>
        <w:sectPr>
          <w:pgSz w:w="11900" w:h="16838" w:orient="portrait"/>
          <w:cols w:equalWidth="0" w:num="5">
            <w:col w:w="1820" w:space="280"/>
            <w:col w:w="1240" w:space="80"/>
            <w:col w:w="5460" w:space="60"/>
            <w:col w:w="1880" w:space="40"/>
            <w:col w:w="460"/>
          </w:cols>
          <w:pgMar w:left="280" w:top="111" w:right="299" w:bottom="0" w:gutter="0" w:footer="0" w:header="0"/>
          <w:type w:val="continuous"/>
        </w:sectPr>
      </w:pPr>
    </w:p>
    <w:tbl>
      <w:tblPr>
        <w:tblLayout w:type="fixed"/>
        <w:tblInd w:w="40" w:type="dxa"/>
        <w:tblCellMar>
          <w:top w:w="0" w:type="dxa"/>
          <w:left w:w="0" w:type="dxa"/>
          <w:bottom w:w="0" w:type="dxa"/>
          <w:right w:w="0" w:type="dxa"/>
        </w:tblCellMar>
      </w:tblPr>
      <w:tr>
        <w:trPr>
          <w:trHeight w:val="125"/>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0"/>
              </w:rPr>
              <w:t>CN01</w:t>
            </w:r>
          </w:p>
        </w:tc>
        <w:tc>
          <w:tcPr>
            <w:tcW w:w="900" w:type="dxa"/>
            <w:vAlign w:val="bottom"/>
          </w:tcPr>
          <w:p>
            <w:pPr>
              <w:jc w:val="center"/>
              <w:spacing w:after="0" w:line="125"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ind w:left="100"/>
              <w:spacing w:after="0" w:line="125" w:lineRule="exact"/>
              <w:rPr>
                <w:sz w:val="20"/>
                <w:szCs w:val="20"/>
                <w:color w:val="auto"/>
              </w:rPr>
            </w:pPr>
            <w:r>
              <w:rPr>
                <w:rFonts w:ascii="Arial" w:cs="Arial" w:eastAsia="Arial" w:hAnsi="Arial"/>
                <w:sz w:val="13"/>
                <w:szCs w:val="13"/>
                <w:color w:val="auto"/>
                <w:w w:val="84"/>
              </w:rPr>
              <w:t>CN</w:t>
            </w: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A7158VI-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ind w:left="100"/>
              <w:spacing w:after="0" w:line="135" w:lineRule="exact"/>
              <w:rPr>
                <w:sz w:val="20"/>
                <w:szCs w:val="20"/>
                <w:color w:val="auto"/>
              </w:rPr>
            </w:pPr>
            <w:r>
              <w:rPr>
                <w:rFonts w:ascii="Arial" w:cs="Arial" w:eastAsia="Arial" w:hAnsi="Arial"/>
                <w:sz w:val="13"/>
                <w:szCs w:val="13"/>
                <w:color w:val="auto"/>
                <w:w w:val="84"/>
              </w:rPr>
              <w:t>GB</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0"/>
              </w:rPr>
              <w:t>GB01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A7158VI-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ind w:left="120"/>
              <w:spacing w:after="0" w:line="135" w:lineRule="exact"/>
              <w:rPr>
                <w:sz w:val="20"/>
                <w:szCs w:val="20"/>
                <w:color w:val="auto"/>
              </w:rPr>
            </w:pPr>
            <w:r>
              <w:rPr>
                <w:rFonts w:ascii="Arial" w:cs="Arial" w:eastAsia="Arial" w:hAnsi="Arial"/>
                <w:sz w:val="13"/>
                <w:szCs w:val="13"/>
                <w:color w:val="auto"/>
                <w:w w:val="83"/>
              </w:rPr>
              <w:t>NL</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6"/>
              </w:rPr>
              <w:t>NL01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A7158VI-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ind w:left="120"/>
              <w:spacing w:after="0" w:line="135" w:lineRule="exact"/>
              <w:rPr>
                <w:sz w:val="20"/>
                <w:szCs w:val="20"/>
                <w:color w:val="auto"/>
              </w:rPr>
            </w:pPr>
            <w:r>
              <w:rPr>
                <w:rFonts w:ascii="Arial" w:cs="Arial" w:eastAsia="Arial" w:hAnsi="Arial"/>
                <w:sz w:val="13"/>
                <w:szCs w:val="13"/>
                <w:color w:val="auto"/>
                <w:w w:val="77"/>
              </w:rPr>
              <w:t>US</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US01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A7164VI-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ind w:left="100"/>
              <w:spacing w:after="0" w:line="135" w:lineRule="exact"/>
              <w:rPr>
                <w:sz w:val="20"/>
                <w:szCs w:val="20"/>
                <w:color w:val="auto"/>
              </w:rPr>
            </w:pPr>
            <w:r>
              <w:rPr>
                <w:rFonts w:ascii="Arial" w:cs="Arial" w:eastAsia="Arial" w:hAnsi="Arial"/>
                <w:sz w:val="13"/>
                <w:szCs w:val="13"/>
                <w:color w:val="auto"/>
                <w:w w:val="88"/>
              </w:rPr>
              <w:t>AU</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AU01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A7164VI-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ind w:left="100"/>
              <w:spacing w:after="0" w:line="135" w:lineRule="exact"/>
              <w:rPr>
                <w:sz w:val="20"/>
                <w:szCs w:val="20"/>
                <w:color w:val="auto"/>
              </w:rPr>
            </w:pPr>
            <w:r>
              <w:rPr>
                <w:rFonts w:ascii="Arial" w:cs="Arial" w:eastAsia="Arial" w:hAnsi="Arial"/>
                <w:sz w:val="13"/>
                <w:szCs w:val="13"/>
                <w:color w:val="auto"/>
                <w:w w:val="84"/>
              </w:rPr>
              <w:t>CN</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0"/>
              </w:rPr>
              <w:t>CN01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92"/>
              </w:rPr>
              <w:t>24-Nov-95</w:t>
            </w:r>
          </w:p>
        </w:tc>
        <w:tc>
          <w:tcPr>
            <w:tcW w:w="840" w:type="dxa"/>
            <w:vAlign w:val="bottom"/>
          </w:tcPr>
          <w:p>
            <w:pPr>
              <w:jc w:val="center"/>
              <w:spacing w:after="0"/>
              <w:rPr>
                <w:sz w:val="20"/>
                <w:szCs w:val="20"/>
                <w:color w:val="auto"/>
              </w:rPr>
            </w:pPr>
            <w:r>
              <w:rPr>
                <w:rFonts w:ascii="Arial" w:cs="Arial" w:eastAsia="Arial" w:hAnsi="Arial"/>
                <w:sz w:val="13"/>
                <w:szCs w:val="13"/>
                <w:color w:val="auto"/>
                <w:w w:val="89"/>
              </w:rPr>
              <w:t>CN1084985</w:t>
            </w:r>
          </w:p>
        </w:tc>
        <w:tc>
          <w:tcPr>
            <w:tcW w:w="4480" w:type="dxa"/>
            <w:vAlign w:val="bottom"/>
          </w:tcPr>
          <w:p>
            <w:pPr>
              <w:ind w:left="120"/>
              <w:spacing w:after="0"/>
              <w:rPr>
                <w:sz w:val="20"/>
                <w:szCs w:val="20"/>
                <w:color w:val="auto"/>
              </w:rPr>
            </w:pPr>
            <w:r>
              <w:rPr>
                <w:rFonts w:ascii="Arial" w:cs="Arial" w:eastAsia="Arial" w:hAnsi="Arial"/>
                <w:sz w:val="13"/>
                <w:szCs w:val="13"/>
                <w:color w:val="auto"/>
              </w:rPr>
              <w:t>Method For Indicating A Multi-Slot Channel In A TDMA Radio-System</w:t>
            </w:r>
          </w:p>
        </w:tc>
        <w:tc>
          <w:tcPr>
            <w:tcW w:w="1560" w:type="dxa"/>
            <w:vAlign w:val="bottom"/>
          </w:tcPr>
          <w:p>
            <w:pPr>
              <w:ind w:left="140"/>
              <w:spacing w:after="0"/>
              <w:rPr>
                <w:sz w:val="20"/>
                <w:szCs w:val="20"/>
                <w:color w:val="auto"/>
              </w:rPr>
            </w:pPr>
            <w:r>
              <w:rPr>
                <w:rFonts w:ascii="Arial" w:cs="Arial" w:eastAsia="Arial" w:hAnsi="Arial"/>
                <w:sz w:val="13"/>
                <w:szCs w:val="13"/>
                <w:color w:val="auto"/>
              </w:rPr>
              <w:t>Rajala Jussi [Fi]</w:t>
            </w:r>
          </w:p>
        </w:tc>
        <w:tc>
          <w:tcPr>
            <w:tcW w:w="960" w:type="dxa"/>
            <w:vAlign w:val="bottom"/>
          </w:tcPr>
          <w:p>
            <w:pPr>
              <w:jc w:val="center"/>
              <w:ind w:left="43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287"/>
        </w:trPr>
        <w:tc>
          <w:tcPr>
            <w:tcW w:w="540" w:type="dxa"/>
            <w:vAlign w:val="bottom"/>
            <w:vMerge w:val="restart"/>
          </w:tcPr>
          <w:p>
            <w:pPr>
              <w:spacing w:after="0"/>
              <w:rPr>
                <w:sz w:val="20"/>
                <w:szCs w:val="20"/>
                <w:color w:val="auto"/>
              </w:rPr>
            </w:pPr>
            <w:r>
              <w:rPr>
                <w:rFonts w:ascii="Arial" w:cs="Arial" w:eastAsia="Arial" w:hAnsi="Arial"/>
                <w:sz w:val="13"/>
                <w:szCs w:val="13"/>
                <w:color w:val="auto"/>
              </w:rPr>
              <w:t>Pending</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3"/>
              </w:rPr>
              <w:t>3-Nov-95</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9"/>
              </w:rPr>
              <w:t>GB2295525</w:t>
            </w:r>
          </w:p>
        </w:tc>
        <w:tc>
          <w:tcPr>
            <w:tcW w:w="4480" w:type="dxa"/>
            <w:vAlign w:val="bottom"/>
            <w:vMerge w:val="restart"/>
          </w:tcPr>
          <w:p>
            <w:pPr>
              <w:ind w:left="120"/>
              <w:spacing w:after="0"/>
              <w:rPr>
                <w:sz w:val="20"/>
                <w:szCs w:val="20"/>
                <w:color w:val="auto"/>
              </w:rPr>
            </w:pPr>
            <w:r>
              <w:rPr>
                <w:rFonts w:ascii="Arial" w:cs="Arial" w:eastAsia="Arial" w:hAnsi="Arial"/>
                <w:sz w:val="13"/>
                <w:szCs w:val="13"/>
                <w:color w:val="auto"/>
              </w:rPr>
              <w:t>Signalling Channel And Channel Type For Use By Mobile</w:t>
            </w:r>
          </w:p>
        </w:tc>
        <w:tc>
          <w:tcPr>
            <w:tcW w:w="1560" w:type="dxa"/>
            <w:vAlign w:val="bottom"/>
            <w:vMerge w:val="restart"/>
          </w:tcPr>
          <w:p>
            <w:pPr>
              <w:ind w:left="140"/>
              <w:spacing w:after="0"/>
              <w:rPr>
                <w:sz w:val="20"/>
                <w:szCs w:val="20"/>
                <w:color w:val="auto"/>
              </w:rPr>
            </w:pPr>
            <w:r>
              <w:rPr>
                <w:rFonts w:ascii="Arial" w:cs="Arial" w:eastAsia="Arial" w:hAnsi="Arial"/>
                <w:sz w:val="13"/>
                <w:szCs w:val="13"/>
                <w:color w:val="auto"/>
              </w:rPr>
              <w:t>Rajala Jussi [Fi]</w:t>
            </w:r>
          </w:p>
        </w:tc>
        <w:tc>
          <w:tcPr>
            <w:tcW w:w="960" w:type="dxa"/>
            <w:vAlign w:val="bottom"/>
          </w:tcPr>
          <w:p>
            <w:pPr>
              <w:jc w:val="center"/>
              <w:ind w:left="45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960" w:type="dxa"/>
            <w:vAlign w:val="bottom"/>
            <w:vMerge w:val="restart"/>
          </w:tcPr>
          <w:p>
            <w:pPr>
              <w:jc w:val="center"/>
              <w:ind w:left="437"/>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3"/>
                <w:szCs w:val="13"/>
                <w:color w:val="auto"/>
              </w:rPr>
              <w:t>Pending</w:t>
            </w:r>
          </w:p>
        </w:tc>
        <w:tc>
          <w:tcPr>
            <w:tcW w:w="820" w:type="dxa"/>
            <w:vAlign w:val="bottom"/>
          </w:tcPr>
          <w:p>
            <w:pPr>
              <w:jc w:val="center"/>
              <w:spacing w:after="0"/>
              <w:rPr>
                <w:sz w:val="20"/>
                <w:szCs w:val="20"/>
                <w:color w:val="auto"/>
              </w:rPr>
            </w:pPr>
            <w:r>
              <w:rPr>
                <w:rFonts w:ascii="Arial" w:cs="Arial" w:eastAsia="Arial" w:hAnsi="Arial"/>
                <w:sz w:val="13"/>
                <w:szCs w:val="13"/>
                <w:color w:val="auto"/>
                <w:w w:val="92"/>
              </w:rPr>
              <w:t>24-Nov-95</w:t>
            </w: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NL1001744</w:t>
            </w:r>
          </w:p>
        </w:tc>
        <w:tc>
          <w:tcPr>
            <w:tcW w:w="4480" w:type="dxa"/>
            <w:vAlign w:val="bottom"/>
          </w:tcPr>
          <w:p>
            <w:pPr>
              <w:ind w:left="120"/>
              <w:spacing w:after="0"/>
              <w:rPr>
                <w:sz w:val="20"/>
                <w:szCs w:val="20"/>
                <w:color w:val="auto"/>
              </w:rPr>
            </w:pPr>
            <w:r>
              <w:rPr>
                <w:rFonts w:ascii="Arial" w:cs="Arial" w:eastAsia="Arial" w:hAnsi="Arial"/>
                <w:sz w:val="13"/>
                <w:szCs w:val="13"/>
                <w:color w:val="auto"/>
              </w:rPr>
              <w:t>Signalling Channel And Channel Type For Use By Mobile</w:t>
            </w:r>
          </w:p>
        </w:tc>
        <w:tc>
          <w:tcPr>
            <w:tcW w:w="1560" w:type="dxa"/>
            <w:vAlign w:val="bottom"/>
          </w:tcPr>
          <w:p>
            <w:pPr>
              <w:ind w:left="140"/>
              <w:spacing w:after="0"/>
              <w:rPr>
                <w:sz w:val="20"/>
                <w:szCs w:val="20"/>
                <w:color w:val="auto"/>
              </w:rPr>
            </w:pPr>
            <w:r>
              <w:rPr>
                <w:rFonts w:ascii="Arial" w:cs="Arial" w:eastAsia="Arial" w:hAnsi="Arial"/>
                <w:sz w:val="13"/>
                <w:szCs w:val="13"/>
                <w:color w:val="auto"/>
              </w:rPr>
              <w:t>Rajala Jussi [Fi]</w:t>
            </w:r>
          </w:p>
        </w:tc>
        <w:tc>
          <w:tcPr>
            <w:tcW w:w="960" w:type="dxa"/>
            <w:vAlign w:val="bottom"/>
          </w:tcPr>
          <w:p>
            <w:pPr>
              <w:jc w:val="center"/>
              <w:ind w:left="43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4-Aug-97</w:t>
            </w:r>
          </w:p>
        </w:tc>
        <w:tc>
          <w:tcPr>
            <w:tcW w:w="840" w:type="dxa"/>
            <w:vAlign w:val="bottom"/>
          </w:tcPr>
          <w:p>
            <w:pPr>
              <w:jc w:val="center"/>
              <w:spacing w:after="0"/>
              <w:rPr>
                <w:sz w:val="20"/>
                <w:szCs w:val="20"/>
                <w:color w:val="auto"/>
              </w:rPr>
            </w:pPr>
            <w:r>
              <w:rPr>
                <w:rFonts w:ascii="Arial" w:cs="Arial" w:eastAsia="Arial" w:hAnsi="Arial"/>
                <w:sz w:val="13"/>
                <w:szCs w:val="13"/>
                <w:color w:val="auto"/>
                <w:w w:val="87"/>
              </w:rPr>
              <w:t>US6295286</w:t>
            </w:r>
          </w:p>
        </w:tc>
        <w:tc>
          <w:tcPr>
            <w:tcW w:w="4480" w:type="dxa"/>
            <w:vAlign w:val="bottom"/>
          </w:tcPr>
          <w:p>
            <w:pPr>
              <w:ind w:left="120"/>
              <w:spacing w:after="0"/>
              <w:rPr>
                <w:sz w:val="20"/>
                <w:szCs w:val="20"/>
                <w:color w:val="auto"/>
              </w:rPr>
            </w:pPr>
            <w:r>
              <w:rPr>
                <w:rFonts w:ascii="Arial" w:cs="Arial" w:eastAsia="Arial" w:hAnsi="Arial"/>
                <w:sz w:val="13"/>
                <w:szCs w:val="13"/>
                <w:color w:val="auto"/>
              </w:rPr>
              <w:t>Method For Indicating A Multi-Slot Channel In A TDMA Radio System</w:t>
            </w:r>
          </w:p>
        </w:tc>
        <w:tc>
          <w:tcPr>
            <w:tcW w:w="1560" w:type="dxa"/>
            <w:vAlign w:val="bottom"/>
          </w:tcPr>
          <w:p>
            <w:pPr>
              <w:ind w:left="140"/>
              <w:spacing w:after="0"/>
              <w:rPr>
                <w:sz w:val="20"/>
                <w:szCs w:val="20"/>
                <w:color w:val="auto"/>
              </w:rPr>
            </w:pPr>
            <w:r>
              <w:rPr>
                <w:rFonts w:ascii="Arial" w:cs="Arial" w:eastAsia="Arial" w:hAnsi="Arial"/>
                <w:sz w:val="13"/>
                <w:szCs w:val="13"/>
                <w:color w:val="auto"/>
              </w:rPr>
              <w:t>Rajala Jussi [Fi]</w:t>
            </w:r>
          </w:p>
        </w:tc>
        <w:tc>
          <w:tcPr>
            <w:tcW w:w="960" w:type="dxa"/>
            <w:vAlign w:val="bottom"/>
          </w:tcPr>
          <w:p>
            <w:pPr>
              <w:jc w:val="center"/>
              <w:ind w:left="43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12"/>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0"/>
              </w:rPr>
              <w:t>29-May-96</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1"/>
              </w:rPr>
              <w:t>AU716363</w:t>
            </w:r>
          </w:p>
        </w:tc>
        <w:tc>
          <w:tcPr>
            <w:tcW w:w="4480" w:type="dxa"/>
            <w:vAlign w:val="bottom"/>
          </w:tcPr>
          <w:p>
            <w:pPr>
              <w:ind w:left="120"/>
              <w:spacing w:after="0"/>
              <w:rPr>
                <w:sz w:val="20"/>
                <w:szCs w:val="20"/>
                <w:color w:val="auto"/>
              </w:rPr>
            </w:pPr>
            <w:r>
              <w:rPr>
                <w:rFonts w:ascii="Arial" w:cs="Arial" w:eastAsia="Arial" w:hAnsi="Arial"/>
                <w:sz w:val="13"/>
                <w:szCs w:val="13"/>
                <w:color w:val="auto"/>
                <w:w w:val="93"/>
              </w:rPr>
              <w:t>Implementation Of Mutual Rate Adaptations In Data Services Between GSM And</w:t>
            </w:r>
          </w:p>
        </w:tc>
        <w:tc>
          <w:tcPr>
            <w:tcW w:w="1560" w:type="dxa"/>
            <w:vAlign w:val="bottom"/>
            <w:vMerge w:val="restart"/>
          </w:tcPr>
          <w:p>
            <w:pPr>
              <w:ind w:left="140"/>
              <w:spacing w:after="0"/>
              <w:rPr>
                <w:sz w:val="20"/>
                <w:szCs w:val="20"/>
                <w:color w:val="auto"/>
              </w:rPr>
            </w:pPr>
            <w:r>
              <w:rPr>
                <w:rFonts w:ascii="Arial" w:cs="Arial" w:eastAsia="Arial" w:hAnsi="Arial"/>
                <w:sz w:val="13"/>
                <w:szCs w:val="13"/>
                <w:color w:val="auto"/>
              </w:rPr>
              <w:t>Sipila Tuomo [Fi]</w:t>
            </w:r>
          </w:p>
        </w:tc>
        <w:tc>
          <w:tcPr>
            <w:tcW w:w="960" w:type="dxa"/>
            <w:vAlign w:val="bottom"/>
            <w:vMerge w:val="restart"/>
          </w:tcPr>
          <w:p>
            <w:pPr>
              <w:jc w:val="center"/>
              <w:ind w:left="43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80" w:type="dxa"/>
            <w:vAlign w:val="bottom"/>
            <w:vMerge w:val="restart"/>
          </w:tcPr>
          <w:p>
            <w:pPr>
              <w:ind w:left="120"/>
              <w:spacing w:after="0"/>
              <w:rPr>
                <w:sz w:val="20"/>
                <w:szCs w:val="20"/>
                <w:color w:val="auto"/>
              </w:rPr>
            </w:pPr>
            <w:r>
              <w:rPr>
                <w:rFonts w:ascii="Arial" w:cs="Arial" w:eastAsia="Arial" w:hAnsi="Arial"/>
                <w:sz w:val="13"/>
                <w:szCs w:val="13"/>
                <w:color w:val="auto"/>
              </w:rPr>
              <w:t>DECT</w:t>
            </w:r>
          </w:p>
        </w:tc>
        <w:tc>
          <w:tcPr>
            <w:tcW w:w="15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0"/>
              </w:rPr>
              <w:t>29-May-96</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9"/>
              </w:rPr>
              <w:t>CN1155272</w:t>
            </w:r>
          </w:p>
        </w:tc>
        <w:tc>
          <w:tcPr>
            <w:tcW w:w="4480" w:type="dxa"/>
            <w:vAlign w:val="bottom"/>
          </w:tcPr>
          <w:p>
            <w:pPr>
              <w:ind w:left="120"/>
              <w:spacing w:after="0"/>
              <w:rPr>
                <w:sz w:val="20"/>
                <w:szCs w:val="20"/>
                <w:color w:val="auto"/>
              </w:rPr>
            </w:pPr>
            <w:r>
              <w:rPr>
                <w:rFonts w:ascii="Arial" w:cs="Arial" w:eastAsia="Arial" w:hAnsi="Arial"/>
                <w:sz w:val="13"/>
                <w:szCs w:val="13"/>
                <w:color w:val="auto"/>
                <w:w w:val="91"/>
              </w:rPr>
              <w:t>Method And Apparatus For Using Data Service Of Another System At Terminal Of</w:t>
            </w:r>
          </w:p>
        </w:tc>
        <w:tc>
          <w:tcPr>
            <w:tcW w:w="1560" w:type="dxa"/>
            <w:vAlign w:val="bottom"/>
            <w:vMerge w:val="restart"/>
          </w:tcPr>
          <w:p>
            <w:pPr>
              <w:ind w:left="140"/>
              <w:spacing w:after="0"/>
              <w:rPr>
                <w:sz w:val="20"/>
                <w:szCs w:val="20"/>
                <w:color w:val="auto"/>
              </w:rPr>
            </w:pPr>
            <w:r>
              <w:rPr>
                <w:rFonts w:ascii="Arial" w:cs="Arial" w:eastAsia="Arial" w:hAnsi="Arial"/>
                <w:sz w:val="13"/>
                <w:szCs w:val="13"/>
                <w:color w:val="auto"/>
              </w:rPr>
              <w:t>Sipila Tuomo [Fi]</w:t>
            </w:r>
          </w:p>
        </w:tc>
        <w:tc>
          <w:tcPr>
            <w:tcW w:w="960" w:type="dxa"/>
            <w:vAlign w:val="bottom"/>
            <w:vMerge w:val="restart"/>
          </w:tcPr>
          <w:p>
            <w:pPr>
              <w:jc w:val="center"/>
              <w:ind w:left="43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80" w:type="dxa"/>
            <w:vAlign w:val="bottom"/>
            <w:vMerge w:val="restart"/>
          </w:tcPr>
          <w:p>
            <w:pPr>
              <w:ind w:left="120"/>
              <w:spacing w:after="0"/>
              <w:rPr>
                <w:sz w:val="20"/>
                <w:szCs w:val="20"/>
                <w:color w:val="auto"/>
              </w:rPr>
            </w:pPr>
            <w:r>
              <w:rPr>
                <w:rFonts w:ascii="Arial" w:cs="Arial" w:eastAsia="Arial" w:hAnsi="Arial"/>
                <w:sz w:val="13"/>
                <w:szCs w:val="13"/>
                <w:color w:val="auto"/>
              </w:rPr>
              <w:t>Telecommunication System</w:t>
            </w:r>
          </w:p>
        </w:tc>
        <w:tc>
          <w:tcPr>
            <w:tcW w:w="15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-992505</wp:posOffset>
            </wp:positionV>
            <wp:extent cx="7246620" cy="2571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-478155</wp:posOffset>
            </wp:positionV>
            <wp:extent cx="7246620" cy="2571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36195</wp:posOffset>
            </wp:positionV>
            <wp:extent cx="7246620" cy="533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53340"/>
                    </a:xfrm>
                    <a:prstGeom prst="rect">
                      <a:avLst/>
                    </a:prstGeom>
                    <a:noFill/>
                  </pic:spPr>
                </pic:pic>
              </a:graphicData>
            </a:graphic>
          </wp:anchor>
        </w:drawing>
      </w:r>
    </w:p>
    <w:p>
      <w:pPr>
        <w:sectPr>
          <w:pgSz w:w="11900" w:h="16838" w:orient="portrait"/>
          <w:cols w:equalWidth="0" w:num="2">
            <w:col w:w="1800" w:space="320"/>
            <w:col w:w="9200"/>
          </w:cols>
          <w:pgMar w:left="280" w:top="111" w:right="299" w:bottom="0" w:gutter="0" w:footer="0" w:header="0"/>
          <w:type w:val="continuous"/>
        </w:sectPr>
      </w:pPr>
    </w:p>
    <w:bookmarkStart w:id="109" w:name="page110"/>
    <w:bookmarkEnd w:id="109"/>
    <w:p>
      <w:pPr>
        <w:spacing w:after="0" w:line="62"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580" w:type="dxa"/>
            <w:vAlign w:val="bottom"/>
          </w:tcPr>
          <w:p>
            <w:pPr>
              <w:jc w:val="center"/>
              <w:spacing w:after="0"/>
              <w:rPr>
                <w:sz w:val="20"/>
                <w:szCs w:val="20"/>
                <w:color w:val="auto"/>
              </w:rPr>
            </w:pPr>
            <w:r>
              <w:rPr>
                <w:rFonts w:ascii="Arial" w:cs="Arial" w:eastAsia="Arial" w:hAnsi="Arial"/>
                <w:sz w:val="13"/>
                <w:szCs w:val="13"/>
                <w:color w:val="auto"/>
                <w:w w:val="95"/>
              </w:rPr>
              <w:t>A7164VI-</w:t>
            </w:r>
          </w:p>
        </w:tc>
        <w:tc>
          <w:tcPr>
            <w:tcW w:w="900" w:type="dxa"/>
            <w:vAlign w:val="bottom"/>
          </w:tcPr>
          <w:p>
            <w:pPr>
              <w:jc w:val="center"/>
              <w:spacing w:after="0"/>
              <w:rPr>
                <w:sz w:val="20"/>
                <w:szCs w:val="20"/>
                <w:color w:val="auto"/>
              </w:rPr>
            </w:pPr>
            <w:r>
              <w:rPr>
                <w:rFonts w:ascii="Arial" w:cs="Arial" w:eastAsia="Arial" w:hAnsi="Arial"/>
                <w:sz w:val="13"/>
                <w:szCs w:val="13"/>
                <w:color w:val="auto"/>
                <w:w w:val="90"/>
              </w:rPr>
              <w:t>Vringo</w:t>
            </w:r>
          </w:p>
        </w:tc>
        <w:tc>
          <w:tcPr>
            <w:tcW w:w="280" w:type="dxa"/>
            <w:vAlign w:val="bottom"/>
          </w:tcPr>
          <w:p>
            <w:pPr>
              <w:jc w:val="center"/>
              <w:ind w:left="57"/>
              <w:spacing w:after="0"/>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135"/>
        </w:trPr>
        <w:tc>
          <w:tcPr>
            <w:tcW w:w="5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2"/>
              </w:rPr>
              <w:t>DE01</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A7164VI-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81"/>
              </w:rPr>
              <w:t>EP01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A7164VI-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1"/>
              </w:rPr>
              <w:t>ES</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81"/>
              </w:rPr>
              <w:t>ES01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A7164VI-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7"/>
              </w:rPr>
              <w:t>FR01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A7164VI-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0"/>
              </w:rPr>
              <w:t>GB01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A7164VI-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87"/>
              </w:rPr>
              <w:t>JP01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A7164VI-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6"/>
              </w:rPr>
              <w:t>NL</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6"/>
              </w:rPr>
              <w:t>NL01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A7164VI-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95"/>
              </w:rPr>
              <w:t>RU</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0"/>
              </w:rPr>
              <w:t>RU01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A7164VI-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1"/>
              </w:rPr>
              <w:t>SE</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81"/>
              </w:rPr>
              <w:t>SE01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8"/>
        </w:trPr>
        <w:tc>
          <w:tcPr>
            <w:tcW w:w="580" w:type="dxa"/>
            <w:vAlign w:val="bottom"/>
          </w:tcPr>
          <w:p>
            <w:pPr>
              <w:spacing w:after="0"/>
              <w:rPr>
                <w:sz w:val="6"/>
                <w:szCs w:val="6"/>
                <w:color w:val="auto"/>
              </w:rPr>
            </w:pPr>
          </w:p>
        </w:tc>
        <w:tc>
          <w:tcPr>
            <w:tcW w:w="900" w:type="dxa"/>
            <w:vAlign w:val="bottom"/>
          </w:tcPr>
          <w:p>
            <w:pPr>
              <w:jc w:val="center"/>
              <w:spacing w:after="0" w:line="78" w:lineRule="exact"/>
              <w:rPr>
                <w:sz w:val="20"/>
                <w:szCs w:val="20"/>
                <w:color w:val="auto"/>
              </w:rPr>
            </w:pPr>
            <w:r>
              <w:rPr>
                <w:rFonts w:ascii="Arial" w:cs="Arial" w:eastAsia="Arial" w:hAnsi="Arial"/>
                <w:sz w:val="8"/>
                <w:szCs w:val="8"/>
                <w:color w:val="auto"/>
              </w:rPr>
              <w:t>Vringo</w:t>
            </w: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tcPr>
          <w:p>
            <w:pPr>
              <w:jc w:val="center"/>
              <w:spacing w:after="0"/>
              <w:rPr>
                <w:sz w:val="20"/>
                <w:szCs w:val="20"/>
                <w:color w:val="auto"/>
              </w:rPr>
            </w:pPr>
            <w:r>
              <w:rPr>
                <w:rFonts w:ascii="Arial" w:cs="Arial" w:eastAsia="Arial" w:hAnsi="Arial"/>
                <w:sz w:val="13"/>
                <w:szCs w:val="13"/>
                <w:color w:val="auto"/>
                <w:w w:val="85"/>
              </w:rPr>
              <w:t>5-Jun-96</w:t>
            </w:r>
          </w:p>
        </w:tc>
        <w:tc>
          <w:tcPr>
            <w:tcW w:w="920" w:type="dxa"/>
            <w:vAlign w:val="bottom"/>
          </w:tcPr>
          <w:p>
            <w:pPr>
              <w:jc w:val="center"/>
              <w:spacing w:after="0"/>
              <w:rPr>
                <w:sz w:val="20"/>
                <w:szCs w:val="20"/>
                <w:color w:val="auto"/>
              </w:rPr>
            </w:pPr>
            <w:r>
              <w:rPr>
                <w:rFonts w:ascii="Arial" w:cs="Arial" w:eastAsia="Arial" w:hAnsi="Arial"/>
                <w:sz w:val="13"/>
                <w:szCs w:val="13"/>
                <w:color w:val="auto"/>
                <w:w w:val="89"/>
              </w:rPr>
              <w:t>DE69633315.5</w:t>
            </w:r>
          </w:p>
        </w:tc>
        <w:tc>
          <w:tcPr>
            <w:tcW w:w="4520" w:type="dxa"/>
            <w:vAlign w:val="bottom"/>
          </w:tcPr>
          <w:p>
            <w:pPr>
              <w:ind w:left="80"/>
              <w:spacing w:after="0"/>
              <w:rPr>
                <w:sz w:val="20"/>
                <w:szCs w:val="20"/>
                <w:color w:val="auto"/>
              </w:rPr>
            </w:pPr>
            <w:r>
              <w:rPr>
                <w:rFonts w:ascii="Arial" w:cs="Arial" w:eastAsia="Arial" w:hAnsi="Arial"/>
                <w:sz w:val="13"/>
                <w:szCs w:val="13"/>
                <w:color w:val="auto"/>
                <w:w w:val="94"/>
              </w:rPr>
              <w:t>Implementation Of Mutual Rate Adaptations In Data Services Between GSM And</w:t>
            </w:r>
          </w:p>
        </w:tc>
        <w:tc>
          <w:tcPr>
            <w:tcW w:w="1480" w:type="dxa"/>
            <w:vAlign w:val="bottom"/>
          </w:tcPr>
          <w:p>
            <w:pPr>
              <w:ind w:left="60"/>
              <w:spacing w:after="0"/>
              <w:rPr>
                <w:sz w:val="20"/>
                <w:szCs w:val="20"/>
                <w:color w:val="auto"/>
              </w:rPr>
            </w:pPr>
            <w:r>
              <w:rPr>
                <w:rFonts w:ascii="Arial" w:cs="Arial" w:eastAsia="Arial" w:hAnsi="Arial"/>
                <w:sz w:val="13"/>
                <w:szCs w:val="13"/>
                <w:color w:val="auto"/>
              </w:rPr>
              <w:t>Sipila Tuomo [Fi]</w:t>
            </w:r>
          </w:p>
        </w:tc>
        <w:tc>
          <w:tcPr>
            <w:tcW w:w="960" w:type="dxa"/>
            <w:vAlign w:val="bottom"/>
          </w:tcPr>
          <w:p>
            <w:pPr>
              <w:jc w:val="center"/>
              <w:ind w:left="43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520" w:type="dxa"/>
            <w:vAlign w:val="bottom"/>
          </w:tcPr>
          <w:p>
            <w:pPr>
              <w:ind w:left="80"/>
              <w:spacing w:after="0"/>
              <w:rPr>
                <w:sz w:val="20"/>
                <w:szCs w:val="20"/>
                <w:color w:val="auto"/>
              </w:rPr>
            </w:pPr>
            <w:r>
              <w:rPr>
                <w:rFonts w:ascii="Arial" w:cs="Arial" w:eastAsia="Arial" w:hAnsi="Arial"/>
                <w:sz w:val="13"/>
                <w:szCs w:val="13"/>
                <w:color w:val="auto"/>
              </w:rPr>
              <w:t>DECT</w:t>
            </w:r>
          </w:p>
        </w:tc>
        <w:tc>
          <w:tcPr>
            <w:tcW w:w="1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5"/>
              </w:rPr>
              <w:t>5-Jun-96</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8"/>
              </w:rPr>
              <w:t>EP748136</w:t>
            </w:r>
          </w:p>
        </w:tc>
        <w:tc>
          <w:tcPr>
            <w:tcW w:w="4520" w:type="dxa"/>
            <w:vAlign w:val="bottom"/>
          </w:tcPr>
          <w:p>
            <w:pPr>
              <w:ind w:left="80"/>
              <w:spacing w:after="0"/>
              <w:rPr>
                <w:sz w:val="20"/>
                <w:szCs w:val="20"/>
                <w:color w:val="auto"/>
              </w:rPr>
            </w:pPr>
            <w:r>
              <w:rPr>
                <w:rFonts w:ascii="Arial" w:cs="Arial" w:eastAsia="Arial" w:hAnsi="Arial"/>
                <w:sz w:val="13"/>
                <w:szCs w:val="13"/>
                <w:color w:val="auto"/>
                <w:w w:val="94"/>
              </w:rPr>
              <w:t>Implementation Of Mutual Rate Adaptations In Data Services Between GSM And</w:t>
            </w:r>
          </w:p>
        </w:tc>
        <w:tc>
          <w:tcPr>
            <w:tcW w:w="1480" w:type="dxa"/>
            <w:vAlign w:val="bottom"/>
            <w:vMerge w:val="restart"/>
          </w:tcPr>
          <w:p>
            <w:pPr>
              <w:ind w:left="60"/>
              <w:spacing w:after="0"/>
              <w:rPr>
                <w:sz w:val="20"/>
                <w:szCs w:val="20"/>
                <w:color w:val="auto"/>
              </w:rPr>
            </w:pPr>
            <w:r>
              <w:rPr>
                <w:rFonts w:ascii="Arial" w:cs="Arial" w:eastAsia="Arial" w:hAnsi="Arial"/>
                <w:sz w:val="13"/>
                <w:szCs w:val="13"/>
                <w:color w:val="auto"/>
              </w:rPr>
              <w:t>Sipila Tuomo [Fi]</w:t>
            </w:r>
          </w:p>
        </w:tc>
        <w:tc>
          <w:tcPr>
            <w:tcW w:w="960" w:type="dxa"/>
            <w:vAlign w:val="bottom"/>
          </w:tcPr>
          <w:p>
            <w:pPr>
              <w:jc w:val="center"/>
              <w:ind w:left="457"/>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DECT</w:t>
            </w:r>
          </w:p>
        </w:tc>
        <w:tc>
          <w:tcPr>
            <w:tcW w:w="1480" w:type="dxa"/>
            <w:vAlign w:val="bottom"/>
            <w:vMerge w:val="continue"/>
          </w:tcPr>
          <w:p>
            <w:pPr>
              <w:spacing w:after="0"/>
              <w:rPr>
                <w:sz w:val="8"/>
                <w:szCs w:val="8"/>
                <w:color w:val="auto"/>
              </w:rPr>
            </w:pPr>
          </w:p>
        </w:tc>
        <w:tc>
          <w:tcPr>
            <w:tcW w:w="960" w:type="dxa"/>
            <w:vAlign w:val="bottom"/>
            <w:vMerge w:val="restart"/>
          </w:tcPr>
          <w:p>
            <w:pPr>
              <w:jc w:val="center"/>
              <w:ind w:left="437"/>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5"/>
              </w:rPr>
              <w:t>5-Jun-96</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ES2227569</w:t>
            </w:r>
          </w:p>
        </w:tc>
        <w:tc>
          <w:tcPr>
            <w:tcW w:w="4520" w:type="dxa"/>
            <w:vAlign w:val="bottom"/>
          </w:tcPr>
          <w:p>
            <w:pPr>
              <w:ind w:left="80"/>
              <w:spacing w:after="0"/>
              <w:rPr>
                <w:sz w:val="20"/>
                <w:szCs w:val="20"/>
                <w:color w:val="auto"/>
              </w:rPr>
            </w:pPr>
            <w:r>
              <w:rPr>
                <w:rFonts w:ascii="Arial" w:cs="Arial" w:eastAsia="Arial" w:hAnsi="Arial"/>
                <w:sz w:val="13"/>
                <w:szCs w:val="13"/>
                <w:color w:val="auto"/>
                <w:w w:val="94"/>
              </w:rPr>
              <w:t>Implementation Of Mutual Rate Adaptations In Data Services Between GSM And</w:t>
            </w:r>
          </w:p>
        </w:tc>
        <w:tc>
          <w:tcPr>
            <w:tcW w:w="1480" w:type="dxa"/>
            <w:vAlign w:val="bottom"/>
            <w:vMerge w:val="restart"/>
          </w:tcPr>
          <w:p>
            <w:pPr>
              <w:ind w:left="60"/>
              <w:spacing w:after="0"/>
              <w:rPr>
                <w:sz w:val="20"/>
                <w:szCs w:val="20"/>
                <w:color w:val="auto"/>
              </w:rPr>
            </w:pPr>
            <w:r>
              <w:rPr>
                <w:rFonts w:ascii="Arial" w:cs="Arial" w:eastAsia="Arial" w:hAnsi="Arial"/>
                <w:sz w:val="13"/>
                <w:szCs w:val="13"/>
                <w:color w:val="auto"/>
              </w:rPr>
              <w:t>Sipila Tuomo [Fi]</w:t>
            </w:r>
          </w:p>
        </w:tc>
        <w:tc>
          <w:tcPr>
            <w:tcW w:w="960" w:type="dxa"/>
            <w:vAlign w:val="bottom"/>
            <w:vMerge w:val="restart"/>
          </w:tcPr>
          <w:p>
            <w:pPr>
              <w:jc w:val="center"/>
              <w:ind w:left="43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DECT</w:t>
            </w:r>
          </w:p>
        </w:tc>
        <w:tc>
          <w:tcPr>
            <w:tcW w:w="14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tcPr>
          <w:p>
            <w:pPr>
              <w:jc w:val="center"/>
              <w:spacing w:after="0"/>
              <w:rPr>
                <w:sz w:val="20"/>
                <w:szCs w:val="20"/>
                <w:color w:val="auto"/>
              </w:rPr>
            </w:pPr>
            <w:r>
              <w:rPr>
                <w:rFonts w:ascii="Arial" w:cs="Arial" w:eastAsia="Arial" w:hAnsi="Arial"/>
                <w:sz w:val="13"/>
                <w:szCs w:val="13"/>
                <w:color w:val="auto"/>
                <w:w w:val="85"/>
              </w:rPr>
              <w:t>5-Jun-96</w:t>
            </w: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FR748136</w:t>
            </w:r>
          </w:p>
        </w:tc>
        <w:tc>
          <w:tcPr>
            <w:tcW w:w="4520" w:type="dxa"/>
            <w:vAlign w:val="bottom"/>
          </w:tcPr>
          <w:p>
            <w:pPr>
              <w:ind w:left="80"/>
              <w:spacing w:after="0"/>
              <w:rPr>
                <w:sz w:val="20"/>
                <w:szCs w:val="20"/>
                <w:color w:val="auto"/>
              </w:rPr>
            </w:pPr>
            <w:r>
              <w:rPr>
                <w:rFonts w:ascii="Arial" w:cs="Arial" w:eastAsia="Arial" w:hAnsi="Arial"/>
                <w:sz w:val="13"/>
                <w:szCs w:val="13"/>
                <w:color w:val="auto"/>
              </w:rPr>
              <w:t>System From Terminal Device Of Second Communication System</w:t>
            </w:r>
          </w:p>
        </w:tc>
        <w:tc>
          <w:tcPr>
            <w:tcW w:w="1480" w:type="dxa"/>
            <w:vAlign w:val="bottom"/>
          </w:tcPr>
          <w:p>
            <w:pPr>
              <w:spacing w:after="0"/>
              <w:rPr>
                <w:sz w:val="24"/>
                <w:szCs w:val="24"/>
                <w:color w:val="auto"/>
              </w:rPr>
            </w:pPr>
          </w:p>
        </w:tc>
        <w:tc>
          <w:tcPr>
            <w:tcW w:w="960" w:type="dxa"/>
            <w:vAlign w:val="bottom"/>
          </w:tcPr>
          <w:p>
            <w:pPr>
              <w:jc w:val="center"/>
              <w:ind w:left="43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tcPr>
          <w:p>
            <w:pPr>
              <w:jc w:val="center"/>
              <w:spacing w:after="0"/>
              <w:rPr>
                <w:sz w:val="20"/>
                <w:szCs w:val="20"/>
                <w:color w:val="auto"/>
              </w:rPr>
            </w:pPr>
            <w:r>
              <w:rPr>
                <w:rFonts w:ascii="Arial" w:cs="Arial" w:eastAsia="Arial" w:hAnsi="Arial"/>
                <w:sz w:val="13"/>
                <w:szCs w:val="13"/>
                <w:color w:val="auto"/>
                <w:w w:val="85"/>
              </w:rPr>
              <w:t>5-Jun-96</w:t>
            </w:r>
          </w:p>
        </w:tc>
        <w:tc>
          <w:tcPr>
            <w:tcW w:w="920" w:type="dxa"/>
            <w:vAlign w:val="bottom"/>
          </w:tcPr>
          <w:p>
            <w:pPr>
              <w:jc w:val="center"/>
              <w:spacing w:after="0"/>
              <w:rPr>
                <w:sz w:val="20"/>
                <w:szCs w:val="20"/>
                <w:color w:val="auto"/>
              </w:rPr>
            </w:pPr>
            <w:r>
              <w:rPr>
                <w:rFonts w:ascii="Arial" w:cs="Arial" w:eastAsia="Arial" w:hAnsi="Arial"/>
                <w:sz w:val="13"/>
                <w:szCs w:val="13"/>
                <w:color w:val="auto"/>
                <w:w w:val="89"/>
              </w:rPr>
              <w:t>GB0748136</w:t>
            </w:r>
          </w:p>
        </w:tc>
        <w:tc>
          <w:tcPr>
            <w:tcW w:w="4520" w:type="dxa"/>
            <w:vAlign w:val="bottom"/>
          </w:tcPr>
          <w:p>
            <w:pPr>
              <w:ind w:left="80"/>
              <w:spacing w:after="0"/>
              <w:rPr>
                <w:sz w:val="20"/>
                <w:szCs w:val="20"/>
                <w:color w:val="auto"/>
              </w:rPr>
            </w:pPr>
            <w:r>
              <w:rPr>
                <w:rFonts w:ascii="Arial" w:cs="Arial" w:eastAsia="Arial" w:hAnsi="Arial"/>
                <w:sz w:val="13"/>
                <w:szCs w:val="13"/>
                <w:color w:val="auto"/>
              </w:rPr>
              <w:t>System From Terminal Device Of Second Communication System</w:t>
            </w:r>
          </w:p>
        </w:tc>
        <w:tc>
          <w:tcPr>
            <w:tcW w:w="1480" w:type="dxa"/>
            <w:vAlign w:val="bottom"/>
          </w:tcPr>
          <w:p>
            <w:pPr>
              <w:ind w:left="60"/>
              <w:spacing w:after="0"/>
              <w:rPr>
                <w:sz w:val="20"/>
                <w:szCs w:val="20"/>
                <w:color w:val="auto"/>
              </w:rPr>
            </w:pPr>
            <w:r>
              <w:rPr>
                <w:rFonts w:ascii="Arial" w:cs="Arial" w:eastAsia="Arial" w:hAnsi="Arial"/>
                <w:sz w:val="13"/>
                <w:szCs w:val="13"/>
                <w:color w:val="auto"/>
              </w:rPr>
              <w:t>Sipila Tuomo [Fi]</w:t>
            </w:r>
          </w:p>
        </w:tc>
        <w:tc>
          <w:tcPr>
            <w:tcW w:w="960" w:type="dxa"/>
            <w:vAlign w:val="bottom"/>
          </w:tcPr>
          <w:p>
            <w:pPr>
              <w:jc w:val="center"/>
              <w:ind w:left="43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12"/>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0"/>
              </w:rPr>
              <w:t>30-May-96</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5"/>
              </w:rPr>
              <w:t>JP3842335</w:t>
            </w:r>
          </w:p>
        </w:tc>
        <w:tc>
          <w:tcPr>
            <w:tcW w:w="4520" w:type="dxa"/>
            <w:vAlign w:val="bottom"/>
          </w:tcPr>
          <w:p>
            <w:pPr>
              <w:ind w:left="80"/>
              <w:spacing w:after="0"/>
              <w:rPr>
                <w:sz w:val="20"/>
                <w:szCs w:val="20"/>
                <w:color w:val="auto"/>
              </w:rPr>
            </w:pPr>
            <w:r>
              <w:rPr>
                <w:rFonts w:ascii="Arial" w:cs="Arial" w:eastAsia="Arial" w:hAnsi="Arial"/>
                <w:sz w:val="13"/>
                <w:szCs w:val="13"/>
                <w:color w:val="auto"/>
                <w:w w:val="91"/>
              </w:rPr>
              <w:t>Method And Equipment To Use Data Service Of First Communication System From</w:t>
            </w:r>
          </w:p>
        </w:tc>
        <w:tc>
          <w:tcPr>
            <w:tcW w:w="1480" w:type="dxa"/>
            <w:vAlign w:val="bottom"/>
            <w:vMerge w:val="restart"/>
          </w:tcPr>
          <w:p>
            <w:pPr>
              <w:ind w:left="60"/>
              <w:spacing w:after="0"/>
              <w:rPr>
                <w:sz w:val="20"/>
                <w:szCs w:val="20"/>
                <w:color w:val="auto"/>
              </w:rPr>
            </w:pPr>
            <w:r>
              <w:rPr>
                <w:rFonts w:ascii="Arial" w:cs="Arial" w:eastAsia="Arial" w:hAnsi="Arial"/>
                <w:sz w:val="13"/>
                <w:szCs w:val="13"/>
                <w:color w:val="auto"/>
              </w:rPr>
              <w:t>Sipila Tuomo [Fi]</w:t>
            </w:r>
          </w:p>
        </w:tc>
        <w:tc>
          <w:tcPr>
            <w:tcW w:w="960" w:type="dxa"/>
            <w:vAlign w:val="bottom"/>
            <w:vMerge w:val="restart"/>
          </w:tcPr>
          <w:p>
            <w:pPr>
              <w:jc w:val="center"/>
              <w:ind w:left="43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Terminal Device Of Second Communication System</w:t>
            </w:r>
          </w:p>
        </w:tc>
        <w:tc>
          <w:tcPr>
            <w:tcW w:w="14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tcPr>
          <w:p>
            <w:pPr>
              <w:jc w:val="center"/>
              <w:spacing w:after="0"/>
              <w:rPr>
                <w:sz w:val="20"/>
                <w:szCs w:val="20"/>
                <w:color w:val="auto"/>
              </w:rPr>
            </w:pPr>
            <w:r>
              <w:rPr>
                <w:rFonts w:ascii="Arial" w:cs="Arial" w:eastAsia="Arial" w:hAnsi="Arial"/>
                <w:sz w:val="13"/>
                <w:szCs w:val="13"/>
                <w:color w:val="auto"/>
                <w:w w:val="85"/>
              </w:rPr>
              <w:t>5-Jun-96</w:t>
            </w:r>
          </w:p>
        </w:tc>
        <w:tc>
          <w:tcPr>
            <w:tcW w:w="920" w:type="dxa"/>
            <w:vAlign w:val="bottom"/>
          </w:tcPr>
          <w:p>
            <w:pPr>
              <w:jc w:val="center"/>
              <w:spacing w:after="0"/>
              <w:rPr>
                <w:sz w:val="20"/>
                <w:szCs w:val="20"/>
                <w:color w:val="auto"/>
              </w:rPr>
            </w:pPr>
            <w:r>
              <w:rPr>
                <w:rFonts w:ascii="Arial" w:cs="Arial" w:eastAsia="Arial" w:hAnsi="Arial"/>
                <w:sz w:val="13"/>
                <w:szCs w:val="13"/>
                <w:color w:val="auto"/>
                <w:w w:val="89"/>
              </w:rPr>
              <w:t>NL748136</w:t>
            </w:r>
          </w:p>
        </w:tc>
        <w:tc>
          <w:tcPr>
            <w:tcW w:w="4520" w:type="dxa"/>
            <w:vAlign w:val="bottom"/>
          </w:tcPr>
          <w:p>
            <w:pPr>
              <w:ind w:left="80"/>
              <w:spacing w:after="0"/>
              <w:rPr>
                <w:sz w:val="20"/>
                <w:szCs w:val="20"/>
                <w:color w:val="auto"/>
              </w:rPr>
            </w:pPr>
            <w:r>
              <w:rPr>
                <w:rFonts w:ascii="Arial" w:cs="Arial" w:eastAsia="Arial" w:hAnsi="Arial"/>
                <w:sz w:val="13"/>
                <w:szCs w:val="13"/>
                <w:color w:val="auto"/>
              </w:rPr>
              <w:t>System From Terminal Device Of Second Communication System</w:t>
            </w:r>
          </w:p>
        </w:tc>
        <w:tc>
          <w:tcPr>
            <w:tcW w:w="1480" w:type="dxa"/>
            <w:vAlign w:val="bottom"/>
          </w:tcPr>
          <w:p>
            <w:pPr>
              <w:ind w:left="60"/>
              <w:spacing w:after="0"/>
              <w:rPr>
                <w:sz w:val="20"/>
                <w:szCs w:val="20"/>
                <w:color w:val="auto"/>
              </w:rPr>
            </w:pPr>
            <w:r>
              <w:rPr>
                <w:rFonts w:ascii="Arial" w:cs="Arial" w:eastAsia="Arial" w:hAnsi="Arial"/>
                <w:sz w:val="13"/>
                <w:szCs w:val="13"/>
                <w:color w:val="auto"/>
              </w:rPr>
              <w:t>Sipila Tuomo [Fi]</w:t>
            </w:r>
          </w:p>
        </w:tc>
        <w:tc>
          <w:tcPr>
            <w:tcW w:w="960" w:type="dxa"/>
            <w:vAlign w:val="bottom"/>
          </w:tcPr>
          <w:p>
            <w:pPr>
              <w:jc w:val="center"/>
              <w:ind w:left="43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312"/>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0"/>
              </w:rPr>
              <w:t>29-May-96</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9"/>
              </w:rPr>
              <w:t>RU2153238</w:t>
            </w:r>
          </w:p>
        </w:tc>
        <w:tc>
          <w:tcPr>
            <w:tcW w:w="4520" w:type="dxa"/>
            <w:vAlign w:val="bottom"/>
          </w:tcPr>
          <w:p>
            <w:pPr>
              <w:ind w:left="80"/>
              <w:spacing w:after="0"/>
              <w:rPr>
                <w:sz w:val="20"/>
                <w:szCs w:val="20"/>
                <w:color w:val="auto"/>
              </w:rPr>
            </w:pPr>
            <w:r>
              <w:rPr>
                <w:rFonts w:ascii="Arial" w:cs="Arial" w:eastAsia="Arial" w:hAnsi="Arial"/>
                <w:sz w:val="13"/>
                <w:szCs w:val="13"/>
                <w:color w:val="auto"/>
                <w:w w:val="91"/>
              </w:rPr>
              <w:t>Method And Device For Mutual Transmission Rate Adaptation In Data Transmission</w:t>
            </w:r>
          </w:p>
        </w:tc>
        <w:tc>
          <w:tcPr>
            <w:tcW w:w="1480" w:type="dxa"/>
            <w:vAlign w:val="bottom"/>
            <w:vMerge w:val="restart"/>
          </w:tcPr>
          <w:p>
            <w:pPr>
              <w:ind w:left="60"/>
              <w:spacing w:after="0"/>
              <w:rPr>
                <w:sz w:val="20"/>
                <w:szCs w:val="20"/>
                <w:color w:val="auto"/>
              </w:rPr>
            </w:pPr>
            <w:r>
              <w:rPr>
                <w:rFonts w:ascii="Arial" w:cs="Arial" w:eastAsia="Arial" w:hAnsi="Arial"/>
                <w:sz w:val="13"/>
                <w:szCs w:val="13"/>
                <w:color w:val="auto"/>
              </w:rPr>
              <w:t>Sipila Tuomo [Fi]</w:t>
            </w:r>
          </w:p>
        </w:tc>
        <w:tc>
          <w:tcPr>
            <w:tcW w:w="960" w:type="dxa"/>
            <w:vAlign w:val="bottom"/>
            <w:vMerge w:val="restart"/>
          </w:tcPr>
          <w:p>
            <w:pPr>
              <w:jc w:val="center"/>
              <w:ind w:left="43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520" w:type="dxa"/>
            <w:vAlign w:val="bottom"/>
            <w:vMerge w:val="restart"/>
          </w:tcPr>
          <w:p>
            <w:pPr>
              <w:ind w:left="80"/>
              <w:spacing w:after="0"/>
              <w:rPr>
                <w:sz w:val="20"/>
                <w:szCs w:val="20"/>
                <w:color w:val="auto"/>
              </w:rPr>
            </w:pPr>
            <w:r>
              <w:rPr>
                <w:rFonts w:ascii="Arial" w:cs="Arial" w:eastAsia="Arial" w:hAnsi="Arial"/>
                <w:sz w:val="13"/>
                <w:szCs w:val="13"/>
                <w:color w:val="auto"/>
              </w:rPr>
              <w:t>Services Between GSM And DECT Standards</w:t>
            </w:r>
          </w:p>
        </w:tc>
        <w:tc>
          <w:tcPr>
            <w:tcW w:w="14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tcPr>
          <w:p>
            <w:pPr>
              <w:jc w:val="center"/>
              <w:spacing w:after="0"/>
              <w:rPr>
                <w:sz w:val="20"/>
                <w:szCs w:val="20"/>
                <w:color w:val="auto"/>
              </w:rPr>
            </w:pPr>
            <w:r>
              <w:rPr>
                <w:rFonts w:ascii="Arial" w:cs="Arial" w:eastAsia="Arial" w:hAnsi="Arial"/>
                <w:sz w:val="13"/>
                <w:szCs w:val="13"/>
                <w:color w:val="auto"/>
                <w:w w:val="85"/>
              </w:rPr>
              <w:t>5-Jun-96</w:t>
            </w:r>
          </w:p>
        </w:tc>
        <w:tc>
          <w:tcPr>
            <w:tcW w:w="920" w:type="dxa"/>
            <w:vAlign w:val="bottom"/>
          </w:tcPr>
          <w:p>
            <w:pPr>
              <w:jc w:val="center"/>
              <w:spacing w:after="0"/>
              <w:rPr>
                <w:sz w:val="20"/>
                <w:szCs w:val="20"/>
                <w:color w:val="auto"/>
              </w:rPr>
            </w:pPr>
            <w:r>
              <w:rPr>
                <w:rFonts w:ascii="Arial" w:cs="Arial" w:eastAsia="Arial" w:hAnsi="Arial"/>
                <w:sz w:val="13"/>
                <w:szCs w:val="13"/>
                <w:color w:val="auto"/>
                <w:w w:val="85"/>
              </w:rPr>
              <w:t>SE0748136</w:t>
            </w:r>
          </w:p>
        </w:tc>
        <w:tc>
          <w:tcPr>
            <w:tcW w:w="4520" w:type="dxa"/>
            <w:vAlign w:val="bottom"/>
          </w:tcPr>
          <w:p>
            <w:pPr>
              <w:ind w:left="80"/>
              <w:spacing w:after="0"/>
              <w:rPr>
                <w:sz w:val="20"/>
                <w:szCs w:val="20"/>
                <w:color w:val="auto"/>
              </w:rPr>
            </w:pPr>
            <w:r>
              <w:rPr>
                <w:rFonts w:ascii="Arial" w:cs="Arial" w:eastAsia="Arial" w:hAnsi="Arial"/>
                <w:sz w:val="13"/>
                <w:szCs w:val="13"/>
                <w:color w:val="auto"/>
                <w:w w:val="89"/>
              </w:rPr>
              <w:t>Implementation Of Mutual Rate Adaptations In Data Services Between Gsm And Dect</w:t>
            </w:r>
          </w:p>
        </w:tc>
        <w:tc>
          <w:tcPr>
            <w:tcW w:w="1480" w:type="dxa"/>
            <w:vAlign w:val="bottom"/>
          </w:tcPr>
          <w:p>
            <w:pPr>
              <w:ind w:left="60"/>
              <w:spacing w:after="0"/>
              <w:rPr>
                <w:sz w:val="20"/>
                <w:szCs w:val="20"/>
                <w:color w:val="auto"/>
              </w:rPr>
            </w:pPr>
            <w:r>
              <w:rPr>
                <w:rFonts w:ascii="Arial" w:cs="Arial" w:eastAsia="Arial" w:hAnsi="Arial"/>
                <w:sz w:val="13"/>
                <w:szCs w:val="13"/>
                <w:color w:val="auto"/>
              </w:rPr>
              <w:t>Sipila Tuomo [Fi]</w:t>
            </w:r>
          </w:p>
        </w:tc>
        <w:tc>
          <w:tcPr>
            <w:tcW w:w="960" w:type="dxa"/>
            <w:vAlign w:val="bottom"/>
          </w:tcPr>
          <w:p>
            <w:pPr>
              <w:jc w:val="center"/>
              <w:ind w:left="437"/>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-2235835</wp:posOffset>
            </wp:positionV>
            <wp:extent cx="7246620" cy="2571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-1721485</wp:posOffset>
            </wp:positionV>
            <wp:extent cx="7246620" cy="2571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-1207135</wp:posOffset>
            </wp:positionV>
            <wp:extent cx="7246620" cy="2571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-692150</wp:posOffset>
            </wp:positionV>
            <wp:extent cx="7246620" cy="2571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-177800</wp:posOffset>
            </wp:positionV>
            <wp:extent cx="7246620" cy="2571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188" w:lineRule="exact"/>
        <w:rPr>
          <w:sz w:val="20"/>
          <w:szCs w:val="20"/>
          <w:color w:val="auto"/>
        </w:rPr>
      </w:pPr>
    </w:p>
    <w:p>
      <w:pPr>
        <w:sectPr>
          <w:pgSz w:w="11900" w:h="16900" w:orient="portrait"/>
          <w:cols w:equalWidth="0" w:num="2">
            <w:col w:w="1840" w:space="320"/>
            <w:col w:w="9260"/>
          </w:cols>
          <w:pgMar w:left="240" w:top="111" w:right="239" w:bottom="0" w:gutter="0" w:footer="0" w:header="0"/>
        </w:sectPr>
      </w:pPr>
    </w:p>
    <w:tbl>
      <w:tblPr>
        <w:tblLayout w:type="fixed"/>
        <w:tblInd w:w="80" w:type="dxa"/>
        <w:tblCellMar>
          <w:top w:w="0" w:type="dxa"/>
          <w:left w:w="0" w:type="dxa"/>
          <w:bottom w:w="0" w:type="dxa"/>
          <w:right w:w="0" w:type="dxa"/>
        </w:tblCellMar>
      </w:tblPr>
      <w:tr>
        <w:trPr>
          <w:trHeight w:val="125"/>
        </w:trPr>
        <w:tc>
          <w:tcPr>
            <w:tcW w:w="580" w:type="dxa"/>
            <w:vAlign w:val="bottom"/>
          </w:tcPr>
          <w:p>
            <w:pPr>
              <w:jc w:val="center"/>
              <w:spacing w:after="0" w:line="125" w:lineRule="exact"/>
              <w:rPr>
                <w:sz w:val="20"/>
                <w:szCs w:val="20"/>
                <w:color w:val="auto"/>
              </w:rPr>
            </w:pPr>
            <w:r>
              <w:rPr>
                <w:rFonts w:ascii="Arial" w:cs="Arial" w:eastAsia="Arial" w:hAnsi="Arial"/>
                <w:sz w:val="13"/>
                <w:szCs w:val="13"/>
                <w:color w:val="auto"/>
                <w:w w:val="95"/>
              </w:rPr>
              <w:t>A7164VI-</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US</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US01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A7272VI-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right"/>
              <w:spacing w:after="0" w:line="135" w:lineRule="exact"/>
              <w:rPr>
                <w:sz w:val="20"/>
                <w:szCs w:val="20"/>
                <w:color w:val="auto"/>
              </w:rPr>
            </w:pPr>
            <w:r>
              <w:rPr>
                <w:rFonts w:ascii="Arial" w:cs="Arial" w:eastAsia="Arial" w:hAnsi="Arial"/>
                <w:sz w:val="13"/>
                <w:szCs w:val="13"/>
                <w:color w:val="auto"/>
              </w:rPr>
              <w:t>AU</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AU01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A7272VI-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right"/>
              <w:spacing w:after="0" w:line="135" w:lineRule="exact"/>
              <w:rPr>
                <w:sz w:val="20"/>
                <w:szCs w:val="20"/>
                <w:color w:val="auto"/>
              </w:rPr>
            </w:pPr>
            <w:r>
              <w:rPr>
                <w:rFonts w:ascii="Arial" w:cs="Arial" w:eastAsia="Arial" w:hAnsi="Arial"/>
                <w:sz w:val="13"/>
                <w:szCs w:val="13"/>
                <w:color w:val="auto"/>
              </w:rPr>
              <w:t>EP</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81"/>
              </w:rPr>
              <w:t>EP01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A7272VI-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right"/>
              <w:spacing w:after="0" w:line="135" w:lineRule="exact"/>
              <w:rPr>
                <w:sz w:val="20"/>
                <w:szCs w:val="20"/>
                <w:color w:val="auto"/>
              </w:rPr>
            </w:pPr>
            <w:r>
              <w:rPr>
                <w:rFonts w:ascii="Arial" w:cs="Arial" w:eastAsia="Arial" w:hAnsi="Arial"/>
                <w:sz w:val="13"/>
                <w:szCs w:val="13"/>
                <w:color w:val="auto"/>
              </w:rPr>
              <w:t>US</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US01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A7272VI-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right"/>
              <w:spacing w:after="0" w:line="135" w:lineRule="exact"/>
              <w:rPr>
                <w:sz w:val="20"/>
                <w:szCs w:val="20"/>
                <w:color w:val="auto"/>
              </w:rPr>
            </w:pPr>
            <w:r>
              <w:rPr>
                <w:rFonts w:ascii="Arial" w:cs="Arial" w:eastAsia="Arial" w:hAnsi="Arial"/>
                <w:sz w:val="13"/>
                <w:szCs w:val="13"/>
                <w:color w:val="auto"/>
              </w:rPr>
              <w:t>US</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US02</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A7300VI-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right"/>
              <w:spacing w:after="0" w:line="135" w:lineRule="exact"/>
              <w:rPr>
                <w:sz w:val="20"/>
                <w:szCs w:val="20"/>
                <w:color w:val="auto"/>
              </w:rPr>
            </w:pPr>
            <w:r>
              <w:rPr>
                <w:rFonts w:ascii="Arial" w:cs="Arial" w:eastAsia="Arial" w:hAnsi="Arial"/>
                <w:sz w:val="13"/>
                <w:szCs w:val="13"/>
                <w:color w:val="auto"/>
              </w:rPr>
              <w:t>US</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US01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A7485VI-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right"/>
              <w:spacing w:after="0" w:line="135" w:lineRule="exact"/>
              <w:rPr>
                <w:sz w:val="20"/>
                <w:szCs w:val="20"/>
                <w:color w:val="auto"/>
              </w:rPr>
            </w:pPr>
            <w:r>
              <w:rPr>
                <w:rFonts w:ascii="Arial" w:cs="Arial" w:eastAsia="Arial" w:hAnsi="Arial"/>
                <w:sz w:val="13"/>
                <w:szCs w:val="13"/>
                <w:color w:val="auto"/>
              </w:rPr>
              <w:t>EP</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81"/>
              </w:rPr>
              <w:t>EP01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A7485VI-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right"/>
              <w:spacing w:after="0" w:line="135" w:lineRule="exact"/>
              <w:rPr>
                <w:sz w:val="20"/>
                <w:szCs w:val="20"/>
                <w:color w:val="auto"/>
              </w:rPr>
            </w:pPr>
            <w:r>
              <w:rPr>
                <w:rFonts w:ascii="Arial" w:cs="Arial" w:eastAsia="Arial" w:hAnsi="Arial"/>
                <w:sz w:val="13"/>
                <w:szCs w:val="13"/>
                <w:color w:val="auto"/>
              </w:rPr>
              <w:t>US</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US01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8"/>
        </w:trPr>
        <w:tc>
          <w:tcPr>
            <w:tcW w:w="580" w:type="dxa"/>
            <w:vAlign w:val="bottom"/>
          </w:tcPr>
          <w:p>
            <w:pPr>
              <w:spacing w:after="0"/>
              <w:rPr>
                <w:sz w:val="6"/>
                <w:szCs w:val="6"/>
                <w:color w:val="auto"/>
              </w:rPr>
            </w:pPr>
          </w:p>
        </w:tc>
        <w:tc>
          <w:tcPr>
            <w:tcW w:w="900" w:type="dxa"/>
            <w:vAlign w:val="bottom"/>
          </w:tcPr>
          <w:p>
            <w:pPr>
              <w:jc w:val="center"/>
              <w:spacing w:after="0" w:line="78" w:lineRule="exact"/>
              <w:rPr>
                <w:sz w:val="20"/>
                <w:szCs w:val="20"/>
                <w:color w:val="auto"/>
              </w:rPr>
            </w:pPr>
            <w:r>
              <w:rPr>
                <w:rFonts w:ascii="Arial" w:cs="Arial" w:eastAsia="Arial" w:hAnsi="Arial"/>
                <w:sz w:val="8"/>
                <w:szCs w:val="8"/>
                <w:color w:val="auto"/>
              </w:rPr>
              <w:t>Vringo</w:t>
            </w: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tabs>
          <w:tab w:leader="none" w:pos="70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6-Jun-96</w:t>
      </w:r>
    </w:p>
    <w:p>
      <w:pPr>
        <w:spacing w:after="0" w:line="267"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31-Oct-96</w:t>
      </w:r>
    </w:p>
    <w:p>
      <w:pPr>
        <w:spacing w:after="0" w:line="267"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31-Oct-96</w:t>
      </w:r>
    </w:p>
    <w:p>
      <w:pPr>
        <w:spacing w:after="0" w:line="267" w:lineRule="exact"/>
        <w:rPr>
          <w:sz w:val="20"/>
          <w:szCs w:val="20"/>
          <w:color w:val="auto"/>
        </w:rPr>
      </w:pPr>
    </w:p>
    <w:p>
      <w:pPr>
        <w:spacing w:after="0"/>
        <w:tabs>
          <w:tab w:leader="none" w:pos="68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9-Sep-05</w:t>
      </w:r>
    </w:p>
    <w:p>
      <w:pPr>
        <w:spacing w:after="0" w:line="267"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18-Aug-98</w:t>
      </w: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8-Oct-98</w:t>
      </w:r>
    </w:p>
    <w:p>
      <w:pPr>
        <w:spacing w:after="0" w:line="256" w:lineRule="exact"/>
        <w:rPr>
          <w:sz w:val="20"/>
          <w:szCs w:val="20"/>
          <w:color w:val="auto"/>
        </w:rPr>
      </w:pPr>
    </w:p>
    <w:p>
      <w:pPr>
        <w:spacing w:after="0"/>
        <w:tabs>
          <w:tab w:leader="none" w:pos="680" w:val="left"/>
        </w:tabs>
        <w:rPr>
          <w:sz w:val="20"/>
          <w:szCs w:val="20"/>
          <w:color w:val="auto"/>
        </w:rPr>
      </w:pPr>
      <w:r>
        <w:rPr>
          <w:rFonts w:ascii="Arial" w:cs="Arial" w:eastAsia="Arial" w:hAnsi="Arial"/>
          <w:sz w:val="12"/>
          <w:szCs w:val="12"/>
          <w:color w:val="auto"/>
        </w:rPr>
        <w:t>Granted</w:t>
      </w:r>
      <w:r>
        <w:rPr>
          <w:sz w:val="20"/>
          <w:szCs w:val="20"/>
          <w:color w:val="auto"/>
        </w:rPr>
        <w:tab/>
      </w:r>
      <w:r>
        <w:rPr>
          <w:rFonts w:ascii="Arial" w:cs="Arial" w:eastAsia="Arial" w:hAnsi="Arial"/>
          <w:sz w:val="12"/>
          <w:szCs w:val="12"/>
          <w:color w:val="auto"/>
        </w:rPr>
        <w:t>3-Dec-97</w:t>
      </w:r>
    </w:p>
    <w:p>
      <w:pPr>
        <w:spacing w:after="0" w:line="267"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color w:val="auto"/>
        </w:rPr>
        <w:t>Granted</w:t>
      </w:r>
      <w:r>
        <w:rPr>
          <w:sz w:val="20"/>
          <w:szCs w:val="20"/>
          <w:color w:val="auto"/>
        </w:rPr>
        <w:tab/>
      </w:r>
      <w:r>
        <w:rPr>
          <w:rFonts w:ascii="Arial" w:cs="Arial" w:eastAsia="Arial" w:hAnsi="Arial"/>
          <w:sz w:val="13"/>
          <w:szCs w:val="13"/>
          <w:color w:val="auto"/>
        </w:rPr>
        <w:t>3-Aug-98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700" w:type="dxa"/>
            <w:vAlign w:val="bottom"/>
            <w:vMerge w:val="restart"/>
          </w:tcPr>
          <w:p>
            <w:pPr>
              <w:spacing w:after="0"/>
              <w:rPr>
                <w:sz w:val="20"/>
                <w:szCs w:val="20"/>
                <w:color w:val="auto"/>
              </w:rPr>
            </w:pPr>
            <w:r>
              <w:rPr>
                <w:rFonts w:ascii="Arial" w:cs="Arial" w:eastAsia="Arial" w:hAnsi="Arial"/>
                <w:sz w:val="13"/>
                <w:szCs w:val="13"/>
                <w:color w:val="auto"/>
                <w:w w:val="98"/>
              </w:rPr>
              <w:t>US6081534</w:t>
            </w:r>
          </w:p>
        </w:tc>
        <w:tc>
          <w:tcPr>
            <w:tcW w:w="4500" w:type="dxa"/>
            <w:vAlign w:val="bottom"/>
          </w:tcPr>
          <w:p>
            <w:pPr>
              <w:ind w:left="120"/>
              <w:spacing w:after="0" w:line="125" w:lineRule="exact"/>
              <w:rPr>
                <w:sz w:val="20"/>
                <w:szCs w:val="20"/>
                <w:color w:val="auto"/>
              </w:rPr>
            </w:pPr>
            <w:r>
              <w:rPr>
                <w:rFonts w:ascii="Arial" w:cs="Arial" w:eastAsia="Arial" w:hAnsi="Arial"/>
                <w:sz w:val="13"/>
                <w:szCs w:val="13"/>
                <w:color w:val="auto"/>
              </w:rPr>
              <w:t>Implementation Of Mutual Rate Adaptations In Data Services Between</w:t>
            </w:r>
          </w:p>
        </w:tc>
        <w:tc>
          <w:tcPr>
            <w:tcW w:w="2000" w:type="dxa"/>
            <w:vAlign w:val="bottom"/>
            <w:vMerge w:val="restart"/>
          </w:tcPr>
          <w:p>
            <w:pPr>
              <w:ind w:left="120"/>
              <w:spacing w:after="0"/>
              <w:rPr>
                <w:sz w:val="20"/>
                <w:szCs w:val="20"/>
                <w:color w:val="auto"/>
              </w:rPr>
            </w:pPr>
            <w:r>
              <w:rPr>
                <w:rFonts w:ascii="Arial" w:cs="Arial" w:eastAsia="Arial" w:hAnsi="Arial"/>
                <w:sz w:val="13"/>
                <w:szCs w:val="13"/>
                <w:color w:val="auto"/>
              </w:rPr>
              <w:t>Sipila Tuomo [Fi]</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700" w:type="dxa"/>
            <w:vAlign w:val="bottom"/>
            <w:vMerge w:val="continue"/>
          </w:tcPr>
          <w:p>
            <w:pPr>
              <w:spacing w:after="0"/>
              <w:rPr>
                <w:sz w:val="8"/>
                <w:szCs w:val="8"/>
                <w:color w:val="auto"/>
              </w:rPr>
            </w:pPr>
          </w:p>
        </w:tc>
        <w:tc>
          <w:tcPr>
            <w:tcW w:w="4500" w:type="dxa"/>
            <w:vAlign w:val="bottom"/>
            <w:vMerge w:val="restart"/>
          </w:tcPr>
          <w:p>
            <w:pPr>
              <w:ind w:left="120"/>
              <w:spacing w:after="0"/>
              <w:rPr>
                <w:sz w:val="20"/>
                <w:szCs w:val="20"/>
                <w:color w:val="auto"/>
              </w:rPr>
            </w:pPr>
            <w:r>
              <w:rPr>
                <w:rFonts w:ascii="Arial" w:cs="Arial" w:eastAsia="Arial" w:hAnsi="Arial"/>
                <w:sz w:val="13"/>
                <w:szCs w:val="13"/>
                <w:color w:val="auto"/>
              </w:rPr>
              <w:t>GSM And DECT</w:t>
            </w:r>
          </w:p>
        </w:tc>
        <w:tc>
          <w:tcPr>
            <w:tcW w:w="20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AU716158</w:t>
            </w:r>
          </w:p>
        </w:tc>
        <w:tc>
          <w:tcPr>
            <w:tcW w:w="4500" w:type="dxa"/>
            <w:vAlign w:val="bottom"/>
            <w:vMerge w:val="restart"/>
          </w:tcPr>
          <w:p>
            <w:pPr>
              <w:ind w:left="120"/>
              <w:spacing w:after="0"/>
              <w:rPr>
                <w:sz w:val="20"/>
                <w:szCs w:val="20"/>
                <w:color w:val="auto"/>
              </w:rPr>
            </w:pPr>
            <w:r>
              <w:rPr>
                <w:rFonts w:ascii="Arial" w:cs="Arial" w:eastAsia="Arial" w:hAnsi="Arial"/>
                <w:sz w:val="13"/>
                <w:szCs w:val="13"/>
                <w:color w:val="auto"/>
              </w:rPr>
              <w:t>Data Transmission Method</w:t>
            </w:r>
          </w:p>
        </w:tc>
        <w:tc>
          <w:tcPr>
            <w:tcW w:w="2000" w:type="dxa"/>
            <w:vAlign w:val="bottom"/>
          </w:tcPr>
          <w:p>
            <w:pPr>
              <w:ind w:left="120"/>
              <w:spacing w:after="0"/>
              <w:rPr>
                <w:sz w:val="20"/>
                <w:szCs w:val="20"/>
                <w:color w:val="auto"/>
              </w:rPr>
            </w:pPr>
            <w:r>
              <w:rPr>
                <w:rFonts w:ascii="Arial" w:cs="Arial" w:eastAsia="Arial" w:hAnsi="Arial"/>
                <w:sz w:val="13"/>
                <w:szCs w:val="13"/>
                <w:color w:val="auto"/>
                <w:w w:val="91"/>
              </w:rPr>
              <w:t>Pirhonen Riku [Fi] Ranta Pekka [Fi]</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70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2000" w:type="dxa"/>
            <w:vAlign w:val="bottom"/>
            <w:vMerge w:val="restart"/>
          </w:tcPr>
          <w:p>
            <w:pPr>
              <w:ind w:left="120"/>
              <w:spacing w:after="0"/>
              <w:rPr>
                <w:sz w:val="20"/>
                <w:szCs w:val="20"/>
                <w:color w:val="auto"/>
              </w:rPr>
            </w:pPr>
            <w:r>
              <w:rPr>
                <w:rFonts w:ascii="Arial" w:cs="Arial" w:eastAsia="Arial" w:hAnsi="Arial"/>
                <w:sz w:val="13"/>
                <w:szCs w:val="13"/>
                <w:color w:val="auto"/>
              </w:rPr>
              <w:t>(+1)</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450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700" w:type="dxa"/>
            <w:vAlign w:val="bottom"/>
            <w:vMerge w:val="restart"/>
          </w:tcPr>
          <w:p>
            <w:pPr>
              <w:spacing w:after="0"/>
              <w:rPr>
                <w:sz w:val="20"/>
                <w:szCs w:val="20"/>
                <w:color w:val="auto"/>
              </w:rPr>
            </w:pPr>
            <w:r>
              <w:rPr>
                <w:rFonts w:ascii="Arial" w:cs="Arial" w:eastAsia="Arial" w:hAnsi="Arial"/>
                <w:sz w:val="13"/>
                <w:szCs w:val="13"/>
                <w:color w:val="auto"/>
              </w:rPr>
              <w:t>EP0858698</w:t>
            </w:r>
          </w:p>
        </w:tc>
        <w:tc>
          <w:tcPr>
            <w:tcW w:w="4500" w:type="dxa"/>
            <w:vAlign w:val="bottom"/>
            <w:vMerge w:val="restart"/>
          </w:tcPr>
          <w:p>
            <w:pPr>
              <w:ind w:left="120"/>
              <w:spacing w:after="0"/>
              <w:rPr>
                <w:sz w:val="20"/>
                <w:szCs w:val="20"/>
                <w:color w:val="auto"/>
              </w:rPr>
            </w:pPr>
            <w:r>
              <w:rPr>
                <w:rFonts w:ascii="Arial" w:cs="Arial" w:eastAsia="Arial" w:hAnsi="Arial"/>
                <w:sz w:val="13"/>
                <w:szCs w:val="13"/>
                <w:color w:val="auto"/>
              </w:rPr>
              <w:t>Data Transmission Method</w:t>
            </w:r>
          </w:p>
        </w:tc>
        <w:tc>
          <w:tcPr>
            <w:tcW w:w="2000" w:type="dxa"/>
            <w:vAlign w:val="bottom"/>
          </w:tcPr>
          <w:p>
            <w:pPr>
              <w:ind w:left="120"/>
              <w:spacing w:after="0"/>
              <w:rPr>
                <w:sz w:val="20"/>
                <w:szCs w:val="20"/>
                <w:color w:val="auto"/>
              </w:rPr>
            </w:pPr>
            <w:r>
              <w:rPr>
                <w:rFonts w:ascii="Arial" w:cs="Arial" w:eastAsia="Arial" w:hAnsi="Arial"/>
                <w:sz w:val="13"/>
                <w:szCs w:val="13"/>
                <w:color w:val="auto"/>
                <w:w w:val="91"/>
              </w:rPr>
              <w:t>Pirhonen Riku [Fi] Ranta Pekka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70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2000" w:type="dxa"/>
            <w:vAlign w:val="bottom"/>
            <w:vMerge w:val="restart"/>
          </w:tcPr>
          <w:p>
            <w:pPr>
              <w:ind w:left="120"/>
              <w:spacing w:after="0"/>
              <w:rPr>
                <w:sz w:val="20"/>
                <w:szCs w:val="20"/>
                <w:color w:val="auto"/>
              </w:rPr>
            </w:pPr>
            <w:r>
              <w:rPr>
                <w:rFonts w:ascii="Arial" w:cs="Arial" w:eastAsia="Arial" w:hAnsi="Arial"/>
                <w:sz w:val="13"/>
                <w:szCs w:val="13"/>
                <w:color w:val="auto"/>
              </w:rPr>
              <w:t>(+1)</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450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700" w:type="dxa"/>
            <w:vAlign w:val="bottom"/>
            <w:vMerge w:val="restart"/>
          </w:tcPr>
          <w:p>
            <w:pPr>
              <w:spacing w:after="0"/>
              <w:rPr>
                <w:sz w:val="20"/>
                <w:szCs w:val="20"/>
                <w:color w:val="auto"/>
              </w:rPr>
            </w:pPr>
            <w:r>
              <w:rPr>
                <w:rFonts w:ascii="Arial" w:cs="Arial" w:eastAsia="Arial" w:hAnsi="Arial"/>
                <w:sz w:val="13"/>
                <w:szCs w:val="13"/>
                <w:color w:val="auto"/>
                <w:w w:val="98"/>
              </w:rPr>
              <w:t>US7420948</w:t>
            </w:r>
          </w:p>
        </w:tc>
        <w:tc>
          <w:tcPr>
            <w:tcW w:w="4500" w:type="dxa"/>
            <w:vAlign w:val="bottom"/>
            <w:vMerge w:val="restart"/>
          </w:tcPr>
          <w:p>
            <w:pPr>
              <w:ind w:left="120"/>
              <w:spacing w:after="0"/>
              <w:rPr>
                <w:sz w:val="20"/>
                <w:szCs w:val="20"/>
                <w:color w:val="auto"/>
              </w:rPr>
            </w:pPr>
            <w:r>
              <w:rPr>
                <w:rFonts w:ascii="Arial" w:cs="Arial" w:eastAsia="Arial" w:hAnsi="Arial"/>
                <w:sz w:val="13"/>
                <w:szCs w:val="13"/>
                <w:color w:val="auto"/>
              </w:rPr>
              <w:t>Data Transmission Method</w:t>
            </w:r>
          </w:p>
        </w:tc>
        <w:tc>
          <w:tcPr>
            <w:tcW w:w="2000" w:type="dxa"/>
            <w:vAlign w:val="bottom"/>
          </w:tcPr>
          <w:p>
            <w:pPr>
              <w:ind w:left="120"/>
              <w:spacing w:after="0"/>
              <w:rPr>
                <w:sz w:val="20"/>
                <w:szCs w:val="20"/>
                <w:color w:val="auto"/>
              </w:rPr>
            </w:pPr>
            <w:r>
              <w:rPr>
                <w:rFonts w:ascii="Arial" w:cs="Arial" w:eastAsia="Arial" w:hAnsi="Arial"/>
                <w:sz w:val="13"/>
                <w:szCs w:val="13"/>
                <w:color w:val="auto"/>
                <w:w w:val="91"/>
              </w:rPr>
              <w:t>Pirhonen Riku [Fi] Ranta Pekka [Fi]</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70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2000" w:type="dxa"/>
            <w:vAlign w:val="bottom"/>
            <w:vMerge w:val="restart"/>
          </w:tcPr>
          <w:p>
            <w:pPr>
              <w:ind w:left="120"/>
              <w:spacing w:after="0"/>
              <w:rPr>
                <w:sz w:val="20"/>
                <w:szCs w:val="20"/>
                <w:color w:val="auto"/>
              </w:rPr>
            </w:pPr>
            <w:r>
              <w:rPr>
                <w:rFonts w:ascii="Arial" w:cs="Arial" w:eastAsia="Arial" w:hAnsi="Arial"/>
                <w:sz w:val="13"/>
                <w:szCs w:val="13"/>
                <w:color w:val="auto"/>
              </w:rPr>
              <w:t>(+1)</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450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700" w:type="dxa"/>
            <w:vAlign w:val="bottom"/>
            <w:vMerge w:val="restart"/>
          </w:tcPr>
          <w:p>
            <w:pPr>
              <w:spacing w:after="0"/>
              <w:rPr>
                <w:sz w:val="20"/>
                <w:szCs w:val="20"/>
                <w:color w:val="auto"/>
              </w:rPr>
            </w:pPr>
            <w:r>
              <w:rPr>
                <w:rFonts w:ascii="Arial" w:cs="Arial" w:eastAsia="Arial" w:hAnsi="Arial"/>
                <w:sz w:val="13"/>
                <w:szCs w:val="13"/>
                <w:color w:val="auto"/>
                <w:w w:val="98"/>
              </w:rPr>
              <w:t>US6970441</w:t>
            </w:r>
          </w:p>
        </w:tc>
        <w:tc>
          <w:tcPr>
            <w:tcW w:w="4500" w:type="dxa"/>
            <w:vAlign w:val="bottom"/>
            <w:vMerge w:val="restart"/>
          </w:tcPr>
          <w:p>
            <w:pPr>
              <w:ind w:left="120"/>
              <w:spacing w:after="0"/>
              <w:rPr>
                <w:sz w:val="20"/>
                <w:szCs w:val="20"/>
                <w:color w:val="auto"/>
              </w:rPr>
            </w:pPr>
            <w:r>
              <w:rPr>
                <w:rFonts w:ascii="Arial" w:cs="Arial" w:eastAsia="Arial" w:hAnsi="Arial"/>
                <w:sz w:val="13"/>
                <w:szCs w:val="13"/>
                <w:color w:val="auto"/>
              </w:rPr>
              <w:t>Data Transmission Method</w:t>
            </w:r>
          </w:p>
        </w:tc>
        <w:tc>
          <w:tcPr>
            <w:tcW w:w="2000" w:type="dxa"/>
            <w:vAlign w:val="bottom"/>
          </w:tcPr>
          <w:p>
            <w:pPr>
              <w:ind w:left="120"/>
              <w:spacing w:after="0"/>
              <w:rPr>
                <w:sz w:val="20"/>
                <w:szCs w:val="20"/>
                <w:color w:val="auto"/>
              </w:rPr>
            </w:pPr>
            <w:r>
              <w:rPr>
                <w:rFonts w:ascii="Arial" w:cs="Arial" w:eastAsia="Arial" w:hAnsi="Arial"/>
                <w:sz w:val="13"/>
                <w:szCs w:val="13"/>
                <w:color w:val="auto"/>
                <w:w w:val="91"/>
              </w:rPr>
              <w:t>Pirhonen Riku [Fi] Ranta Pekka [Fi]</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70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2000" w:type="dxa"/>
            <w:vAlign w:val="bottom"/>
            <w:vMerge w:val="restart"/>
          </w:tcPr>
          <w:p>
            <w:pPr>
              <w:ind w:left="120"/>
              <w:spacing w:after="0"/>
              <w:rPr>
                <w:sz w:val="20"/>
                <w:szCs w:val="20"/>
                <w:color w:val="auto"/>
              </w:rPr>
            </w:pPr>
            <w:r>
              <w:rPr>
                <w:rFonts w:ascii="Arial" w:cs="Arial" w:eastAsia="Arial" w:hAnsi="Arial"/>
                <w:sz w:val="13"/>
                <w:szCs w:val="13"/>
                <w:color w:val="auto"/>
              </w:rPr>
              <w:t>(+1)</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450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700" w:type="dxa"/>
            <w:vAlign w:val="bottom"/>
            <w:vMerge w:val="restart"/>
          </w:tcPr>
          <w:p>
            <w:pPr>
              <w:spacing w:after="0"/>
              <w:rPr>
                <w:sz w:val="20"/>
                <w:szCs w:val="20"/>
                <w:color w:val="auto"/>
              </w:rPr>
            </w:pPr>
            <w:r>
              <w:rPr>
                <w:rFonts w:ascii="Arial" w:cs="Arial" w:eastAsia="Arial" w:hAnsi="Arial"/>
                <w:sz w:val="13"/>
                <w:szCs w:val="13"/>
                <w:color w:val="auto"/>
                <w:w w:val="98"/>
              </w:rPr>
              <w:t>US6173187</w:t>
            </w:r>
          </w:p>
        </w:tc>
        <w:tc>
          <w:tcPr>
            <w:tcW w:w="4500" w:type="dxa"/>
            <w:vAlign w:val="bottom"/>
            <w:vMerge w:val="restart"/>
          </w:tcPr>
          <w:p>
            <w:pPr>
              <w:ind w:left="120"/>
              <w:spacing w:after="0"/>
              <w:rPr>
                <w:sz w:val="20"/>
                <w:szCs w:val="20"/>
                <w:color w:val="auto"/>
              </w:rPr>
            </w:pPr>
            <w:r>
              <w:rPr>
                <w:rFonts w:ascii="Arial" w:cs="Arial" w:eastAsia="Arial" w:hAnsi="Arial"/>
                <w:sz w:val="13"/>
                <w:szCs w:val="13"/>
                <w:color w:val="auto"/>
              </w:rPr>
              <w:t>Method Of Setting Load Goal, And Radio System</w:t>
            </w:r>
          </w:p>
        </w:tc>
        <w:tc>
          <w:tcPr>
            <w:tcW w:w="2000" w:type="dxa"/>
            <w:vAlign w:val="bottom"/>
          </w:tcPr>
          <w:p>
            <w:pPr>
              <w:ind w:left="120"/>
              <w:spacing w:after="0"/>
              <w:rPr>
                <w:sz w:val="20"/>
                <w:szCs w:val="20"/>
                <w:color w:val="auto"/>
              </w:rPr>
            </w:pPr>
            <w:r>
              <w:rPr>
                <w:rFonts w:ascii="Arial" w:cs="Arial" w:eastAsia="Arial" w:hAnsi="Arial"/>
                <w:sz w:val="13"/>
                <w:szCs w:val="13"/>
                <w:color w:val="auto"/>
              </w:rPr>
              <w:t>Salonaho Oscar [Fi] Haekkinen</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70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2000" w:type="dxa"/>
            <w:vAlign w:val="bottom"/>
            <w:vMerge w:val="restart"/>
          </w:tcPr>
          <w:p>
            <w:pPr>
              <w:ind w:left="120"/>
              <w:spacing w:after="0"/>
              <w:rPr>
                <w:sz w:val="20"/>
                <w:szCs w:val="20"/>
                <w:color w:val="auto"/>
              </w:rPr>
            </w:pPr>
            <w:r>
              <w:rPr>
                <w:rFonts w:ascii="Arial" w:cs="Arial" w:eastAsia="Arial" w:hAnsi="Arial"/>
                <w:sz w:val="13"/>
                <w:szCs w:val="13"/>
                <w:color w:val="auto"/>
              </w:rPr>
              <w:t>Hannu [Fi]</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450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700" w:type="dxa"/>
            <w:vAlign w:val="bottom"/>
            <w:vMerge w:val="restart"/>
          </w:tcPr>
          <w:p>
            <w:pPr>
              <w:spacing w:after="0"/>
              <w:rPr>
                <w:sz w:val="20"/>
                <w:szCs w:val="20"/>
                <w:color w:val="auto"/>
              </w:rPr>
            </w:pPr>
            <w:r>
              <w:rPr>
                <w:rFonts w:ascii="Arial" w:cs="Arial" w:eastAsia="Arial" w:hAnsi="Arial"/>
                <w:sz w:val="13"/>
                <w:szCs w:val="13"/>
                <w:color w:val="auto"/>
              </w:rPr>
              <w:t>EP0890225</w:t>
            </w:r>
          </w:p>
        </w:tc>
        <w:tc>
          <w:tcPr>
            <w:tcW w:w="4500" w:type="dxa"/>
            <w:vAlign w:val="bottom"/>
          </w:tcPr>
          <w:p>
            <w:pPr>
              <w:ind w:left="120"/>
              <w:spacing w:after="0"/>
              <w:rPr>
                <w:sz w:val="20"/>
                <w:szCs w:val="20"/>
                <w:color w:val="auto"/>
              </w:rPr>
            </w:pPr>
            <w:r>
              <w:rPr>
                <w:rFonts w:ascii="Arial" w:cs="Arial" w:eastAsia="Arial" w:hAnsi="Arial"/>
                <w:sz w:val="13"/>
                <w:szCs w:val="13"/>
                <w:color w:val="auto"/>
              </w:rPr>
              <w:t>Method Of Generating A Carrier Wave Of Common Channels And</w:t>
            </w:r>
          </w:p>
        </w:tc>
        <w:tc>
          <w:tcPr>
            <w:tcW w:w="2000" w:type="dxa"/>
            <w:vAlign w:val="bottom"/>
            <w:vMerge w:val="restart"/>
          </w:tcPr>
          <w:p>
            <w:pPr>
              <w:ind w:left="120"/>
              <w:spacing w:after="0"/>
              <w:rPr>
                <w:sz w:val="20"/>
                <w:szCs w:val="20"/>
                <w:color w:val="auto"/>
              </w:rPr>
            </w:pPr>
            <w:r>
              <w:rPr>
                <w:rFonts w:ascii="Arial" w:cs="Arial" w:eastAsia="Arial" w:hAnsi="Arial"/>
                <w:sz w:val="13"/>
                <w:szCs w:val="13"/>
                <w:color w:val="auto"/>
              </w:rPr>
              <w:t>Raitola Mika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700" w:type="dxa"/>
            <w:vAlign w:val="bottom"/>
            <w:vMerge w:val="continue"/>
          </w:tcPr>
          <w:p>
            <w:pPr>
              <w:spacing w:after="0"/>
              <w:rPr>
                <w:sz w:val="8"/>
                <w:szCs w:val="8"/>
                <w:color w:val="auto"/>
              </w:rPr>
            </w:pPr>
          </w:p>
        </w:tc>
        <w:tc>
          <w:tcPr>
            <w:tcW w:w="4500" w:type="dxa"/>
            <w:vAlign w:val="bottom"/>
            <w:vMerge w:val="restart"/>
          </w:tcPr>
          <w:p>
            <w:pPr>
              <w:ind w:left="120"/>
              <w:spacing w:after="0"/>
              <w:rPr>
                <w:sz w:val="20"/>
                <w:szCs w:val="20"/>
                <w:color w:val="auto"/>
              </w:rPr>
            </w:pPr>
            <w:r>
              <w:rPr>
                <w:rFonts w:ascii="Arial" w:cs="Arial" w:eastAsia="Arial" w:hAnsi="Arial"/>
                <w:sz w:val="13"/>
                <w:szCs w:val="13"/>
                <w:color w:val="auto"/>
              </w:rPr>
              <w:t>Dedicated Channels, And A Radio System</w:t>
            </w:r>
          </w:p>
        </w:tc>
        <w:tc>
          <w:tcPr>
            <w:tcW w:w="200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700" w:type="dxa"/>
            <w:vAlign w:val="bottom"/>
            <w:vMerge w:val="restart"/>
          </w:tcPr>
          <w:p>
            <w:pPr>
              <w:spacing w:after="0"/>
              <w:rPr>
                <w:sz w:val="20"/>
                <w:szCs w:val="20"/>
                <w:color w:val="auto"/>
              </w:rPr>
            </w:pPr>
            <w:r>
              <w:rPr>
                <w:rFonts w:ascii="Arial" w:cs="Arial" w:eastAsia="Arial" w:hAnsi="Arial"/>
                <w:sz w:val="13"/>
                <w:szCs w:val="13"/>
                <w:color w:val="auto"/>
                <w:w w:val="98"/>
              </w:rPr>
              <w:t>US6366602</w:t>
            </w:r>
          </w:p>
        </w:tc>
        <w:tc>
          <w:tcPr>
            <w:tcW w:w="4500" w:type="dxa"/>
            <w:vAlign w:val="bottom"/>
            <w:vMerge w:val="restart"/>
          </w:tcPr>
          <w:p>
            <w:pPr>
              <w:ind w:left="120"/>
              <w:spacing w:after="0"/>
              <w:rPr>
                <w:sz w:val="20"/>
                <w:szCs w:val="20"/>
                <w:color w:val="auto"/>
              </w:rPr>
            </w:pPr>
            <w:r>
              <w:rPr>
                <w:rFonts w:ascii="Arial" w:cs="Arial" w:eastAsia="Arial" w:hAnsi="Arial"/>
                <w:sz w:val="13"/>
                <w:szCs w:val="13"/>
                <w:color w:val="auto"/>
                <w:w w:val="90"/>
              </w:rPr>
              <w:t>Method Of Generating A Carrier Wave Of Common Channels, And A Radio System</w:t>
            </w:r>
          </w:p>
        </w:tc>
        <w:tc>
          <w:tcPr>
            <w:tcW w:w="2000" w:type="dxa"/>
            <w:vAlign w:val="bottom"/>
            <w:vMerge w:val="restart"/>
          </w:tcPr>
          <w:p>
            <w:pPr>
              <w:ind w:left="120"/>
              <w:spacing w:after="0"/>
              <w:rPr>
                <w:sz w:val="20"/>
                <w:szCs w:val="20"/>
                <w:color w:val="auto"/>
              </w:rPr>
            </w:pPr>
            <w:r>
              <w:rPr>
                <w:rFonts w:ascii="Arial" w:cs="Arial" w:eastAsia="Arial" w:hAnsi="Arial"/>
                <w:sz w:val="13"/>
                <w:szCs w:val="13"/>
                <w:color w:val="auto"/>
              </w:rPr>
              <w:t>Raitola Mika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70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45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-1764665</wp:posOffset>
            </wp:positionV>
            <wp:extent cx="7246620" cy="2571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-1249680</wp:posOffset>
            </wp:positionV>
            <wp:extent cx="7246620" cy="2571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-735330</wp:posOffset>
            </wp:positionV>
            <wp:extent cx="7246620" cy="2571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-220980</wp:posOffset>
            </wp:positionV>
            <wp:extent cx="7246620" cy="2571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120" w:lineRule="exact"/>
        <w:rPr>
          <w:sz w:val="20"/>
          <w:szCs w:val="20"/>
          <w:color w:val="auto"/>
        </w:rPr>
      </w:pPr>
    </w:p>
    <w:p>
      <w:pPr>
        <w:sectPr>
          <w:pgSz w:w="11900" w:h="16900" w:orient="portrait"/>
          <w:cols w:equalWidth="0" w:num="3">
            <w:col w:w="1840" w:space="320"/>
            <w:col w:w="1220" w:space="280"/>
            <w:col w:w="7760"/>
          </w:cols>
          <w:pgMar w:left="240" w:top="111" w:right="239" w:bottom="0" w:gutter="0" w:footer="0" w:header="0"/>
          <w:type w:val="continuous"/>
        </w:sectPr>
      </w:pPr>
    </w:p>
    <w:tbl>
      <w:tblPr>
        <w:tblLayout w:type="fixed"/>
        <w:tblInd w:w="80" w:type="dxa"/>
        <w:tblCellMar>
          <w:top w:w="0" w:type="dxa"/>
          <w:left w:w="0" w:type="dxa"/>
          <w:bottom w:w="0" w:type="dxa"/>
          <w:right w:w="0" w:type="dxa"/>
        </w:tblCellMar>
      </w:tblPr>
      <w:tr>
        <w:trPr>
          <w:trHeight w:val="125"/>
        </w:trPr>
        <w:tc>
          <w:tcPr>
            <w:tcW w:w="580" w:type="dxa"/>
            <w:vAlign w:val="bottom"/>
          </w:tcPr>
          <w:p>
            <w:pPr>
              <w:jc w:val="center"/>
              <w:spacing w:after="0" w:line="125" w:lineRule="exact"/>
              <w:rPr>
                <w:sz w:val="20"/>
                <w:szCs w:val="20"/>
                <w:color w:val="auto"/>
              </w:rPr>
            </w:pPr>
            <w:r>
              <w:rPr>
                <w:rFonts w:ascii="Arial" w:cs="Arial" w:eastAsia="Arial" w:hAnsi="Arial"/>
                <w:sz w:val="13"/>
                <w:szCs w:val="13"/>
                <w:color w:val="auto"/>
                <w:w w:val="95"/>
              </w:rPr>
              <w:t>A7776VI-</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US</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US01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A7794VI-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right"/>
              <w:spacing w:after="0" w:line="135" w:lineRule="exact"/>
              <w:rPr>
                <w:sz w:val="20"/>
                <w:szCs w:val="20"/>
                <w:color w:val="auto"/>
              </w:rPr>
            </w:pPr>
            <w:r>
              <w:rPr>
                <w:rFonts w:ascii="Arial" w:cs="Arial" w:eastAsia="Arial" w:hAnsi="Arial"/>
                <w:sz w:val="13"/>
                <w:szCs w:val="13"/>
                <w:color w:val="auto"/>
              </w:rPr>
              <w:t>EP</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81"/>
              </w:rPr>
              <w:t>EP01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A7794VI-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right"/>
              <w:spacing w:after="0" w:line="135" w:lineRule="exact"/>
              <w:rPr>
                <w:sz w:val="20"/>
                <w:szCs w:val="20"/>
                <w:color w:val="auto"/>
              </w:rPr>
            </w:pPr>
            <w:r>
              <w:rPr>
                <w:rFonts w:ascii="Arial" w:cs="Arial" w:eastAsia="Arial" w:hAnsi="Arial"/>
                <w:sz w:val="13"/>
                <w:szCs w:val="13"/>
                <w:color w:val="auto"/>
              </w:rPr>
              <w:t>US</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US01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A7882VI-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right"/>
              <w:spacing w:after="0" w:line="135" w:lineRule="exact"/>
              <w:rPr>
                <w:sz w:val="20"/>
                <w:szCs w:val="20"/>
                <w:color w:val="auto"/>
              </w:rPr>
            </w:pPr>
            <w:r>
              <w:rPr>
                <w:rFonts w:ascii="Arial" w:cs="Arial" w:eastAsia="Arial" w:hAnsi="Arial"/>
                <w:sz w:val="13"/>
                <w:szCs w:val="13"/>
                <w:color w:val="auto"/>
              </w:rPr>
              <w:t>AT</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9"/>
              </w:rPr>
              <w:t>AT01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A7882VI-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right"/>
              <w:spacing w:after="0" w:line="135" w:lineRule="exact"/>
              <w:rPr>
                <w:sz w:val="20"/>
                <w:szCs w:val="20"/>
                <w:color w:val="auto"/>
              </w:rPr>
            </w:pPr>
            <w:r>
              <w:rPr>
                <w:rFonts w:ascii="Arial" w:cs="Arial" w:eastAsia="Arial" w:hAnsi="Arial"/>
                <w:sz w:val="13"/>
                <w:szCs w:val="13"/>
                <w:color w:val="auto"/>
              </w:rPr>
              <w:t>AU</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AU01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A7882VI-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right"/>
              <w:spacing w:after="0" w:line="135" w:lineRule="exact"/>
              <w:rPr>
                <w:sz w:val="20"/>
                <w:szCs w:val="20"/>
                <w:color w:val="auto"/>
              </w:rPr>
            </w:pPr>
            <w:r>
              <w:rPr>
                <w:rFonts w:ascii="Arial" w:cs="Arial" w:eastAsia="Arial" w:hAnsi="Arial"/>
                <w:sz w:val="13"/>
                <w:szCs w:val="13"/>
                <w:color w:val="auto"/>
              </w:rPr>
              <w:t>CH</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0"/>
              </w:rPr>
              <w:t>CH01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8"/>
        </w:trPr>
        <w:tc>
          <w:tcPr>
            <w:tcW w:w="580" w:type="dxa"/>
            <w:vAlign w:val="bottom"/>
          </w:tcPr>
          <w:p>
            <w:pPr>
              <w:spacing w:after="0"/>
              <w:rPr>
                <w:sz w:val="6"/>
                <w:szCs w:val="6"/>
                <w:color w:val="auto"/>
              </w:rPr>
            </w:pPr>
          </w:p>
        </w:tc>
        <w:tc>
          <w:tcPr>
            <w:tcW w:w="900" w:type="dxa"/>
            <w:vAlign w:val="bottom"/>
          </w:tcPr>
          <w:p>
            <w:pPr>
              <w:jc w:val="center"/>
              <w:spacing w:after="0" w:line="78" w:lineRule="exact"/>
              <w:rPr>
                <w:sz w:val="20"/>
                <w:szCs w:val="20"/>
                <w:color w:val="auto"/>
              </w:rPr>
            </w:pPr>
            <w:r>
              <w:rPr>
                <w:rFonts w:ascii="Arial" w:cs="Arial" w:eastAsia="Arial" w:hAnsi="Arial"/>
                <w:sz w:val="8"/>
                <w:szCs w:val="8"/>
                <w:color w:val="auto"/>
              </w:rPr>
              <w:t>Vringo</w:t>
            </w: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13-Dec-99</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30-Dec-97</w:t>
      </w:r>
    </w:p>
    <w:p>
      <w:pPr>
        <w:spacing w:after="0" w:line="279" w:lineRule="exact"/>
        <w:rPr>
          <w:sz w:val="20"/>
          <w:szCs w:val="20"/>
          <w:color w:val="auto"/>
        </w:rPr>
      </w:pPr>
    </w:p>
    <w:p>
      <w:pPr>
        <w:spacing w:after="0"/>
        <w:tabs>
          <w:tab w:leader="none" w:pos="66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29-Jun-00</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30-Mar-99</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30-Mar-99</w:t>
      </w: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11"/>
          <w:szCs w:val="11"/>
          <w:color w:val="auto"/>
        </w:rPr>
        <w:t>Granted</w:t>
      </w:r>
      <w:r>
        <w:rPr>
          <w:sz w:val="20"/>
          <w:szCs w:val="20"/>
          <w:color w:val="auto"/>
        </w:rPr>
        <w:tab/>
      </w:r>
      <w:r>
        <w:rPr>
          <w:rFonts w:ascii="Arial" w:cs="Arial" w:eastAsia="Arial" w:hAnsi="Arial"/>
          <w:sz w:val="11"/>
          <w:szCs w:val="11"/>
          <w:color w:val="auto"/>
        </w:rPr>
        <w:t>30-Mar-99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720" w:type="dxa"/>
            <w:vAlign w:val="bottom"/>
            <w:vMerge w:val="restart"/>
          </w:tcPr>
          <w:p>
            <w:pPr>
              <w:jc w:val="center"/>
              <w:ind w:right="17"/>
              <w:spacing w:after="0"/>
              <w:rPr>
                <w:sz w:val="20"/>
                <w:szCs w:val="20"/>
                <w:color w:val="auto"/>
              </w:rPr>
            </w:pPr>
            <w:r>
              <w:rPr>
                <w:rFonts w:ascii="Arial" w:cs="Arial" w:eastAsia="Arial" w:hAnsi="Arial"/>
                <w:sz w:val="13"/>
                <w:szCs w:val="13"/>
                <w:color w:val="auto"/>
                <w:w w:val="87"/>
              </w:rPr>
              <w:t>US6349099</w:t>
            </w:r>
          </w:p>
        </w:tc>
        <w:tc>
          <w:tcPr>
            <w:tcW w:w="3280" w:type="dxa"/>
            <w:vAlign w:val="bottom"/>
          </w:tcPr>
          <w:p>
            <w:pPr>
              <w:ind w:left="120"/>
              <w:spacing w:after="0" w:line="125" w:lineRule="exact"/>
              <w:rPr>
                <w:sz w:val="20"/>
                <w:szCs w:val="20"/>
                <w:color w:val="auto"/>
              </w:rPr>
            </w:pPr>
            <w:r>
              <w:rPr>
                <w:rFonts w:ascii="Arial" w:cs="Arial" w:eastAsia="Arial" w:hAnsi="Arial"/>
                <w:sz w:val="13"/>
                <w:szCs w:val="13"/>
                <w:color w:val="auto"/>
                <w:w w:val="88"/>
              </w:rPr>
              <w:t>Connection Identification In Transmission System Of Wireless</w:t>
            </w: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3280" w:type="dxa"/>
            <w:vAlign w:val="bottom"/>
            <w:vMerge w:val="restart"/>
          </w:tcPr>
          <w:p>
            <w:pPr>
              <w:ind w:left="120"/>
              <w:spacing w:after="0"/>
              <w:rPr>
                <w:sz w:val="20"/>
                <w:szCs w:val="20"/>
                <w:color w:val="auto"/>
              </w:rPr>
            </w:pPr>
            <w:r>
              <w:rPr>
                <w:rFonts w:ascii="Arial" w:cs="Arial" w:eastAsia="Arial" w:hAnsi="Arial"/>
                <w:sz w:val="13"/>
                <w:szCs w:val="13"/>
                <w:color w:val="auto"/>
              </w:rPr>
              <w:t>Telecommunication Network Over Atm Protocol Stack</w:t>
            </w:r>
          </w:p>
        </w:tc>
        <w:tc>
          <w:tcPr>
            <w:tcW w:w="0" w:type="dxa"/>
            <w:vAlign w:val="bottom"/>
          </w:tcPr>
          <w:p>
            <w:pPr>
              <w:spacing w:after="0"/>
              <w:rPr>
                <w:sz w:val="1"/>
                <w:szCs w:val="1"/>
                <w:color w:val="auto"/>
              </w:rPr>
            </w:pPr>
          </w:p>
        </w:tc>
      </w:tr>
      <w:tr>
        <w:trPr>
          <w:trHeight w:val="68"/>
        </w:trPr>
        <w:tc>
          <w:tcPr>
            <w:tcW w:w="72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720" w:type="dxa"/>
            <w:vAlign w:val="bottom"/>
          </w:tcPr>
          <w:p>
            <w:pPr>
              <w:jc w:val="center"/>
              <w:ind w:right="37"/>
              <w:spacing w:after="0"/>
              <w:rPr>
                <w:sz w:val="20"/>
                <w:szCs w:val="20"/>
                <w:color w:val="auto"/>
              </w:rPr>
            </w:pPr>
            <w:r>
              <w:rPr>
                <w:rFonts w:ascii="Arial" w:cs="Arial" w:eastAsia="Arial" w:hAnsi="Arial"/>
                <w:sz w:val="13"/>
                <w:szCs w:val="13"/>
                <w:color w:val="auto"/>
                <w:w w:val="85"/>
              </w:rPr>
              <w:t>EP1044575</w:t>
            </w:r>
          </w:p>
        </w:tc>
        <w:tc>
          <w:tcPr>
            <w:tcW w:w="3280" w:type="dxa"/>
            <w:vAlign w:val="bottom"/>
          </w:tcPr>
          <w:p>
            <w:pPr>
              <w:ind w:left="120"/>
              <w:spacing w:after="0"/>
              <w:rPr>
                <w:sz w:val="20"/>
                <w:szCs w:val="20"/>
                <w:color w:val="auto"/>
              </w:rPr>
            </w:pPr>
            <w:r>
              <w:rPr>
                <w:rFonts w:ascii="Arial" w:cs="Arial" w:eastAsia="Arial" w:hAnsi="Arial"/>
                <w:sz w:val="13"/>
                <w:szCs w:val="13"/>
                <w:color w:val="auto"/>
              </w:rPr>
              <w:t>Broadband Cellular Network Device</w:t>
            </w:r>
          </w:p>
        </w:tc>
        <w:tc>
          <w:tcPr>
            <w:tcW w:w="0" w:type="dxa"/>
            <w:vAlign w:val="bottom"/>
          </w:tcPr>
          <w:p>
            <w:pPr>
              <w:spacing w:after="0"/>
              <w:rPr>
                <w:sz w:val="1"/>
                <w:szCs w:val="1"/>
                <w:color w:val="auto"/>
              </w:rPr>
            </w:pPr>
          </w:p>
        </w:tc>
      </w:tr>
      <w:tr>
        <w:trPr>
          <w:trHeight w:val="405"/>
        </w:trPr>
        <w:tc>
          <w:tcPr>
            <w:tcW w:w="720" w:type="dxa"/>
            <w:vAlign w:val="bottom"/>
          </w:tcPr>
          <w:p>
            <w:pPr>
              <w:jc w:val="center"/>
              <w:ind w:right="17"/>
              <w:spacing w:after="0"/>
              <w:rPr>
                <w:sz w:val="20"/>
                <w:szCs w:val="20"/>
                <w:color w:val="auto"/>
              </w:rPr>
            </w:pPr>
            <w:r>
              <w:rPr>
                <w:rFonts w:ascii="Arial" w:cs="Arial" w:eastAsia="Arial" w:hAnsi="Arial"/>
                <w:sz w:val="13"/>
                <w:szCs w:val="13"/>
                <w:color w:val="auto"/>
                <w:w w:val="87"/>
              </w:rPr>
              <w:t>US6859447</w:t>
            </w:r>
          </w:p>
        </w:tc>
        <w:tc>
          <w:tcPr>
            <w:tcW w:w="3280" w:type="dxa"/>
            <w:vAlign w:val="bottom"/>
          </w:tcPr>
          <w:p>
            <w:pPr>
              <w:ind w:left="120"/>
              <w:spacing w:after="0"/>
              <w:rPr>
                <w:sz w:val="20"/>
                <w:szCs w:val="20"/>
                <w:color w:val="auto"/>
              </w:rPr>
            </w:pPr>
            <w:r>
              <w:rPr>
                <w:rFonts w:ascii="Arial" w:cs="Arial" w:eastAsia="Arial" w:hAnsi="Arial"/>
                <w:sz w:val="13"/>
                <w:szCs w:val="13"/>
                <w:color w:val="auto"/>
              </w:rPr>
              <w:t>Broadband Cellular Network Device</w:t>
            </w:r>
          </w:p>
        </w:tc>
        <w:tc>
          <w:tcPr>
            <w:tcW w:w="0" w:type="dxa"/>
            <w:vAlign w:val="bottom"/>
          </w:tcPr>
          <w:p>
            <w:pPr>
              <w:spacing w:after="0"/>
              <w:rPr>
                <w:sz w:val="1"/>
                <w:szCs w:val="1"/>
                <w:color w:val="auto"/>
              </w:rPr>
            </w:pPr>
          </w:p>
        </w:tc>
      </w:tr>
      <w:tr>
        <w:trPr>
          <w:trHeight w:val="405"/>
        </w:trPr>
        <w:tc>
          <w:tcPr>
            <w:tcW w:w="720" w:type="dxa"/>
            <w:vAlign w:val="bottom"/>
          </w:tcPr>
          <w:p>
            <w:pPr>
              <w:jc w:val="center"/>
              <w:ind w:right="37"/>
              <w:spacing w:after="0"/>
              <w:rPr>
                <w:sz w:val="20"/>
                <w:szCs w:val="20"/>
                <w:color w:val="auto"/>
              </w:rPr>
            </w:pPr>
            <w:r>
              <w:rPr>
                <w:rFonts w:ascii="Arial" w:cs="Arial" w:eastAsia="Arial" w:hAnsi="Arial"/>
                <w:sz w:val="13"/>
                <w:szCs w:val="13"/>
                <w:color w:val="auto"/>
                <w:w w:val="89"/>
              </w:rPr>
              <w:t>AT305709</w:t>
            </w:r>
          </w:p>
        </w:tc>
        <w:tc>
          <w:tcPr>
            <w:tcW w:w="3280" w:type="dxa"/>
            <w:vAlign w:val="bottom"/>
          </w:tcPr>
          <w:p>
            <w:pPr>
              <w:ind w:left="120"/>
              <w:spacing w:after="0"/>
              <w:rPr>
                <w:sz w:val="20"/>
                <w:szCs w:val="20"/>
                <w:color w:val="auto"/>
              </w:rPr>
            </w:pPr>
            <w:r>
              <w:rPr>
                <w:rFonts w:ascii="Arial" w:cs="Arial" w:eastAsia="Arial" w:hAnsi="Arial"/>
                <w:sz w:val="13"/>
                <w:szCs w:val="13"/>
                <w:color w:val="auto"/>
                <w:w w:val="93"/>
              </w:rPr>
              <w:t>Method Of Measuring Time Difference, And Radio System</w:t>
            </w:r>
          </w:p>
        </w:tc>
        <w:tc>
          <w:tcPr>
            <w:tcW w:w="0" w:type="dxa"/>
            <w:vAlign w:val="bottom"/>
          </w:tcPr>
          <w:p>
            <w:pPr>
              <w:spacing w:after="0"/>
              <w:rPr>
                <w:sz w:val="1"/>
                <w:szCs w:val="1"/>
                <w:color w:val="auto"/>
              </w:rPr>
            </w:pPr>
          </w:p>
        </w:tc>
      </w:tr>
      <w:tr>
        <w:trPr>
          <w:trHeight w:val="405"/>
        </w:trPr>
        <w:tc>
          <w:tcPr>
            <w:tcW w:w="720" w:type="dxa"/>
            <w:vAlign w:val="bottom"/>
          </w:tcPr>
          <w:p>
            <w:pPr>
              <w:jc w:val="center"/>
              <w:ind w:right="17"/>
              <w:spacing w:after="0"/>
              <w:rPr>
                <w:sz w:val="20"/>
                <w:szCs w:val="20"/>
                <w:color w:val="auto"/>
              </w:rPr>
            </w:pPr>
            <w:r>
              <w:rPr>
                <w:rFonts w:ascii="Arial" w:cs="Arial" w:eastAsia="Arial" w:hAnsi="Arial"/>
                <w:sz w:val="13"/>
                <w:szCs w:val="13"/>
                <w:color w:val="auto"/>
                <w:w w:val="91"/>
              </w:rPr>
              <w:t>AU755890</w:t>
            </w:r>
          </w:p>
        </w:tc>
        <w:tc>
          <w:tcPr>
            <w:tcW w:w="3280" w:type="dxa"/>
            <w:vAlign w:val="bottom"/>
          </w:tcPr>
          <w:p>
            <w:pPr>
              <w:ind w:left="120"/>
              <w:spacing w:after="0"/>
              <w:rPr>
                <w:sz w:val="20"/>
                <w:szCs w:val="20"/>
                <w:color w:val="auto"/>
              </w:rPr>
            </w:pPr>
            <w:r>
              <w:rPr>
                <w:rFonts w:ascii="Arial" w:cs="Arial" w:eastAsia="Arial" w:hAnsi="Arial"/>
                <w:sz w:val="13"/>
                <w:szCs w:val="13"/>
                <w:color w:val="auto"/>
                <w:w w:val="93"/>
              </w:rPr>
              <w:t>Method Of Measuring Time Difference, And Radio System</w:t>
            </w:r>
          </w:p>
        </w:tc>
        <w:tc>
          <w:tcPr>
            <w:tcW w:w="0" w:type="dxa"/>
            <w:vAlign w:val="bottom"/>
          </w:tcPr>
          <w:p>
            <w:pPr>
              <w:spacing w:after="0"/>
              <w:rPr>
                <w:sz w:val="1"/>
                <w:szCs w:val="1"/>
                <w:color w:val="auto"/>
              </w:rPr>
            </w:pPr>
          </w:p>
        </w:tc>
      </w:tr>
      <w:tr>
        <w:trPr>
          <w:trHeight w:val="405"/>
        </w:trPr>
        <w:tc>
          <w:tcPr>
            <w:tcW w:w="720" w:type="dxa"/>
            <w:vAlign w:val="bottom"/>
          </w:tcPr>
          <w:p>
            <w:pPr>
              <w:jc w:val="center"/>
              <w:ind w:right="37"/>
              <w:spacing w:after="0"/>
              <w:rPr>
                <w:sz w:val="20"/>
                <w:szCs w:val="20"/>
                <w:color w:val="auto"/>
              </w:rPr>
            </w:pPr>
            <w:r>
              <w:rPr>
                <w:rFonts w:ascii="Arial" w:cs="Arial" w:eastAsia="Arial" w:hAnsi="Arial"/>
                <w:sz w:val="13"/>
                <w:szCs w:val="13"/>
                <w:color w:val="auto"/>
                <w:w w:val="89"/>
              </w:rPr>
              <w:t>CH1068762</w:t>
            </w:r>
          </w:p>
        </w:tc>
        <w:tc>
          <w:tcPr>
            <w:tcW w:w="3280" w:type="dxa"/>
            <w:vAlign w:val="bottom"/>
          </w:tcPr>
          <w:p>
            <w:pPr>
              <w:ind w:left="120"/>
              <w:spacing w:after="0"/>
              <w:rPr>
                <w:sz w:val="20"/>
                <w:szCs w:val="20"/>
                <w:color w:val="auto"/>
              </w:rPr>
            </w:pPr>
            <w:r>
              <w:rPr>
                <w:rFonts w:ascii="Arial" w:cs="Arial" w:eastAsia="Arial" w:hAnsi="Arial"/>
                <w:sz w:val="13"/>
                <w:szCs w:val="13"/>
                <w:color w:val="auto"/>
                <w:w w:val="93"/>
              </w:rPr>
              <w:t>Method Of Measuring Time Difference, And Radio System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-1207135</wp:posOffset>
            </wp:positionV>
            <wp:extent cx="7246620" cy="2571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-692150</wp:posOffset>
            </wp:positionV>
            <wp:extent cx="7246620" cy="2571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-177800</wp:posOffset>
            </wp:positionV>
            <wp:extent cx="7246620" cy="2571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1880" w:type="dxa"/>
            <w:vAlign w:val="bottom"/>
          </w:tcPr>
          <w:p>
            <w:pPr>
              <w:spacing w:after="0" w:line="125" w:lineRule="exact"/>
              <w:rPr>
                <w:sz w:val="20"/>
                <w:szCs w:val="20"/>
                <w:color w:val="auto"/>
              </w:rPr>
            </w:pPr>
            <w:r>
              <w:rPr>
                <w:rFonts w:ascii="Arial" w:cs="Arial" w:eastAsia="Arial" w:hAnsi="Arial"/>
                <w:sz w:val="13"/>
                <w:szCs w:val="13"/>
                <w:color w:val="auto"/>
                <w:w w:val="91"/>
              </w:rPr>
              <w:t>Larikka Tapani [Fi] Rajala Jussi [Fi]</w:t>
            </w:r>
          </w:p>
        </w:tc>
        <w:tc>
          <w:tcPr>
            <w:tcW w:w="500" w:type="dxa"/>
            <w:vAlign w:val="bottom"/>
          </w:tcPr>
          <w:p>
            <w:pPr>
              <w:jc w:val="center"/>
              <w:spacing w:after="0" w:line="125" w:lineRule="exact"/>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(+1)</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3"/>
              </w:rPr>
              <w:t>Ruutu Jussi [Fi] Martikainen Mikko</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[Fi]</w:t>
            </w:r>
          </w:p>
        </w:tc>
        <w:tc>
          <w:tcPr>
            <w:tcW w:w="500" w:type="dxa"/>
            <w:vAlign w:val="bottom"/>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3"/>
              </w:rPr>
              <w:t>Ruutu Jussi [Fi] Martikainen Mikko</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80" w:type="dxa"/>
            <w:vAlign w:val="bottom"/>
            <w:vMerge w:val="restart"/>
          </w:tcPr>
          <w:p>
            <w:pPr>
              <w:spacing w:after="0"/>
              <w:rPr>
                <w:sz w:val="20"/>
                <w:szCs w:val="20"/>
                <w:color w:val="auto"/>
              </w:rPr>
            </w:pPr>
            <w:r>
              <w:rPr>
                <w:rFonts w:ascii="Arial" w:cs="Arial" w:eastAsia="Arial" w:hAnsi="Arial"/>
                <w:sz w:val="13"/>
                <w:szCs w:val="13"/>
                <w:color w:val="auto"/>
              </w:rPr>
              <w:t>[Fi]</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7"/>
              </w:rPr>
              <w:t>Ruutu Ville [Fi] Rantalainen Timo</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80" w:type="dxa"/>
            <w:vAlign w:val="bottom"/>
            <w:vMerge w:val="restart"/>
          </w:tcPr>
          <w:p>
            <w:pPr>
              <w:spacing w:after="0"/>
              <w:rPr>
                <w:sz w:val="20"/>
                <w:szCs w:val="20"/>
                <w:color w:val="auto"/>
              </w:rPr>
            </w:pPr>
            <w:r>
              <w:rPr>
                <w:rFonts w:ascii="Arial" w:cs="Arial" w:eastAsia="Arial" w:hAnsi="Arial"/>
                <w:sz w:val="13"/>
                <w:szCs w:val="13"/>
                <w:color w:val="auto"/>
              </w:rPr>
              <w:t>M [Fi] (+3)</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Arial" w:cs="Arial" w:eastAsia="Arial" w:hAnsi="Arial"/>
                <w:sz w:val="13"/>
                <w:szCs w:val="13"/>
                <w:color w:val="auto"/>
                <w:w w:val="97"/>
              </w:rPr>
              <w:t>Ruutu Ville [Fi] Rantalainen Timo</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1880" w:type="dxa"/>
            <w:vAlign w:val="bottom"/>
            <w:vMerge w:val="restart"/>
          </w:tcPr>
          <w:p>
            <w:pPr>
              <w:spacing w:after="0"/>
              <w:rPr>
                <w:sz w:val="20"/>
                <w:szCs w:val="20"/>
                <w:color w:val="auto"/>
              </w:rPr>
            </w:pPr>
            <w:r>
              <w:rPr>
                <w:rFonts w:ascii="Arial" w:cs="Arial" w:eastAsia="Arial" w:hAnsi="Arial"/>
                <w:sz w:val="13"/>
                <w:szCs w:val="13"/>
                <w:color w:val="auto"/>
              </w:rPr>
              <w:t>M [Fi] (+3)</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880" w:type="dxa"/>
            <w:vAlign w:val="bottom"/>
          </w:tcPr>
          <w:p>
            <w:pPr>
              <w:spacing w:after="0"/>
              <w:rPr>
                <w:sz w:val="20"/>
                <w:szCs w:val="20"/>
                <w:color w:val="auto"/>
              </w:rPr>
            </w:pPr>
            <w:r>
              <w:rPr>
                <w:rFonts w:ascii="Arial" w:cs="Arial" w:eastAsia="Arial" w:hAnsi="Arial"/>
                <w:sz w:val="13"/>
                <w:szCs w:val="13"/>
                <w:color w:val="auto"/>
                <w:w w:val="92"/>
              </w:rPr>
              <w:t>Marko Alanen, Gudni Gunnarsson,</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Olli Hyvärinen, Timo M.</w:t>
            </w:r>
          </w:p>
        </w:tc>
        <w:tc>
          <w:tcPr>
            <w:tcW w:w="500" w:type="dxa"/>
            <w:vAlign w:val="bottom"/>
          </w:tcPr>
          <w:p>
            <w:pPr>
              <w:jc w:val="center"/>
              <w:spacing w:after="0" w:line="135" w:lineRule="exact"/>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3"/>
                <w:szCs w:val="13"/>
                <w:color w:val="auto"/>
              </w:rPr>
              <w:t>Rantalainen, Ville Ruutu</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900" w:orient="portrait"/>
          <w:cols w:equalWidth="0" w:num="4">
            <w:col w:w="1840" w:space="320"/>
            <w:col w:w="1200" w:space="280"/>
            <w:col w:w="4620" w:space="720"/>
            <w:col w:w="2440"/>
          </w:cols>
          <w:pgMar w:left="240" w:top="111" w:right="239" w:bottom="0" w:gutter="0" w:footer="0" w:header="0"/>
          <w:type w:val="continuous"/>
        </w:sectPr>
      </w:pPr>
    </w:p>
    <w:tbl>
      <w:tblPr>
        <w:tblLayout w:type="fixed"/>
        <w:tblInd w:w="80" w:type="dxa"/>
        <w:tblCellMar>
          <w:top w:w="0" w:type="dxa"/>
          <w:left w:w="0" w:type="dxa"/>
          <w:bottom w:w="0" w:type="dxa"/>
          <w:right w:w="0" w:type="dxa"/>
        </w:tblCellMar>
      </w:tblPr>
      <w:tr>
        <w:trPr>
          <w:trHeight w:val="125"/>
        </w:trPr>
        <w:tc>
          <w:tcPr>
            <w:tcW w:w="580" w:type="dxa"/>
            <w:vAlign w:val="bottom"/>
          </w:tcPr>
          <w:p>
            <w:pPr>
              <w:jc w:val="center"/>
              <w:spacing w:after="0" w:line="125" w:lineRule="exact"/>
              <w:rPr>
                <w:sz w:val="20"/>
                <w:szCs w:val="20"/>
                <w:color w:val="auto"/>
              </w:rPr>
            </w:pPr>
            <w:r>
              <w:rPr>
                <w:rFonts w:ascii="Arial" w:cs="Arial" w:eastAsia="Arial" w:hAnsi="Arial"/>
                <w:sz w:val="13"/>
                <w:szCs w:val="13"/>
                <w:color w:val="auto"/>
                <w:w w:val="95"/>
              </w:rPr>
              <w:t>A7882VI-</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37"/>
              <w:spacing w:after="0"/>
              <w:rPr>
                <w:sz w:val="20"/>
                <w:szCs w:val="20"/>
                <w:color w:val="auto"/>
              </w:rPr>
            </w:pPr>
            <w:r>
              <w:rPr>
                <w:rFonts w:ascii="Arial" w:cs="Arial" w:eastAsia="Arial" w:hAnsi="Arial"/>
                <w:sz w:val="13"/>
                <w:szCs w:val="13"/>
                <w:color w:val="auto"/>
                <w:w w:val="95"/>
              </w:rPr>
              <w:t>CN</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0"/>
              </w:rPr>
              <w:t>CN01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A7882VI-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DE01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A7882VI-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81"/>
              </w:rPr>
              <w:t>EP01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A7882VI-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7"/>
              </w:rPr>
              <w:t>FR01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A7882VI-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0"/>
              </w:rPr>
              <w:t>GB01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A7882VI-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78"/>
              </w:rPr>
              <w:t>JP</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87"/>
              </w:rPr>
              <w:t>JP01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A7882VI-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6"/>
              </w:rPr>
              <w:t>NL</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6"/>
              </w:rPr>
              <w:t>NL01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A7882VI-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92"/>
              </w:rPr>
              <w:t>NO</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88"/>
              </w:rPr>
              <w:t>NO01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A7882VI-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US01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A7959VI-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DE</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DE01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A7959VI-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1"/>
              </w:rPr>
              <w:t>EP</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81"/>
              </w:rPr>
              <w:t>EP01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A7959VI-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2"/>
              </w:rPr>
              <w:t>FR</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7"/>
              </w:rPr>
              <w:t>FR01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A7959VI-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0"/>
              </w:rPr>
              <w:t>GB01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A7959VI-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37"/>
              <w:spacing w:after="0" w:line="135" w:lineRule="exact"/>
              <w:rPr>
                <w:sz w:val="20"/>
                <w:szCs w:val="20"/>
                <w:color w:val="auto"/>
              </w:rPr>
            </w:pPr>
            <w:r>
              <w:rPr>
                <w:rFonts w:ascii="Arial" w:cs="Arial" w:eastAsia="Arial" w:hAnsi="Arial"/>
                <w:sz w:val="13"/>
                <w:szCs w:val="13"/>
                <w:color w:val="auto"/>
                <w:w w:val="95"/>
              </w:rPr>
              <w:t>GB</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0"/>
              </w:rPr>
              <w:t>GB01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A7959VI-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rPr>
              <w:t>IT</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9"/>
              </w:rPr>
              <w:t>IT01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A7959VI-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1"/>
              </w:rPr>
              <w:t>SE</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81"/>
              </w:rPr>
              <w:t>SE01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5"/>
              </w:rPr>
              <w:t>A7959VI-</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80" w:type="dxa"/>
            <w:vAlign w:val="bottom"/>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28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88"/>
              </w:rPr>
              <w:t>US</w:t>
            </w:r>
          </w:p>
        </w:tc>
        <w:tc>
          <w:tcPr>
            <w:tcW w:w="0" w:type="dxa"/>
            <w:vAlign w:val="bottom"/>
          </w:tcPr>
          <w:p>
            <w:pPr>
              <w:spacing w:after="0"/>
              <w:rPr>
                <w:sz w:val="1"/>
                <w:szCs w:val="1"/>
                <w:color w:val="auto"/>
              </w:rPr>
            </w:pPr>
          </w:p>
        </w:tc>
      </w:tr>
      <w:tr>
        <w:trPr>
          <w:trHeight w:val="68"/>
        </w:trPr>
        <w:tc>
          <w:tcPr>
            <w:tcW w:w="580" w:type="dxa"/>
            <w:vAlign w:val="bottom"/>
            <w:vMerge w:val="restart"/>
          </w:tcPr>
          <w:p>
            <w:pPr>
              <w:jc w:val="center"/>
              <w:ind w:right="17"/>
              <w:spacing w:after="0"/>
              <w:rPr>
                <w:sz w:val="20"/>
                <w:szCs w:val="20"/>
                <w:color w:val="auto"/>
              </w:rPr>
            </w:pPr>
            <w:r>
              <w:rPr>
                <w:rFonts w:ascii="Arial" w:cs="Arial" w:eastAsia="Arial" w:hAnsi="Arial"/>
                <w:sz w:val="13"/>
                <w:szCs w:val="13"/>
                <w:color w:val="auto"/>
                <w:w w:val="92"/>
              </w:rPr>
              <w:t>US01</w:t>
            </w:r>
          </w:p>
        </w:tc>
        <w:tc>
          <w:tcPr>
            <w:tcW w:w="9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80" w:type="dxa"/>
            <w:vAlign w:val="bottom"/>
            <w:vMerge w:val="continue"/>
          </w:tcPr>
          <w:p>
            <w:pPr>
              <w:spacing w:after="0"/>
              <w:rPr>
                <w:sz w:val="8"/>
                <w:szCs w:val="8"/>
                <w:color w:val="auto"/>
              </w:rPr>
            </w:pPr>
          </w:p>
        </w:tc>
        <w:tc>
          <w:tcPr>
            <w:tcW w:w="900" w:type="dxa"/>
            <w:vAlign w:val="bottom"/>
            <w:vMerge w:val="restart"/>
          </w:tcPr>
          <w:p>
            <w:pPr>
              <w:jc w:val="center"/>
              <w:spacing w:after="0" w:line="145" w:lineRule="exact"/>
              <w:rPr>
                <w:sz w:val="20"/>
                <w:szCs w:val="20"/>
                <w:color w:val="auto"/>
              </w:rPr>
            </w:pPr>
            <w:r>
              <w:rPr>
                <w:rFonts w:ascii="Arial" w:cs="Arial" w:eastAsia="Arial" w:hAnsi="Arial"/>
                <w:sz w:val="13"/>
                <w:szCs w:val="13"/>
                <w:color w:val="auto"/>
                <w:w w:val="95"/>
              </w:rPr>
              <w:t>Inc.</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5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30-Mar-99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9"/>
              </w:rPr>
              <w:t>CN99804679.5</w:t>
            </w: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Method Of Measuring Time Difference, And Radio System</w:t>
            </w:r>
          </w:p>
        </w:tc>
        <w:tc>
          <w:tcPr>
            <w:tcW w:w="2020" w:type="dxa"/>
            <w:vAlign w:val="bottom"/>
          </w:tcPr>
          <w:p>
            <w:pPr>
              <w:ind w:left="140"/>
              <w:spacing w:after="0" w:line="125" w:lineRule="exact"/>
              <w:rPr>
                <w:sz w:val="20"/>
                <w:szCs w:val="20"/>
                <w:color w:val="auto"/>
              </w:rPr>
            </w:pPr>
            <w:r>
              <w:rPr>
                <w:rFonts w:ascii="Arial" w:cs="Arial" w:eastAsia="Arial" w:hAnsi="Arial"/>
                <w:sz w:val="13"/>
                <w:szCs w:val="13"/>
                <w:color w:val="auto"/>
                <w:w w:val="97"/>
              </w:rPr>
              <w:t>Ruutu Ville [Fi] Rantalainen Timo</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continue"/>
          </w:tcPr>
          <w:p>
            <w:pPr>
              <w:spacing w:after="0"/>
              <w:rPr>
                <w:sz w:val="8"/>
                <w:szCs w:val="8"/>
                <w:color w:val="auto"/>
              </w:rPr>
            </w:pP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M [Fi] (+3)</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30-Mar-99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9"/>
              </w:rPr>
              <w:t>DE69927492.3</w:t>
            </w: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Method Of Measuring Time Difference, And Radio System</w:t>
            </w:r>
          </w:p>
        </w:tc>
        <w:tc>
          <w:tcPr>
            <w:tcW w:w="2020" w:type="dxa"/>
            <w:vAlign w:val="bottom"/>
          </w:tcPr>
          <w:p>
            <w:pPr>
              <w:ind w:left="140"/>
              <w:spacing w:after="0"/>
              <w:rPr>
                <w:sz w:val="20"/>
                <w:szCs w:val="20"/>
                <w:color w:val="auto"/>
              </w:rPr>
            </w:pPr>
            <w:r>
              <w:rPr>
                <w:rFonts w:ascii="Arial" w:cs="Arial" w:eastAsia="Arial" w:hAnsi="Arial"/>
                <w:sz w:val="13"/>
                <w:szCs w:val="13"/>
                <w:color w:val="auto"/>
                <w:w w:val="97"/>
              </w:rPr>
              <w:t>Ruutu Ville [Fi] Rantalainen Timo</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continue"/>
          </w:tcPr>
          <w:p>
            <w:pPr>
              <w:spacing w:after="0"/>
              <w:rPr>
                <w:sz w:val="8"/>
                <w:szCs w:val="8"/>
                <w:color w:val="auto"/>
              </w:rPr>
            </w:pP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M [Fi] (+3)</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30-Mar-99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5"/>
              </w:rPr>
              <w:t>EP1068762</w:t>
            </w: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Method Of Measuring Time Difference, And Radio System</w:t>
            </w:r>
          </w:p>
        </w:tc>
        <w:tc>
          <w:tcPr>
            <w:tcW w:w="2020" w:type="dxa"/>
            <w:vAlign w:val="bottom"/>
          </w:tcPr>
          <w:p>
            <w:pPr>
              <w:ind w:left="140"/>
              <w:spacing w:after="0"/>
              <w:rPr>
                <w:sz w:val="20"/>
                <w:szCs w:val="20"/>
                <w:color w:val="auto"/>
              </w:rPr>
            </w:pPr>
            <w:r>
              <w:rPr>
                <w:rFonts w:ascii="Arial" w:cs="Arial" w:eastAsia="Arial" w:hAnsi="Arial"/>
                <w:sz w:val="13"/>
                <w:szCs w:val="13"/>
                <w:color w:val="auto"/>
                <w:w w:val="97"/>
              </w:rPr>
              <w:t>Ruutu Ville [Fi] Rantalainen Timo</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continue"/>
          </w:tcPr>
          <w:p>
            <w:pPr>
              <w:spacing w:after="0"/>
              <w:rPr>
                <w:sz w:val="8"/>
                <w:szCs w:val="8"/>
                <w:color w:val="auto"/>
              </w:rPr>
            </w:pP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M [Fi] (+3)</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30-Mar-99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5"/>
              </w:rPr>
              <w:t>FR1068762</w:t>
            </w: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Method Of Measuring Time Difference, And Radio System</w:t>
            </w:r>
          </w:p>
        </w:tc>
        <w:tc>
          <w:tcPr>
            <w:tcW w:w="2020" w:type="dxa"/>
            <w:vAlign w:val="bottom"/>
          </w:tcPr>
          <w:p>
            <w:pPr>
              <w:ind w:left="140"/>
              <w:spacing w:after="0"/>
              <w:rPr>
                <w:sz w:val="20"/>
                <w:szCs w:val="20"/>
                <w:color w:val="auto"/>
              </w:rPr>
            </w:pPr>
            <w:r>
              <w:rPr>
                <w:rFonts w:ascii="Arial" w:cs="Arial" w:eastAsia="Arial" w:hAnsi="Arial"/>
                <w:sz w:val="13"/>
                <w:szCs w:val="13"/>
                <w:color w:val="auto"/>
                <w:w w:val="97"/>
              </w:rPr>
              <w:t>Ruutu Ville [Fi] Rantalainen Timo</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continue"/>
          </w:tcPr>
          <w:p>
            <w:pPr>
              <w:spacing w:after="0"/>
              <w:rPr>
                <w:sz w:val="8"/>
                <w:szCs w:val="8"/>
                <w:color w:val="auto"/>
              </w:rPr>
            </w:pP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M [Fi] (+3)</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Pending</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30-Mar-99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9"/>
              </w:rPr>
              <w:t>GB1068762</w:t>
            </w: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Method Of Measuring Time Difference, And Radio System</w:t>
            </w:r>
          </w:p>
        </w:tc>
        <w:tc>
          <w:tcPr>
            <w:tcW w:w="2020" w:type="dxa"/>
            <w:vAlign w:val="bottom"/>
          </w:tcPr>
          <w:p>
            <w:pPr>
              <w:ind w:left="140"/>
              <w:spacing w:after="0"/>
              <w:rPr>
                <w:sz w:val="20"/>
                <w:szCs w:val="20"/>
                <w:color w:val="auto"/>
              </w:rPr>
            </w:pPr>
            <w:r>
              <w:rPr>
                <w:rFonts w:ascii="Arial" w:cs="Arial" w:eastAsia="Arial" w:hAnsi="Arial"/>
                <w:sz w:val="13"/>
                <w:szCs w:val="13"/>
                <w:color w:val="auto"/>
                <w:w w:val="97"/>
              </w:rPr>
              <w:t>Ruutu Ville [Fi] Rantalainen Timo</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continue"/>
          </w:tcPr>
          <w:p>
            <w:pPr>
              <w:spacing w:after="0"/>
              <w:rPr>
                <w:sz w:val="8"/>
                <w:szCs w:val="8"/>
                <w:color w:val="auto"/>
              </w:rPr>
            </w:pP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M [Fi] (+3)</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30-Mar-99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5"/>
              </w:rPr>
              <w:t>JP4059626</w:t>
            </w: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Method Of Measuring Time Difference, And Radio System</w:t>
            </w:r>
          </w:p>
        </w:tc>
        <w:tc>
          <w:tcPr>
            <w:tcW w:w="2020" w:type="dxa"/>
            <w:vAlign w:val="bottom"/>
          </w:tcPr>
          <w:p>
            <w:pPr>
              <w:ind w:left="140"/>
              <w:spacing w:after="0"/>
              <w:rPr>
                <w:sz w:val="20"/>
                <w:szCs w:val="20"/>
                <w:color w:val="auto"/>
              </w:rPr>
            </w:pPr>
            <w:r>
              <w:rPr>
                <w:rFonts w:ascii="Arial" w:cs="Arial" w:eastAsia="Arial" w:hAnsi="Arial"/>
                <w:sz w:val="13"/>
                <w:szCs w:val="13"/>
                <w:color w:val="auto"/>
                <w:w w:val="97"/>
              </w:rPr>
              <w:t>Ruutu Ville [Fi] Rantalainen Timo</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continue"/>
          </w:tcPr>
          <w:p>
            <w:pPr>
              <w:spacing w:after="0"/>
              <w:rPr>
                <w:sz w:val="8"/>
                <w:szCs w:val="8"/>
                <w:color w:val="auto"/>
              </w:rPr>
            </w:pP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M [Fi] (+3)</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30-Mar-99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2"/>
              </w:rPr>
              <w:t>NL1068762</w:t>
            </w: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Tracking of Real Time and Observed Time Difference Values In Time (j)</w:t>
            </w:r>
          </w:p>
        </w:tc>
        <w:tc>
          <w:tcPr>
            <w:tcW w:w="2020" w:type="dxa"/>
            <w:vAlign w:val="bottom"/>
          </w:tcPr>
          <w:p>
            <w:pPr>
              <w:ind w:left="140"/>
              <w:spacing w:after="0"/>
              <w:rPr>
                <w:sz w:val="20"/>
                <w:szCs w:val="20"/>
                <w:color w:val="auto"/>
              </w:rPr>
            </w:pPr>
            <w:r>
              <w:rPr>
                <w:rFonts w:ascii="Arial" w:cs="Arial" w:eastAsia="Arial" w:hAnsi="Arial"/>
                <w:sz w:val="13"/>
                <w:szCs w:val="13"/>
                <w:color w:val="auto"/>
                <w:w w:val="97"/>
              </w:rPr>
              <w:t>Ruutu Ville [Fi] Rantalainen Timo</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continue"/>
          </w:tcPr>
          <w:p>
            <w:pPr>
              <w:spacing w:after="0"/>
              <w:rPr>
                <w:sz w:val="8"/>
                <w:szCs w:val="8"/>
                <w:color w:val="auto"/>
              </w:rPr>
            </w:pP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M [Fi] (+3)</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30-Mar-99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8"/>
              </w:rPr>
              <w:t>NO325596</w:t>
            </w: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Method Of Measuring Time Difference, And Radio System</w:t>
            </w:r>
          </w:p>
        </w:tc>
        <w:tc>
          <w:tcPr>
            <w:tcW w:w="2020" w:type="dxa"/>
            <w:vAlign w:val="bottom"/>
          </w:tcPr>
          <w:p>
            <w:pPr>
              <w:ind w:left="140"/>
              <w:spacing w:after="0"/>
              <w:rPr>
                <w:sz w:val="20"/>
                <w:szCs w:val="20"/>
                <w:color w:val="auto"/>
              </w:rPr>
            </w:pPr>
            <w:r>
              <w:rPr>
                <w:rFonts w:ascii="Arial" w:cs="Arial" w:eastAsia="Arial" w:hAnsi="Arial"/>
                <w:sz w:val="13"/>
                <w:szCs w:val="13"/>
                <w:color w:val="auto"/>
                <w:w w:val="97"/>
              </w:rPr>
              <w:t>Ruutu Ville [Fi] Rantalainen Timo</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continue"/>
          </w:tcPr>
          <w:p>
            <w:pPr>
              <w:spacing w:after="0"/>
              <w:rPr>
                <w:sz w:val="8"/>
                <w:szCs w:val="8"/>
                <w:color w:val="auto"/>
              </w:rPr>
            </w:pP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M [Fi] (+3)</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5"/>
              </w:rPr>
              <w:t>29-Sep-00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7"/>
              </w:rPr>
              <w:t>US6456237</w:t>
            </w: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Method Of Measuring Time Difference, And Radio System</w:t>
            </w:r>
          </w:p>
        </w:tc>
        <w:tc>
          <w:tcPr>
            <w:tcW w:w="2020" w:type="dxa"/>
            <w:vAlign w:val="bottom"/>
          </w:tcPr>
          <w:p>
            <w:pPr>
              <w:ind w:left="140"/>
              <w:spacing w:after="0"/>
              <w:rPr>
                <w:sz w:val="20"/>
                <w:szCs w:val="20"/>
                <w:color w:val="auto"/>
              </w:rPr>
            </w:pPr>
            <w:r>
              <w:rPr>
                <w:rFonts w:ascii="Arial" w:cs="Arial" w:eastAsia="Arial" w:hAnsi="Arial"/>
                <w:sz w:val="13"/>
                <w:szCs w:val="13"/>
                <w:color w:val="auto"/>
                <w:w w:val="97"/>
              </w:rPr>
              <w:t>Ruutu Ville [Fi] Rantalainen Timo</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9"/>
              </w:rPr>
              <w:t>ETSI</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continue"/>
          </w:tcPr>
          <w:p>
            <w:pPr>
              <w:spacing w:after="0"/>
              <w:rPr>
                <w:sz w:val="8"/>
                <w:szCs w:val="8"/>
                <w:color w:val="auto"/>
              </w:rPr>
            </w:pP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M [Fi] (+3)</w:t>
            </w: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9-Dec-99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9"/>
              </w:rPr>
              <w:t>DE69935006.9</w:t>
            </w: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w w:val="92"/>
              </w:rPr>
              <w:t>System And Method For Prioritizing Multicast Packets In A Network Service Class</w:t>
            </w:r>
          </w:p>
        </w:tc>
        <w:tc>
          <w:tcPr>
            <w:tcW w:w="2020" w:type="dxa"/>
            <w:vAlign w:val="bottom"/>
          </w:tcPr>
          <w:p>
            <w:pPr>
              <w:ind w:left="140"/>
              <w:spacing w:after="0"/>
              <w:rPr>
                <w:sz w:val="20"/>
                <w:szCs w:val="20"/>
                <w:color w:val="auto"/>
              </w:rPr>
            </w:pPr>
            <w:r>
              <w:rPr>
                <w:rFonts w:ascii="Arial" w:cs="Arial" w:eastAsia="Arial" w:hAnsi="Arial"/>
                <w:sz w:val="13"/>
                <w:szCs w:val="13"/>
                <w:color w:val="auto"/>
                <w:w w:val="95"/>
              </w:rPr>
              <w:t>Kilkki Matti Kalevi [Fi] Ruutu Jussi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continue"/>
          </w:tcPr>
          <w:p>
            <w:pPr>
              <w:spacing w:after="0"/>
              <w:rPr>
                <w:sz w:val="8"/>
                <w:szCs w:val="8"/>
                <w:color w:val="auto"/>
              </w:rPr>
            </w:pP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Pekka [Fi]</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9-Dec-99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5"/>
              </w:rPr>
              <w:t>EP1135962</w:t>
            </w: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w w:val="92"/>
              </w:rPr>
              <w:t>System And Method For Prioritizing Multicast Packets In A Network Service Class</w:t>
            </w:r>
          </w:p>
        </w:tc>
        <w:tc>
          <w:tcPr>
            <w:tcW w:w="2020" w:type="dxa"/>
            <w:vAlign w:val="bottom"/>
          </w:tcPr>
          <w:p>
            <w:pPr>
              <w:ind w:left="140"/>
              <w:spacing w:after="0"/>
              <w:rPr>
                <w:sz w:val="20"/>
                <w:szCs w:val="20"/>
                <w:color w:val="auto"/>
              </w:rPr>
            </w:pPr>
            <w:r>
              <w:rPr>
                <w:rFonts w:ascii="Arial" w:cs="Arial" w:eastAsia="Arial" w:hAnsi="Arial"/>
                <w:sz w:val="13"/>
                <w:szCs w:val="13"/>
                <w:color w:val="auto"/>
                <w:w w:val="95"/>
              </w:rPr>
              <w:t>Kilkki Matti Kalevi [Fi] Ruutu Jussi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continue"/>
          </w:tcPr>
          <w:p>
            <w:pPr>
              <w:spacing w:after="0"/>
              <w:rPr>
                <w:sz w:val="8"/>
                <w:szCs w:val="8"/>
                <w:color w:val="auto"/>
              </w:rPr>
            </w:pP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Pekka [Fi]</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9-Dec-99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5"/>
              </w:rPr>
              <w:t>FR1135962</w:t>
            </w:r>
          </w:p>
        </w:tc>
        <w:tc>
          <w:tcPr>
            <w:tcW w:w="4440" w:type="dxa"/>
            <w:vAlign w:val="bottom"/>
          </w:tcPr>
          <w:p>
            <w:pPr>
              <w:ind w:left="80"/>
              <w:spacing w:after="0"/>
              <w:rPr>
                <w:sz w:val="20"/>
                <w:szCs w:val="20"/>
                <w:color w:val="auto"/>
              </w:rPr>
            </w:pPr>
            <w:r>
              <w:rPr>
                <w:rFonts w:ascii="Arial" w:cs="Arial" w:eastAsia="Arial" w:hAnsi="Arial"/>
                <w:sz w:val="13"/>
                <w:szCs w:val="13"/>
                <w:color w:val="auto"/>
                <w:w w:val="92"/>
              </w:rPr>
              <w:t>System And Method For Prioritizing Multicast Packets In A Network Service Class</w:t>
            </w:r>
          </w:p>
        </w:tc>
        <w:tc>
          <w:tcPr>
            <w:tcW w:w="2020" w:type="dxa"/>
            <w:vAlign w:val="bottom"/>
          </w:tcPr>
          <w:p>
            <w:pPr>
              <w:ind w:left="140"/>
              <w:spacing w:after="0"/>
              <w:rPr>
                <w:sz w:val="20"/>
                <w:szCs w:val="20"/>
                <w:color w:val="auto"/>
              </w:rPr>
            </w:pPr>
            <w:r>
              <w:rPr>
                <w:rFonts w:ascii="Arial" w:cs="Arial" w:eastAsia="Arial" w:hAnsi="Arial"/>
                <w:sz w:val="13"/>
                <w:szCs w:val="13"/>
                <w:color w:val="auto"/>
                <w:w w:val="95"/>
              </w:rPr>
              <w:t>Kilkki Matti Kalevi [Fi] Ruutu Jussi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Utilizing a Priority-Based Quality of Service</w:t>
            </w: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Pekka [Fi]</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8"/>
              </w:rPr>
              <w:t>20-Jul-99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9"/>
              </w:rPr>
              <w:t>GB2370183</w:t>
            </w: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NBR Pool For A Network</w:t>
            </w: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Kilkki Kalevi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9-Dec-99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9"/>
              </w:rPr>
              <w:t>GB1135962</w:t>
            </w:r>
          </w:p>
        </w:tc>
        <w:tc>
          <w:tcPr>
            <w:tcW w:w="4440" w:type="dxa"/>
            <w:vAlign w:val="bottom"/>
          </w:tcPr>
          <w:p>
            <w:pPr>
              <w:ind w:left="80"/>
              <w:spacing w:after="0"/>
              <w:rPr>
                <w:sz w:val="20"/>
                <w:szCs w:val="20"/>
                <w:color w:val="auto"/>
              </w:rPr>
            </w:pPr>
            <w:r>
              <w:rPr>
                <w:rFonts w:ascii="Arial" w:cs="Arial" w:eastAsia="Arial" w:hAnsi="Arial"/>
                <w:sz w:val="13"/>
                <w:szCs w:val="13"/>
                <w:color w:val="auto"/>
                <w:w w:val="92"/>
              </w:rPr>
              <w:t>System And Method For Prioritizing Multicast Packets In A Network Service Class</w:t>
            </w:r>
          </w:p>
        </w:tc>
        <w:tc>
          <w:tcPr>
            <w:tcW w:w="2020" w:type="dxa"/>
            <w:vAlign w:val="bottom"/>
          </w:tcPr>
          <w:p>
            <w:pPr>
              <w:ind w:left="140"/>
              <w:spacing w:after="0"/>
              <w:rPr>
                <w:sz w:val="20"/>
                <w:szCs w:val="20"/>
                <w:color w:val="auto"/>
              </w:rPr>
            </w:pPr>
            <w:r>
              <w:rPr>
                <w:rFonts w:ascii="Arial" w:cs="Arial" w:eastAsia="Arial" w:hAnsi="Arial"/>
                <w:sz w:val="13"/>
                <w:szCs w:val="13"/>
                <w:color w:val="auto"/>
                <w:w w:val="95"/>
              </w:rPr>
              <w:t>Kilkki Matti Kalevi [Fi] Ruutu Jussi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Utilizing a Priority-Based Quality of Service</w:t>
            </w: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Pekka [Fi]</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9-Dec-99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6"/>
              </w:rPr>
              <w:t>IT1135962</w:t>
            </w:r>
          </w:p>
        </w:tc>
        <w:tc>
          <w:tcPr>
            <w:tcW w:w="4440" w:type="dxa"/>
            <w:vAlign w:val="bottom"/>
          </w:tcPr>
          <w:p>
            <w:pPr>
              <w:ind w:left="80"/>
              <w:spacing w:after="0"/>
              <w:rPr>
                <w:sz w:val="20"/>
                <w:szCs w:val="20"/>
                <w:color w:val="auto"/>
              </w:rPr>
            </w:pPr>
            <w:r>
              <w:rPr>
                <w:rFonts w:ascii="Arial" w:cs="Arial" w:eastAsia="Arial" w:hAnsi="Arial"/>
                <w:sz w:val="13"/>
                <w:szCs w:val="13"/>
                <w:color w:val="auto"/>
                <w:w w:val="92"/>
              </w:rPr>
              <w:t>System And Method For Prioritizing Multicast Packets In A Network Service Class</w:t>
            </w:r>
          </w:p>
        </w:tc>
        <w:tc>
          <w:tcPr>
            <w:tcW w:w="2020" w:type="dxa"/>
            <w:vAlign w:val="bottom"/>
          </w:tcPr>
          <w:p>
            <w:pPr>
              <w:ind w:left="140"/>
              <w:spacing w:after="0"/>
              <w:rPr>
                <w:sz w:val="20"/>
                <w:szCs w:val="20"/>
                <w:color w:val="auto"/>
              </w:rPr>
            </w:pPr>
            <w:r>
              <w:rPr>
                <w:rFonts w:ascii="Arial" w:cs="Arial" w:eastAsia="Arial" w:hAnsi="Arial"/>
                <w:sz w:val="13"/>
                <w:szCs w:val="13"/>
                <w:color w:val="auto"/>
                <w:w w:val="95"/>
              </w:rPr>
              <w:t>Kilkki Matti Kalevi [Fi] Ruutu Jussi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Utilizing a Priority-Based Quality of Service (j)</w:t>
            </w: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Pekka [Fi]</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9-Dec-99</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5"/>
              </w:rPr>
              <w:t>SE1135962</w:t>
            </w:r>
          </w:p>
        </w:tc>
        <w:tc>
          <w:tcPr>
            <w:tcW w:w="4440" w:type="dxa"/>
            <w:vAlign w:val="bottom"/>
          </w:tcPr>
          <w:p>
            <w:pPr>
              <w:ind w:left="80"/>
              <w:spacing w:after="0"/>
              <w:rPr>
                <w:sz w:val="20"/>
                <w:szCs w:val="20"/>
                <w:color w:val="auto"/>
              </w:rPr>
            </w:pPr>
            <w:r>
              <w:rPr>
                <w:rFonts w:ascii="Arial" w:cs="Arial" w:eastAsia="Arial" w:hAnsi="Arial"/>
                <w:sz w:val="13"/>
                <w:szCs w:val="13"/>
                <w:color w:val="auto"/>
                <w:w w:val="92"/>
              </w:rPr>
              <w:t>System And Method For Prioritizing Multicast Packets In A Network Service Class</w:t>
            </w:r>
          </w:p>
        </w:tc>
        <w:tc>
          <w:tcPr>
            <w:tcW w:w="2020" w:type="dxa"/>
            <w:vAlign w:val="bottom"/>
          </w:tcPr>
          <w:p>
            <w:pPr>
              <w:ind w:left="140"/>
              <w:spacing w:after="0"/>
              <w:rPr>
                <w:sz w:val="20"/>
                <w:szCs w:val="20"/>
                <w:color w:val="auto"/>
              </w:rPr>
            </w:pPr>
            <w:r>
              <w:rPr>
                <w:rFonts w:ascii="Arial" w:cs="Arial" w:eastAsia="Arial" w:hAnsi="Arial"/>
                <w:sz w:val="13"/>
                <w:szCs w:val="13"/>
                <w:color w:val="auto"/>
                <w:w w:val="95"/>
              </w:rPr>
              <w:t>Kilkki Matti Kalevi [Fi] Ruutu Jussi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Utilizing a Priority-Based Quality of Service</w:t>
            </w: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Pekka [Fi]</w:t>
            </w: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4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8"/>
              </w:rPr>
              <w:t>22-Jul-98</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87"/>
              </w:rPr>
              <w:t>US6249816</w:t>
            </w:r>
          </w:p>
        </w:tc>
        <w:tc>
          <w:tcPr>
            <w:tcW w:w="4440" w:type="dxa"/>
            <w:vAlign w:val="bottom"/>
            <w:vMerge w:val="restart"/>
          </w:tcPr>
          <w:p>
            <w:pPr>
              <w:ind w:left="80"/>
              <w:spacing w:after="0"/>
              <w:rPr>
                <w:sz w:val="20"/>
                <w:szCs w:val="20"/>
                <w:color w:val="auto"/>
              </w:rPr>
            </w:pPr>
            <w:r>
              <w:rPr>
                <w:rFonts w:ascii="Arial" w:cs="Arial" w:eastAsia="Arial" w:hAnsi="Arial"/>
                <w:sz w:val="13"/>
                <w:szCs w:val="13"/>
                <w:color w:val="auto"/>
              </w:rPr>
              <w:t>NBR Pool For SIMA Network</w:t>
            </w:r>
          </w:p>
        </w:tc>
        <w:tc>
          <w:tcPr>
            <w:tcW w:w="2020" w:type="dxa"/>
            <w:vAlign w:val="bottom"/>
            <w:vMerge w:val="restart"/>
          </w:tcPr>
          <w:p>
            <w:pPr>
              <w:ind w:left="140"/>
              <w:spacing w:after="0"/>
              <w:rPr>
                <w:sz w:val="20"/>
                <w:szCs w:val="20"/>
                <w:color w:val="auto"/>
              </w:rPr>
            </w:pPr>
            <w:r>
              <w:rPr>
                <w:rFonts w:ascii="Arial" w:cs="Arial" w:eastAsia="Arial" w:hAnsi="Arial"/>
                <w:sz w:val="13"/>
                <w:szCs w:val="13"/>
                <w:color w:val="auto"/>
              </w:rPr>
              <w:t>Kilkki Kalevi [Fi]</w:t>
            </w:r>
          </w:p>
        </w:tc>
        <w:tc>
          <w:tcPr>
            <w:tcW w:w="500" w:type="dxa"/>
            <w:vAlign w:val="bottom"/>
          </w:tcPr>
          <w:p>
            <w:pPr>
              <w:jc w:val="center"/>
              <w:spacing w:after="0"/>
              <w:rPr>
                <w:sz w:val="20"/>
                <w:szCs w:val="20"/>
                <w:color w:val="auto"/>
              </w:rPr>
            </w:pPr>
            <w:r>
              <w:rPr>
                <w:rFonts w:ascii="Arial" w:cs="Arial" w:eastAsia="Arial" w:hAnsi="Arial"/>
                <w:sz w:val="13"/>
                <w:szCs w:val="13"/>
                <w:color w:val="auto"/>
                <w:w w:val="98"/>
              </w:rPr>
              <w:t>Not</w:t>
            </w:r>
          </w:p>
        </w:tc>
        <w:tc>
          <w:tcPr>
            <w:tcW w:w="0" w:type="dxa"/>
            <w:vAlign w:val="bottom"/>
          </w:tcPr>
          <w:p>
            <w:pPr>
              <w:spacing w:after="0"/>
              <w:rPr>
                <w:sz w:val="1"/>
                <w:szCs w:val="1"/>
                <w:color w:val="auto"/>
              </w:rPr>
            </w:pPr>
          </w:p>
        </w:tc>
      </w:tr>
      <w:tr>
        <w:trPr>
          <w:trHeight w:val="93"/>
        </w:trPr>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440" w:type="dxa"/>
            <w:vAlign w:val="bottom"/>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auto"/>
                <w:w w:val="88"/>
              </w:rPr>
              <w:t>Declared</w:t>
            </w:r>
          </w:p>
        </w:tc>
        <w:tc>
          <w:tcPr>
            <w:tcW w:w="0" w:type="dxa"/>
            <w:vAlign w:val="bottom"/>
          </w:tcPr>
          <w:p>
            <w:pPr>
              <w:spacing w:after="0"/>
              <w:rPr>
                <w:sz w:val="1"/>
                <w:szCs w:val="1"/>
                <w:color w:val="auto"/>
              </w:rPr>
            </w:pPr>
          </w:p>
        </w:tc>
      </w:tr>
      <w:tr>
        <w:trPr>
          <w:trHeight w:val="68"/>
        </w:trPr>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-4079875</wp:posOffset>
            </wp:positionV>
            <wp:extent cx="7246620" cy="2571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-3565525</wp:posOffset>
            </wp:positionV>
            <wp:extent cx="7246620" cy="2571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-3050540</wp:posOffset>
            </wp:positionV>
            <wp:extent cx="7246620" cy="2571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-2536190</wp:posOffset>
            </wp:positionV>
            <wp:extent cx="7246620" cy="2571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-2021840</wp:posOffset>
            </wp:positionV>
            <wp:extent cx="7246620" cy="2571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-1506855</wp:posOffset>
            </wp:positionV>
            <wp:extent cx="7246620" cy="2571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-992505</wp:posOffset>
            </wp:positionV>
            <wp:extent cx="7246620" cy="2571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-478155</wp:posOffset>
            </wp:positionV>
            <wp:extent cx="7246620" cy="2571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53" w:lineRule="exact"/>
        <w:rPr>
          <w:sz w:val="20"/>
          <w:szCs w:val="20"/>
          <w:color w:val="auto"/>
        </w:rPr>
      </w:pPr>
    </w:p>
    <w:p>
      <w:pPr>
        <w:sectPr>
          <w:pgSz w:w="11900" w:h="16900" w:orient="portrait"/>
          <w:cols w:equalWidth="0" w:num="2">
            <w:col w:w="1840" w:space="320"/>
            <w:col w:w="9260"/>
          </w:cols>
          <w:pgMar w:left="240" w:top="111" w:right="239" w:bottom="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660" w:type="dxa"/>
            <w:vAlign w:val="bottom"/>
            <w:shd w:val="clear" w:color="auto" w:fill="CCFFCC"/>
          </w:tcPr>
          <w:p>
            <w:pPr>
              <w:jc w:val="center"/>
              <w:spacing w:after="0" w:line="125" w:lineRule="exact"/>
              <w:rPr>
                <w:sz w:val="20"/>
                <w:szCs w:val="20"/>
                <w:color w:val="auto"/>
              </w:rPr>
            </w:pPr>
            <w:r>
              <w:rPr>
                <w:rFonts w:ascii="Arial" w:cs="Arial" w:eastAsia="Arial" w:hAnsi="Arial"/>
                <w:sz w:val="13"/>
                <w:szCs w:val="13"/>
                <w:color w:val="auto"/>
                <w:w w:val="95"/>
              </w:rPr>
              <w:t>A7959VI-</w:t>
            </w:r>
          </w:p>
        </w:tc>
        <w:tc>
          <w:tcPr>
            <w:tcW w:w="900" w:type="dxa"/>
            <w:vAlign w:val="bottom"/>
            <w:shd w:val="clear" w:color="auto" w:fill="CCFFCC"/>
          </w:tcPr>
          <w:p>
            <w:pPr>
              <w:jc w:val="center"/>
              <w:spacing w:after="0" w:line="125" w:lineRule="exact"/>
              <w:rPr>
                <w:sz w:val="20"/>
                <w:szCs w:val="20"/>
                <w:color w:val="auto"/>
              </w:rPr>
            </w:pPr>
            <w:r>
              <w:rPr>
                <w:rFonts w:ascii="Arial" w:cs="Arial" w:eastAsia="Arial" w:hAnsi="Arial"/>
                <w:sz w:val="13"/>
                <w:szCs w:val="13"/>
                <w:color w:val="auto"/>
                <w:w w:val="90"/>
              </w:rPr>
              <w:t>Vringo</w:t>
            </w:r>
          </w:p>
        </w:tc>
        <w:tc>
          <w:tcPr>
            <w:tcW w:w="440" w:type="dxa"/>
            <w:vAlign w:val="bottom"/>
            <w:shd w:val="clear" w:color="auto" w:fill="CCFFCC"/>
          </w:tcPr>
          <w:p>
            <w:pPr>
              <w:ind w:left="120"/>
              <w:spacing w:after="0" w:line="125" w:lineRule="exact"/>
              <w:rPr>
                <w:sz w:val="20"/>
                <w:szCs w:val="20"/>
                <w:color w:val="auto"/>
              </w:rPr>
            </w:pPr>
            <w:r>
              <w:rPr>
                <w:rFonts w:ascii="Arial" w:cs="Arial" w:eastAsia="Arial" w:hAnsi="Arial"/>
                <w:sz w:val="13"/>
                <w:szCs w:val="13"/>
                <w:color w:val="auto"/>
              </w:rPr>
              <w:t>US</w:t>
            </w:r>
          </w:p>
        </w:tc>
        <w:tc>
          <w:tcPr>
            <w:tcW w:w="700" w:type="dxa"/>
            <w:vAlign w:val="bottom"/>
            <w:shd w:val="clear" w:color="auto" w:fill="CCFFCC"/>
          </w:tcPr>
          <w:p>
            <w:pPr>
              <w:ind w:left="160"/>
              <w:spacing w:after="0" w:line="125" w:lineRule="exact"/>
              <w:rPr>
                <w:sz w:val="20"/>
                <w:szCs w:val="20"/>
                <w:color w:val="auto"/>
              </w:rPr>
            </w:pPr>
            <w:r>
              <w:rPr>
                <w:rFonts w:ascii="Arial" w:cs="Arial" w:eastAsia="Arial" w:hAnsi="Arial"/>
                <w:sz w:val="13"/>
                <w:szCs w:val="13"/>
                <w:color w:val="auto"/>
              </w:rPr>
              <w:t>Granted</w:t>
            </w:r>
          </w:p>
        </w:tc>
        <w:tc>
          <w:tcPr>
            <w:tcW w:w="800" w:type="dxa"/>
            <w:vAlign w:val="bottom"/>
            <w:shd w:val="clear" w:color="auto" w:fill="CCFFCC"/>
          </w:tcPr>
          <w:p>
            <w:pPr>
              <w:ind w:left="120"/>
              <w:spacing w:after="0" w:line="125" w:lineRule="exact"/>
              <w:rPr>
                <w:sz w:val="20"/>
                <w:szCs w:val="20"/>
                <w:color w:val="auto"/>
              </w:rPr>
            </w:pPr>
            <w:r>
              <w:rPr>
                <w:rFonts w:ascii="Arial" w:cs="Arial" w:eastAsia="Arial" w:hAnsi="Arial"/>
                <w:sz w:val="13"/>
                <w:szCs w:val="13"/>
                <w:color w:val="auto"/>
              </w:rPr>
              <w:t>10-Dec-98</w:t>
            </w:r>
          </w:p>
        </w:tc>
        <w:tc>
          <w:tcPr>
            <w:tcW w:w="860" w:type="dxa"/>
            <w:vAlign w:val="bottom"/>
            <w:shd w:val="clear" w:color="auto" w:fill="CCFFCC"/>
          </w:tcPr>
          <w:p>
            <w:pPr>
              <w:ind w:left="160"/>
              <w:spacing w:after="0" w:line="125" w:lineRule="exact"/>
              <w:rPr>
                <w:sz w:val="20"/>
                <w:szCs w:val="20"/>
                <w:color w:val="auto"/>
              </w:rPr>
            </w:pPr>
            <w:r>
              <w:rPr>
                <w:rFonts w:ascii="Arial" w:cs="Arial" w:eastAsia="Arial" w:hAnsi="Arial"/>
                <w:sz w:val="13"/>
                <w:szCs w:val="13"/>
                <w:color w:val="auto"/>
                <w:w w:val="98"/>
              </w:rPr>
              <w:t>US6549938</w:t>
            </w:r>
          </w:p>
        </w:tc>
        <w:tc>
          <w:tcPr>
            <w:tcW w:w="4480" w:type="dxa"/>
            <w:vAlign w:val="bottom"/>
            <w:shd w:val="clear" w:color="auto" w:fill="CCFFCC"/>
          </w:tcPr>
          <w:p>
            <w:pPr>
              <w:ind w:left="120"/>
              <w:spacing w:after="0" w:line="125" w:lineRule="exact"/>
              <w:rPr>
                <w:sz w:val="20"/>
                <w:szCs w:val="20"/>
                <w:color w:val="auto"/>
              </w:rPr>
            </w:pPr>
            <w:r>
              <w:rPr>
                <w:rFonts w:ascii="Arial" w:cs="Arial" w:eastAsia="Arial" w:hAnsi="Arial"/>
                <w:sz w:val="13"/>
                <w:szCs w:val="13"/>
                <w:color w:val="auto"/>
                <w:w w:val="92"/>
              </w:rPr>
              <w:t>System And Method For Prioritizing Multicast Packets In A Network Service Class</w:t>
            </w:r>
          </w:p>
        </w:tc>
        <w:tc>
          <w:tcPr>
            <w:tcW w:w="2020" w:type="dxa"/>
            <w:vAlign w:val="bottom"/>
            <w:shd w:val="clear" w:color="auto" w:fill="CCFFCC"/>
          </w:tcPr>
          <w:p>
            <w:pPr>
              <w:ind w:left="140"/>
              <w:spacing w:after="0" w:line="125" w:lineRule="exact"/>
              <w:rPr>
                <w:sz w:val="20"/>
                <w:szCs w:val="20"/>
                <w:color w:val="auto"/>
              </w:rPr>
            </w:pPr>
            <w:r>
              <w:rPr>
                <w:rFonts w:ascii="Arial" w:cs="Arial" w:eastAsia="Arial" w:hAnsi="Arial"/>
                <w:sz w:val="13"/>
                <w:szCs w:val="13"/>
                <w:color w:val="auto"/>
                <w:w w:val="95"/>
              </w:rPr>
              <w:t>Kilkki Matti Kalevi [Fi] Ruutu Jussi</w:t>
            </w:r>
          </w:p>
        </w:tc>
        <w:tc>
          <w:tcPr>
            <w:tcW w:w="560" w:type="dxa"/>
            <w:vAlign w:val="bottom"/>
            <w:shd w:val="clear" w:color="auto" w:fill="CCFFCC"/>
          </w:tcPr>
          <w:p>
            <w:pPr>
              <w:jc w:val="center"/>
              <w:spacing w:after="0" w:line="125" w:lineRule="exact"/>
              <w:rPr>
                <w:sz w:val="20"/>
                <w:szCs w:val="20"/>
                <w:color w:val="auto"/>
              </w:rPr>
            </w:pPr>
            <w:r>
              <w:rPr>
                <w:rFonts w:ascii="Arial" w:cs="Arial" w:eastAsia="Arial" w:hAnsi="Arial"/>
                <w:sz w:val="13"/>
                <w:szCs w:val="13"/>
                <w:color w:val="auto"/>
                <w:w w:val="98"/>
              </w:rPr>
              <w:t>Not</w:t>
            </w:r>
          </w:p>
        </w:tc>
      </w:tr>
      <w:tr>
        <w:trPr>
          <w:trHeight w:val="160"/>
        </w:trPr>
        <w:tc>
          <w:tcPr>
            <w:tcW w:w="660" w:type="dxa"/>
            <w:vAlign w:val="bottom"/>
            <w:shd w:val="clear" w:color="auto" w:fill="CCFFCC"/>
          </w:tcPr>
          <w:p>
            <w:pPr>
              <w:jc w:val="center"/>
              <w:spacing w:after="0"/>
              <w:rPr>
                <w:sz w:val="20"/>
                <w:szCs w:val="20"/>
                <w:color w:val="auto"/>
              </w:rPr>
            </w:pPr>
            <w:r>
              <w:rPr>
                <w:rFonts w:ascii="Arial" w:cs="Arial" w:eastAsia="Arial" w:hAnsi="Arial"/>
                <w:sz w:val="13"/>
                <w:szCs w:val="13"/>
                <w:color w:val="auto"/>
                <w:w w:val="92"/>
              </w:rPr>
              <w:t>US01</w:t>
            </w:r>
          </w:p>
        </w:tc>
        <w:tc>
          <w:tcPr>
            <w:tcW w:w="900" w:type="dxa"/>
            <w:vAlign w:val="bottom"/>
            <w:shd w:val="clear" w:color="auto" w:fill="CCFFCC"/>
          </w:tcPr>
          <w:p>
            <w:pPr>
              <w:jc w:val="center"/>
              <w:spacing w:after="0"/>
              <w:rPr>
                <w:sz w:val="20"/>
                <w:szCs w:val="20"/>
                <w:color w:val="auto"/>
              </w:rPr>
            </w:pPr>
            <w:r>
              <w:rPr>
                <w:rFonts w:ascii="Arial" w:cs="Arial" w:eastAsia="Arial" w:hAnsi="Arial"/>
                <w:sz w:val="13"/>
                <w:szCs w:val="13"/>
                <w:color w:val="auto"/>
                <w:w w:val="89"/>
              </w:rPr>
              <w:t>Infrastructure,</w:t>
            </w:r>
          </w:p>
        </w:tc>
        <w:tc>
          <w:tcPr>
            <w:tcW w:w="440" w:type="dxa"/>
            <w:vAlign w:val="bottom"/>
            <w:shd w:val="clear" w:color="auto" w:fill="CCFFCC"/>
          </w:tcPr>
          <w:p>
            <w:pPr>
              <w:spacing w:after="0"/>
              <w:rPr>
                <w:sz w:val="13"/>
                <w:szCs w:val="13"/>
                <w:color w:val="auto"/>
              </w:rPr>
            </w:pPr>
          </w:p>
        </w:tc>
        <w:tc>
          <w:tcPr>
            <w:tcW w:w="700" w:type="dxa"/>
            <w:vAlign w:val="bottom"/>
            <w:shd w:val="clear" w:color="auto" w:fill="CCFFCC"/>
          </w:tcPr>
          <w:p>
            <w:pPr>
              <w:spacing w:after="0"/>
              <w:rPr>
                <w:sz w:val="13"/>
                <w:szCs w:val="13"/>
                <w:color w:val="auto"/>
              </w:rPr>
            </w:pPr>
          </w:p>
        </w:tc>
        <w:tc>
          <w:tcPr>
            <w:tcW w:w="800" w:type="dxa"/>
            <w:vAlign w:val="bottom"/>
            <w:shd w:val="clear" w:color="auto" w:fill="CCFFCC"/>
          </w:tcPr>
          <w:p>
            <w:pPr>
              <w:spacing w:after="0"/>
              <w:rPr>
                <w:sz w:val="13"/>
                <w:szCs w:val="13"/>
                <w:color w:val="auto"/>
              </w:rPr>
            </w:pPr>
          </w:p>
        </w:tc>
        <w:tc>
          <w:tcPr>
            <w:tcW w:w="860" w:type="dxa"/>
            <w:vAlign w:val="bottom"/>
            <w:shd w:val="clear" w:color="auto" w:fill="CCFFCC"/>
          </w:tcPr>
          <w:p>
            <w:pPr>
              <w:spacing w:after="0"/>
              <w:rPr>
                <w:sz w:val="13"/>
                <w:szCs w:val="13"/>
                <w:color w:val="auto"/>
              </w:rPr>
            </w:pPr>
          </w:p>
        </w:tc>
        <w:tc>
          <w:tcPr>
            <w:tcW w:w="4480" w:type="dxa"/>
            <w:vAlign w:val="bottom"/>
            <w:shd w:val="clear" w:color="auto" w:fill="CCFFCC"/>
          </w:tcPr>
          <w:p>
            <w:pPr>
              <w:ind w:left="120"/>
              <w:spacing w:after="0"/>
              <w:rPr>
                <w:sz w:val="20"/>
                <w:szCs w:val="20"/>
                <w:color w:val="auto"/>
              </w:rPr>
            </w:pPr>
            <w:r>
              <w:rPr>
                <w:rFonts w:ascii="Arial" w:cs="Arial" w:eastAsia="Arial" w:hAnsi="Arial"/>
                <w:sz w:val="13"/>
                <w:szCs w:val="13"/>
                <w:color w:val="auto"/>
              </w:rPr>
              <w:t>Utilizing a Priority-Based Quality of Service</w:t>
            </w:r>
          </w:p>
        </w:tc>
        <w:tc>
          <w:tcPr>
            <w:tcW w:w="2020" w:type="dxa"/>
            <w:vAlign w:val="bottom"/>
            <w:shd w:val="clear" w:color="auto" w:fill="CCFFCC"/>
          </w:tcPr>
          <w:p>
            <w:pPr>
              <w:ind w:left="140"/>
              <w:spacing w:after="0"/>
              <w:rPr>
                <w:sz w:val="20"/>
                <w:szCs w:val="20"/>
                <w:color w:val="auto"/>
              </w:rPr>
            </w:pPr>
            <w:r>
              <w:rPr>
                <w:rFonts w:ascii="Arial" w:cs="Arial" w:eastAsia="Arial" w:hAnsi="Arial"/>
                <w:sz w:val="13"/>
                <w:szCs w:val="13"/>
                <w:color w:val="auto"/>
              </w:rPr>
              <w:t>Pekka [Fi]</w:t>
            </w:r>
          </w:p>
        </w:tc>
        <w:tc>
          <w:tcPr>
            <w:tcW w:w="560" w:type="dxa"/>
            <w:vAlign w:val="bottom"/>
            <w:shd w:val="clear" w:color="auto" w:fill="CCFFCC"/>
          </w:tcPr>
          <w:p>
            <w:pPr>
              <w:jc w:val="center"/>
              <w:spacing w:after="0"/>
              <w:rPr>
                <w:sz w:val="20"/>
                <w:szCs w:val="20"/>
                <w:color w:val="auto"/>
              </w:rPr>
            </w:pPr>
            <w:r>
              <w:rPr>
                <w:rFonts w:ascii="Arial" w:cs="Arial" w:eastAsia="Arial" w:hAnsi="Arial"/>
                <w:sz w:val="13"/>
                <w:szCs w:val="13"/>
                <w:color w:val="auto"/>
                <w:w w:val="88"/>
              </w:rPr>
              <w:t>Declared</w:t>
            </w:r>
          </w:p>
        </w:tc>
      </w:tr>
      <w:tr>
        <w:trPr>
          <w:trHeight w:val="73"/>
        </w:trPr>
        <w:tc>
          <w:tcPr>
            <w:tcW w:w="660" w:type="dxa"/>
            <w:vAlign w:val="bottom"/>
            <w:shd w:val="clear" w:color="auto" w:fill="CCFFCC"/>
          </w:tcPr>
          <w:p>
            <w:pPr>
              <w:spacing w:after="0"/>
              <w:rPr>
                <w:sz w:val="6"/>
                <w:szCs w:val="6"/>
                <w:color w:val="auto"/>
              </w:rPr>
            </w:pPr>
          </w:p>
        </w:tc>
        <w:tc>
          <w:tcPr>
            <w:tcW w:w="900" w:type="dxa"/>
            <w:vAlign w:val="bottom"/>
            <w:shd w:val="clear" w:color="auto" w:fill="CCFFCC"/>
          </w:tcPr>
          <w:p>
            <w:pPr>
              <w:spacing w:after="0"/>
              <w:rPr>
                <w:sz w:val="6"/>
                <w:szCs w:val="6"/>
                <w:color w:val="auto"/>
              </w:rPr>
            </w:pPr>
          </w:p>
        </w:tc>
        <w:tc>
          <w:tcPr>
            <w:tcW w:w="440" w:type="dxa"/>
            <w:vAlign w:val="bottom"/>
            <w:shd w:val="clear" w:color="auto" w:fill="CCFFCC"/>
          </w:tcPr>
          <w:p>
            <w:pPr>
              <w:spacing w:after="0"/>
              <w:rPr>
                <w:sz w:val="6"/>
                <w:szCs w:val="6"/>
                <w:color w:val="auto"/>
              </w:rPr>
            </w:pPr>
          </w:p>
        </w:tc>
        <w:tc>
          <w:tcPr>
            <w:tcW w:w="700" w:type="dxa"/>
            <w:vAlign w:val="bottom"/>
            <w:shd w:val="clear" w:color="auto" w:fill="CCFFCC"/>
          </w:tcPr>
          <w:p>
            <w:pPr>
              <w:spacing w:after="0"/>
              <w:rPr>
                <w:sz w:val="6"/>
                <w:szCs w:val="6"/>
                <w:color w:val="auto"/>
              </w:rPr>
            </w:pPr>
          </w:p>
        </w:tc>
        <w:tc>
          <w:tcPr>
            <w:tcW w:w="800" w:type="dxa"/>
            <w:vAlign w:val="bottom"/>
            <w:shd w:val="clear" w:color="auto" w:fill="CCFFCC"/>
          </w:tcPr>
          <w:p>
            <w:pPr>
              <w:spacing w:after="0"/>
              <w:rPr>
                <w:sz w:val="6"/>
                <w:szCs w:val="6"/>
                <w:color w:val="auto"/>
              </w:rPr>
            </w:pPr>
          </w:p>
        </w:tc>
        <w:tc>
          <w:tcPr>
            <w:tcW w:w="860" w:type="dxa"/>
            <w:vAlign w:val="bottom"/>
            <w:shd w:val="clear" w:color="auto" w:fill="CCFFCC"/>
          </w:tcPr>
          <w:p>
            <w:pPr>
              <w:spacing w:after="0"/>
              <w:rPr>
                <w:sz w:val="6"/>
                <w:szCs w:val="6"/>
                <w:color w:val="auto"/>
              </w:rPr>
            </w:pPr>
          </w:p>
        </w:tc>
        <w:tc>
          <w:tcPr>
            <w:tcW w:w="4480" w:type="dxa"/>
            <w:vAlign w:val="bottom"/>
            <w:shd w:val="clear" w:color="auto" w:fill="CCFFCC"/>
          </w:tcPr>
          <w:p>
            <w:pPr>
              <w:spacing w:after="0"/>
              <w:rPr>
                <w:sz w:val="6"/>
                <w:szCs w:val="6"/>
                <w:color w:val="auto"/>
              </w:rPr>
            </w:pPr>
          </w:p>
        </w:tc>
        <w:tc>
          <w:tcPr>
            <w:tcW w:w="2020" w:type="dxa"/>
            <w:vAlign w:val="bottom"/>
            <w:shd w:val="clear" w:color="auto" w:fill="CCFFCC"/>
          </w:tcPr>
          <w:p>
            <w:pPr>
              <w:spacing w:after="0"/>
              <w:rPr>
                <w:sz w:val="6"/>
                <w:szCs w:val="6"/>
                <w:color w:val="auto"/>
              </w:rPr>
            </w:pPr>
          </w:p>
        </w:tc>
        <w:tc>
          <w:tcPr>
            <w:tcW w:w="560" w:type="dxa"/>
            <w:vAlign w:val="bottom"/>
            <w:shd w:val="clear" w:color="auto" w:fill="CCFFCC"/>
          </w:tcPr>
          <w:p>
            <w:pPr>
              <w:spacing w:after="0"/>
              <w:rPr>
                <w:sz w:val="6"/>
                <w:szCs w:val="6"/>
                <w:color w:val="auto"/>
              </w:rPr>
            </w:pPr>
          </w:p>
        </w:tc>
      </w:tr>
    </w:tbl>
    <w:p>
      <w:pPr>
        <w:sectPr>
          <w:pgSz w:w="11900" w:h="16900" w:orient="portrait"/>
          <w:cols w:equalWidth="0" w:num="1">
            <w:col w:w="11420"/>
          </w:cols>
          <w:pgMar w:left="240" w:top="111" w:right="239" w:bottom="0" w:gutter="0" w:footer="0" w:header="0"/>
          <w:type w:val="continuous"/>
        </w:sectPr>
      </w:pPr>
    </w:p>
    <w:bookmarkStart w:id="110" w:name="page111"/>
    <w:bookmarkEnd w:id="110"/>
    <w:p>
      <w:pPr>
        <w:ind w:left="980"/>
        <w:spacing w:after="0"/>
        <w:rPr>
          <w:sz w:val="20"/>
          <w:szCs w:val="20"/>
          <w:color w:val="auto"/>
        </w:rPr>
      </w:pPr>
      <w:r>
        <w:rPr>
          <w:rFonts w:ascii="Arial" w:cs="Arial" w:eastAsia="Arial" w:hAnsi="Arial"/>
          <w:sz w:val="13"/>
          <w:szCs w:val="13"/>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46620" cy="857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60" w:type="dxa"/>
            <w:vAlign w:val="bottom"/>
          </w:tcPr>
          <w:p>
            <w:pPr>
              <w:jc w:val="center"/>
              <w:spacing w:after="0"/>
              <w:rPr>
                <w:sz w:val="20"/>
                <w:szCs w:val="20"/>
                <w:color w:val="auto"/>
              </w:rPr>
            </w:pPr>
            <w:r>
              <w:rPr>
                <w:rFonts w:ascii="Arial" w:cs="Arial" w:eastAsia="Arial" w:hAnsi="Arial"/>
                <w:sz w:val="13"/>
                <w:szCs w:val="13"/>
                <w:color w:val="auto"/>
                <w:w w:val="89"/>
              </w:rPr>
              <w:t>B1IP-US01</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20" w:type="dxa"/>
            <w:vAlign w:val="bottom"/>
          </w:tcPr>
          <w:p>
            <w:pPr>
              <w:jc w:val="center"/>
              <w:spacing w:after="0"/>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rPr>
                <w:sz w:val="20"/>
                <w:szCs w:val="20"/>
                <w:color w:val="auto"/>
              </w:rPr>
            </w:pPr>
            <w:r>
              <w:rPr>
                <w:rFonts w:ascii="Arial" w:cs="Arial" w:eastAsia="Arial" w:hAnsi="Arial"/>
                <w:sz w:val="13"/>
                <w:szCs w:val="13"/>
                <w:color w:val="auto"/>
                <w:w w:val="87"/>
              </w:rPr>
              <w:t>Pending</w:t>
            </w:r>
          </w:p>
        </w:tc>
        <w:tc>
          <w:tcPr>
            <w:tcW w:w="700" w:type="dxa"/>
            <w:vAlign w:val="bottom"/>
          </w:tcPr>
          <w:p>
            <w:pPr>
              <w:jc w:val="center"/>
              <w:spacing w:after="0"/>
              <w:rPr>
                <w:sz w:val="20"/>
                <w:szCs w:val="20"/>
                <w:color w:val="auto"/>
              </w:rPr>
            </w:pPr>
            <w:r>
              <w:rPr>
                <w:rFonts w:ascii="Arial" w:cs="Arial" w:eastAsia="Arial" w:hAnsi="Arial"/>
                <w:sz w:val="13"/>
                <w:szCs w:val="13"/>
                <w:color w:val="auto"/>
                <w:w w:val="89"/>
              </w:rPr>
              <w:t>17-Oct-12</w:t>
            </w:r>
          </w:p>
        </w:tc>
        <w:tc>
          <w:tcPr>
            <w:tcW w:w="980" w:type="dxa"/>
            <w:vAlign w:val="bottom"/>
          </w:tcPr>
          <w:p>
            <w:pPr>
              <w:jc w:val="center"/>
              <w:spacing w:after="0"/>
              <w:rPr>
                <w:sz w:val="20"/>
                <w:szCs w:val="20"/>
                <w:color w:val="auto"/>
              </w:rPr>
            </w:pPr>
            <w:r>
              <w:rPr>
                <w:rFonts w:ascii="Arial" w:cs="Arial" w:eastAsia="Arial" w:hAnsi="Arial"/>
                <w:sz w:val="13"/>
                <w:szCs w:val="13"/>
                <w:color w:val="auto"/>
                <w:w w:val="88"/>
              </w:rPr>
              <w:t>US20130097009</w:t>
            </w:r>
          </w:p>
        </w:tc>
        <w:tc>
          <w:tcPr>
            <w:tcW w:w="4380" w:type="dxa"/>
            <w:vAlign w:val="bottom"/>
          </w:tcPr>
          <w:p>
            <w:pPr>
              <w:ind w:left="60"/>
              <w:spacing w:after="0"/>
              <w:rPr>
                <w:sz w:val="20"/>
                <w:szCs w:val="20"/>
                <w:color w:val="auto"/>
              </w:rPr>
            </w:pPr>
            <w:r>
              <w:rPr>
                <w:rFonts w:ascii="Arial" w:cs="Arial" w:eastAsia="Arial" w:hAnsi="Arial"/>
                <w:sz w:val="13"/>
                <w:szCs w:val="13"/>
                <w:color w:val="auto"/>
              </w:rPr>
              <w:t>Content Distribution System And Method</w:t>
            </w:r>
          </w:p>
        </w:tc>
        <w:tc>
          <w:tcPr>
            <w:tcW w:w="0" w:type="dxa"/>
            <w:vAlign w:val="bottom"/>
          </w:tcPr>
          <w:p>
            <w:pPr>
              <w:spacing w:after="0"/>
              <w:rPr>
                <w:sz w:val="1"/>
                <w:szCs w:val="1"/>
                <w:color w:val="auto"/>
              </w:rPr>
            </w:pPr>
          </w:p>
        </w:tc>
      </w:tr>
      <w:tr>
        <w:trPr>
          <w:trHeight w:val="270"/>
        </w:trPr>
        <w:tc>
          <w:tcPr>
            <w:tcW w:w="660" w:type="dxa"/>
            <w:vAlign w:val="bottom"/>
          </w:tcPr>
          <w:p>
            <w:pPr>
              <w:jc w:val="center"/>
              <w:spacing w:after="0"/>
              <w:rPr>
                <w:sz w:val="20"/>
                <w:szCs w:val="20"/>
                <w:color w:val="auto"/>
              </w:rPr>
            </w:pPr>
            <w:r>
              <w:rPr>
                <w:rFonts w:ascii="Arial" w:cs="Arial" w:eastAsia="Arial" w:hAnsi="Arial"/>
                <w:sz w:val="13"/>
                <w:szCs w:val="13"/>
                <w:color w:val="auto"/>
                <w:w w:val="89"/>
              </w:rPr>
              <w:t>B1IP-US02</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20" w:type="dxa"/>
            <w:vAlign w:val="bottom"/>
          </w:tcPr>
          <w:p>
            <w:pPr>
              <w:jc w:val="center"/>
              <w:spacing w:after="0"/>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rPr>
                <w:sz w:val="20"/>
                <w:szCs w:val="20"/>
                <w:color w:val="auto"/>
              </w:rPr>
            </w:pPr>
            <w:r>
              <w:rPr>
                <w:rFonts w:ascii="Arial" w:cs="Arial" w:eastAsia="Arial" w:hAnsi="Arial"/>
                <w:sz w:val="13"/>
                <w:szCs w:val="13"/>
                <w:color w:val="auto"/>
                <w:w w:val="89"/>
              </w:rPr>
              <w:t>9-Jul-13</w:t>
            </w:r>
          </w:p>
        </w:tc>
        <w:tc>
          <w:tcPr>
            <w:tcW w:w="980" w:type="dxa"/>
            <w:vAlign w:val="bottom"/>
          </w:tcPr>
          <w:p>
            <w:pPr>
              <w:jc w:val="center"/>
              <w:spacing w:after="0"/>
              <w:rPr>
                <w:sz w:val="20"/>
                <w:szCs w:val="20"/>
                <w:color w:val="auto"/>
              </w:rPr>
            </w:pPr>
            <w:r>
              <w:rPr>
                <w:rFonts w:ascii="Arial" w:cs="Arial" w:eastAsia="Arial" w:hAnsi="Arial"/>
                <w:sz w:val="13"/>
                <w:szCs w:val="13"/>
                <w:color w:val="auto"/>
                <w:w w:val="87"/>
              </w:rPr>
              <w:t>US8650125</w:t>
            </w:r>
          </w:p>
        </w:tc>
        <w:tc>
          <w:tcPr>
            <w:tcW w:w="4380" w:type="dxa"/>
            <w:vAlign w:val="bottom"/>
          </w:tcPr>
          <w:p>
            <w:pPr>
              <w:ind w:left="60"/>
              <w:spacing w:after="0"/>
              <w:rPr>
                <w:sz w:val="20"/>
                <w:szCs w:val="20"/>
                <w:color w:val="auto"/>
              </w:rPr>
            </w:pPr>
            <w:r>
              <w:rPr>
                <w:rFonts w:ascii="Arial" w:cs="Arial" w:eastAsia="Arial" w:hAnsi="Arial"/>
                <w:sz w:val="13"/>
                <w:szCs w:val="13"/>
                <w:color w:val="auto"/>
              </w:rPr>
              <w:t>Content Distribution System And Method</w:t>
            </w:r>
          </w:p>
        </w:tc>
        <w:tc>
          <w:tcPr>
            <w:tcW w:w="0" w:type="dxa"/>
            <w:vAlign w:val="bottom"/>
          </w:tcPr>
          <w:p>
            <w:pPr>
              <w:spacing w:after="0"/>
              <w:rPr>
                <w:sz w:val="1"/>
                <w:szCs w:val="1"/>
                <w:color w:val="auto"/>
              </w:rPr>
            </w:pPr>
          </w:p>
        </w:tc>
      </w:tr>
      <w:tr>
        <w:trPr>
          <w:trHeight w:val="270"/>
        </w:trPr>
        <w:tc>
          <w:tcPr>
            <w:tcW w:w="660" w:type="dxa"/>
            <w:vAlign w:val="bottom"/>
          </w:tcPr>
          <w:p>
            <w:pPr>
              <w:jc w:val="center"/>
              <w:spacing w:after="0"/>
              <w:rPr>
                <w:sz w:val="20"/>
                <w:szCs w:val="20"/>
                <w:color w:val="auto"/>
              </w:rPr>
            </w:pPr>
            <w:r>
              <w:rPr>
                <w:rFonts w:ascii="Arial" w:cs="Arial" w:eastAsia="Arial" w:hAnsi="Arial"/>
                <w:sz w:val="13"/>
                <w:szCs w:val="13"/>
                <w:color w:val="auto"/>
                <w:w w:val="89"/>
              </w:rPr>
              <w:t>B1IP-US03</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20" w:type="dxa"/>
            <w:vAlign w:val="bottom"/>
          </w:tcPr>
          <w:p>
            <w:pPr>
              <w:jc w:val="center"/>
              <w:spacing w:after="0"/>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rPr>
                <w:sz w:val="20"/>
                <w:szCs w:val="20"/>
                <w:color w:val="auto"/>
              </w:rPr>
            </w:pPr>
            <w:r>
              <w:rPr>
                <w:rFonts w:ascii="Arial" w:cs="Arial" w:eastAsia="Arial" w:hAnsi="Arial"/>
                <w:sz w:val="13"/>
                <w:szCs w:val="13"/>
                <w:color w:val="auto"/>
                <w:w w:val="87"/>
              </w:rPr>
              <w:t>Pending</w:t>
            </w:r>
          </w:p>
        </w:tc>
        <w:tc>
          <w:tcPr>
            <w:tcW w:w="700" w:type="dxa"/>
            <w:vAlign w:val="bottom"/>
          </w:tcPr>
          <w:p>
            <w:pPr>
              <w:jc w:val="center"/>
              <w:spacing w:after="0"/>
              <w:rPr>
                <w:sz w:val="20"/>
                <w:szCs w:val="20"/>
                <w:color w:val="auto"/>
              </w:rPr>
            </w:pPr>
            <w:r>
              <w:rPr>
                <w:rFonts w:ascii="Arial" w:cs="Arial" w:eastAsia="Arial" w:hAnsi="Arial"/>
                <w:sz w:val="13"/>
                <w:szCs w:val="13"/>
                <w:color w:val="auto"/>
                <w:w w:val="89"/>
              </w:rPr>
              <w:t>9-Jul-13</w:t>
            </w:r>
          </w:p>
        </w:tc>
        <w:tc>
          <w:tcPr>
            <w:tcW w:w="980" w:type="dxa"/>
            <w:vAlign w:val="bottom"/>
          </w:tcPr>
          <w:p>
            <w:pPr>
              <w:spacing w:after="0"/>
              <w:rPr>
                <w:sz w:val="23"/>
                <w:szCs w:val="23"/>
                <w:color w:val="auto"/>
              </w:rPr>
            </w:pPr>
          </w:p>
        </w:tc>
        <w:tc>
          <w:tcPr>
            <w:tcW w:w="4380" w:type="dxa"/>
            <w:vAlign w:val="bottom"/>
          </w:tcPr>
          <w:p>
            <w:pPr>
              <w:ind w:left="60"/>
              <w:spacing w:after="0"/>
              <w:rPr>
                <w:sz w:val="20"/>
                <w:szCs w:val="20"/>
                <w:color w:val="auto"/>
              </w:rPr>
            </w:pPr>
            <w:r>
              <w:rPr>
                <w:rFonts w:ascii="Arial" w:cs="Arial" w:eastAsia="Arial" w:hAnsi="Arial"/>
                <w:sz w:val="13"/>
                <w:szCs w:val="13"/>
                <w:color w:val="auto"/>
              </w:rPr>
              <w:t>Content Distribution System And Method</w:t>
            </w:r>
          </w:p>
        </w:tc>
        <w:tc>
          <w:tcPr>
            <w:tcW w:w="0" w:type="dxa"/>
            <w:vAlign w:val="bottom"/>
          </w:tcPr>
          <w:p>
            <w:pPr>
              <w:spacing w:after="0"/>
              <w:rPr>
                <w:sz w:val="1"/>
                <w:szCs w:val="1"/>
                <w:color w:val="auto"/>
              </w:rPr>
            </w:pPr>
          </w:p>
        </w:tc>
      </w:tr>
      <w:tr>
        <w:trPr>
          <w:trHeight w:val="270"/>
        </w:trPr>
        <w:tc>
          <w:tcPr>
            <w:tcW w:w="660" w:type="dxa"/>
            <w:vAlign w:val="bottom"/>
          </w:tcPr>
          <w:p>
            <w:pPr>
              <w:jc w:val="center"/>
              <w:spacing w:after="0"/>
              <w:rPr>
                <w:sz w:val="20"/>
                <w:szCs w:val="20"/>
                <w:color w:val="auto"/>
              </w:rPr>
            </w:pPr>
            <w:r>
              <w:rPr>
                <w:rFonts w:ascii="Arial" w:cs="Arial" w:eastAsia="Arial" w:hAnsi="Arial"/>
                <w:sz w:val="13"/>
                <w:szCs w:val="13"/>
                <w:color w:val="auto"/>
                <w:w w:val="89"/>
              </w:rPr>
              <w:t>B1IP-US04</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20" w:type="dxa"/>
            <w:vAlign w:val="bottom"/>
          </w:tcPr>
          <w:p>
            <w:pPr>
              <w:jc w:val="center"/>
              <w:spacing w:after="0"/>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rPr>
                <w:sz w:val="20"/>
                <w:szCs w:val="20"/>
                <w:color w:val="auto"/>
              </w:rPr>
            </w:pPr>
            <w:r>
              <w:rPr>
                <w:rFonts w:ascii="Arial" w:cs="Arial" w:eastAsia="Arial" w:hAnsi="Arial"/>
                <w:sz w:val="13"/>
                <w:szCs w:val="13"/>
                <w:color w:val="auto"/>
                <w:w w:val="86"/>
              </w:rPr>
              <w:t>16-Feb-06</w:t>
            </w:r>
          </w:p>
        </w:tc>
        <w:tc>
          <w:tcPr>
            <w:tcW w:w="980" w:type="dxa"/>
            <w:vAlign w:val="bottom"/>
          </w:tcPr>
          <w:p>
            <w:pPr>
              <w:jc w:val="center"/>
              <w:spacing w:after="0"/>
              <w:rPr>
                <w:sz w:val="20"/>
                <w:szCs w:val="20"/>
                <w:color w:val="auto"/>
              </w:rPr>
            </w:pPr>
            <w:r>
              <w:rPr>
                <w:rFonts w:ascii="Arial" w:cs="Arial" w:eastAsia="Arial" w:hAnsi="Arial"/>
                <w:sz w:val="13"/>
                <w:szCs w:val="13"/>
                <w:color w:val="auto"/>
                <w:w w:val="87"/>
              </w:rPr>
              <w:t>US7831512</w:t>
            </w:r>
          </w:p>
        </w:tc>
        <w:tc>
          <w:tcPr>
            <w:tcW w:w="4380" w:type="dxa"/>
            <w:vAlign w:val="bottom"/>
          </w:tcPr>
          <w:p>
            <w:pPr>
              <w:ind w:left="60"/>
              <w:spacing w:after="0"/>
              <w:rPr>
                <w:sz w:val="20"/>
                <w:szCs w:val="20"/>
                <w:color w:val="auto"/>
              </w:rPr>
            </w:pPr>
            <w:r>
              <w:rPr>
                <w:rFonts w:ascii="Arial" w:cs="Arial" w:eastAsia="Arial" w:hAnsi="Arial"/>
                <w:sz w:val="13"/>
                <w:szCs w:val="13"/>
                <w:color w:val="auto"/>
              </w:rPr>
              <w:t>Content Distribution System And Method</w:t>
            </w:r>
          </w:p>
        </w:tc>
        <w:tc>
          <w:tcPr>
            <w:tcW w:w="0" w:type="dxa"/>
            <w:vAlign w:val="bottom"/>
          </w:tcPr>
          <w:p>
            <w:pPr>
              <w:spacing w:after="0"/>
              <w:rPr>
                <w:sz w:val="1"/>
                <w:szCs w:val="1"/>
                <w:color w:val="auto"/>
              </w:rPr>
            </w:pPr>
          </w:p>
        </w:tc>
      </w:tr>
      <w:tr>
        <w:trPr>
          <w:trHeight w:val="270"/>
        </w:trPr>
        <w:tc>
          <w:tcPr>
            <w:tcW w:w="660" w:type="dxa"/>
            <w:vAlign w:val="bottom"/>
          </w:tcPr>
          <w:p>
            <w:pPr>
              <w:jc w:val="center"/>
              <w:spacing w:after="0"/>
              <w:rPr>
                <w:sz w:val="20"/>
                <w:szCs w:val="20"/>
                <w:color w:val="auto"/>
              </w:rPr>
            </w:pPr>
            <w:r>
              <w:rPr>
                <w:rFonts w:ascii="Arial" w:cs="Arial" w:eastAsia="Arial" w:hAnsi="Arial"/>
                <w:sz w:val="13"/>
                <w:szCs w:val="13"/>
                <w:color w:val="auto"/>
                <w:w w:val="89"/>
              </w:rPr>
              <w:t>B1IP-US05</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20" w:type="dxa"/>
            <w:vAlign w:val="bottom"/>
          </w:tcPr>
          <w:p>
            <w:pPr>
              <w:jc w:val="center"/>
              <w:spacing w:after="0"/>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rPr>
                <w:sz w:val="20"/>
                <w:szCs w:val="20"/>
                <w:color w:val="auto"/>
              </w:rPr>
            </w:pPr>
            <w:r>
              <w:rPr>
                <w:rFonts w:ascii="Arial" w:cs="Arial" w:eastAsia="Arial" w:hAnsi="Arial"/>
                <w:sz w:val="13"/>
                <w:szCs w:val="13"/>
                <w:color w:val="auto"/>
                <w:w w:val="85"/>
              </w:rPr>
              <w:t>28-Sep-10</w:t>
            </w:r>
          </w:p>
        </w:tc>
        <w:tc>
          <w:tcPr>
            <w:tcW w:w="980" w:type="dxa"/>
            <w:vAlign w:val="bottom"/>
          </w:tcPr>
          <w:p>
            <w:pPr>
              <w:jc w:val="center"/>
              <w:spacing w:after="0"/>
              <w:rPr>
                <w:sz w:val="20"/>
                <w:szCs w:val="20"/>
                <w:color w:val="auto"/>
              </w:rPr>
            </w:pPr>
            <w:r>
              <w:rPr>
                <w:rFonts w:ascii="Arial" w:cs="Arial" w:eastAsia="Arial" w:hAnsi="Arial"/>
                <w:sz w:val="13"/>
                <w:szCs w:val="13"/>
                <w:color w:val="auto"/>
                <w:w w:val="87"/>
              </w:rPr>
              <w:t>US8315949</w:t>
            </w:r>
          </w:p>
        </w:tc>
        <w:tc>
          <w:tcPr>
            <w:tcW w:w="4380" w:type="dxa"/>
            <w:vAlign w:val="bottom"/>
          </w:tcPr>
          <w:p>
            <w:pPr>
              <w:ind w:left="60"/>
              <w:spacing w:after="0"/>
              <w:rPr>
                <w:sz w:val="20"/>
                <w:szCs w:val="20"/>
                <w:color w:val="auto"/>
              </w:rPr>
            </w:pPr>
            <w:r>
              <w:rPr>
                <w:rFonts w:ascii="Arial" w:cs="Arial" w:eastAsia="Arial" w:hAnsi="Arial"/>
                <w:sz w:val="13"/>
                <w:szCs w:val="13"/>
                <w:color w:val="auto"/>
              </w:rPr>
              <w:t>Content Distribution System And Method</w:t>
            </w:r>
          </w:p>
        </w:tc>
        <w:tc>
          <w:tcPr>
            <w:tcW w:w="0" w:type="dxa"/>
            <w:vAlign w:val="bottom"/>
          </w:tcPr>
          <w:p>
            <w:pPr>
              <w:spacing w:after="0"/>
              <w:rPr>
                <w:sz w:val="1"/>
                <w:szCs w:val="1"/>
                <w:color w:val="auto"/>
              </w:rPr>
            </w:pPr>
          </w:p>
        </w:tc>
      </w:tr>
      <w:tr>
        <w:trPr>
          <w:trHeight w:val="177"/>
        </w:trPr>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Notice of</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9"/>
              </w:rPr>
              <w:t>B1IP-US06</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I/P Engine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Allowance</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2"/>
              </w:rPr>
              <w:t>20-Aug-13</w:t>
            </w:r>
          </w:p>
        </w:tc>
        <w:tc>
          <w:tcPr>
            <w:tcW w:w="980" w:type="dxa"/>
            <w:vAlign w:val="bottom"/>
          </w:tcPr>
          <w:p>
            <w:pPr>
              <w:spacing w:after="0"/>
              <w:rPr>
                <w:sz w:val="11"/>
                <w:szCs w:val="11"/>
                <w:color w:val="auto"/>
              </w:rPr>
            </w:pP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rPr>
              <w:t>Content Distribution System And Method</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9"/>
              </w:rPr>
              <w:t>Granted</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4"/>
              </w:rPr>
              <w:t>C1VI-US01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8"/>
              </w:rPr>
              <w:t>30-Jul-07</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87"/>
              </w:rPr>
              <w:t>US7945249</w:t>
            </w: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w w:val="97"/>
              </w:rPr>
              <w:t>Next Generation Social Networking And Content Rating System And Method</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4"/>
              </w:rPr>
              <w:t>C2VI-US01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5"/>
              </w:rPr>
              <w:t>12-Jun-02</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87"/>
              </w:rPr>
              <w:t>US7203693</w:t>
            </w: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w w:val="98"/>
              </w:rPr>
              <w:t>Instantly Indexed Databases For Multimedia Content Analysis And Retrieval</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4"/>
              </w:rPr>
              <w:t>C3VI-US01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1-May-98</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87"/>
              </w:rPr>
              <w:t>US6285317</w:t>
            </w: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rPr>
              <w:t>Navigation System With Three-Dimensional Display</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w w:val="86"/>
              </w:rPr>
              <w:t>System For Processing Broadcast Stream Comprises A Human-Perceptible Broadcast</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4"/>
              </w:rPr>
              <w:t>C4VI-US01</w:t>
            </w: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1-Feb-00</w:t>
            </w:r>
          </w:p>
        </w:tc>
        <w:tc>
          <w:tcPr>
            <w:tcW w:w="9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US6021432</w:t>
            </w: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w w:val="91"/>
              </w:rPr>
              <w:t>Program Embedded With A Plurality Of Human-Imperceptible Sets Of Information</w:t>
            </w:r>
          </w:p>
        </w:tc>
        <w:tc>
          <w:tcPr>
            <w:tcW w:w="0" w:type="dxa"/>
            <w:vAlign w:val="bottom"/>
          </w:tcPr>
          <w:p>
            <w:pPr>
              <w:spacing w:after="0"/>
              <w:rPr>
                <w:sz w:val="1"/>
                <w:szCs w:val="1"/>
                <w:color w:val="auto"/>
              </w:rPr>
            </w:pPr>
          </w:p>
        </w:tc>
      </w:tr>
      <w:tr>
        <w:trPr>
          <w:trHeight w:val="93"/>
        </w:trPr>
        <w:tc>
          <w:tcPr>
            <w:tcW w:w="660" w:type="dxa"/>
            <w:vAlign w:val="bottom"/>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4"/>
              </w:rPr>
              <w:t>C5VI-US01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2"/>
              </w:rPr>
              <w:t>16-Nov-99</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87"/>
              </w:rPr>
              <w:t>US5986622</w:t>
            </w: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rPr>
              <w:t>Panel Display Of Multiple Display Units For Multiple Signal Sources</w:t>
            </w:r>
          </w:p>
        </w:tc>
        <w:tc>
          <w:tcPr>
            <w:tcW w:w="0" w:type="dxa"/>
            <w:vAlign w:val="bottom"/>
          </w:tcPr>
          <w:p>
            <w:pPr>
              <w:spacing w:after="0"/>
              <w:rPr>
                <w:sz w:val="1"/>
                <w:szCs w:val="1"/>
                <w:color w:val="auto"/>
              </w:rPr>
            </w:pPr>
          </w:p>
        </w:tc>
      </w:tr>
      <w:tr>
        <w:trPr>
          <w:trHeight w:val="160"/>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5"/>
              </w:rPr>
              <w:t>C6VG-</w:t>
            </w: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60" w:type="dxa"/>
            <w:vAlign w:val="bottom"/>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1"/>
              </w:rPr>
              <w:t>Vringo GmbH</w:t>
            </w:r>
          </w:p>
        </w:tc>
        <w:tc>
          <w:tcPr>
            <w:tcW w:w="420" w:type="dxa"/>
            <w:vAlign w:val="bottom"/>
            <w:vMerge w:val="restart"/>
          </w:tcPr>
          <w:p>
            <w:pPr>
              <w:jc w:val="center"/>
              <w:spacing w:after="0"/>
              <w:rPr>
                <w:sz w:val="20"/>
                <w:szCs w:val="20"/>
                <w:color w:val="auto"/>
              </w:rPr>
            </w:pPr>
            <w:r>
              <w:rPr>
                <w:rFonts w:ascii="Arial" w:cs="Arial" w:eastAsia="Arial" w:hAnsi="Arial"/>
                <w:sz w:val="13"/>
                <w:szCs w:val="13"/>
                <w:color w:val="auto"/>
                <w:w w:val="88"/>
              </w:rPr>
              <w:t>DE</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9"/>
              </w:rPr>
              <w:t>Granted</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9"/>
              </w:rPr>
              <w:t>24-Oct-95</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6"/>
              </w:rPr>
              <w:t>DE69519506</w:t>
            </w: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rPr>
              <w:t>Navigation System For An Automotive Vehicle</w:t>
            </w:r>
          </w:p>
        </w:tc>
        <w:tc>
          <w:tcPr>
            <w:tcW w:w="0" w:type="dxa"/>
            <w:vAlign w:val="bottom"/>
          </w:tcPr>
          <w:p>
            <w:pPr>
              <w:spacing w:after="0"/>
              <w:rPr>
                <w:sz w:val="1"/>
                <w:szCs w:val="1"/>
                <w:color w:val="auto"/>
              </w:rPr>
            </w:pPr>
          </w:p>
        </w:tc>
      </w:tr>
      <w:tr>
        <w:trPr>
          <w:trHeight w:val="93"/>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DE01</w:t>
            </w:r>
          </w:p>
        </w:tc>
        <w:tc>
          <w:tcPr>
            <w:tcW w:w="8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6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4"/>
              </w:rPr>
              <w:t>C6VI-CA01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99"/>
              </w:rPr>
              <w:t>CA</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5"/>
              </w:rPr>
              <w:t>18-Sep-95</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0"/>
              </w:rPr>
              <w:t>CA2158500</w:t>
            </w: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rPr>
              <w:t>Navigation System For An Automotive Vehicle</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89"/>
              </w:rPr>
              <w:t>C6VI-EP01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91"/>
              </w:rPr>
              <w:t>EP</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24-Oct-95</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85"/>
              </w:rPr>
              <w:t>EP0710941</w:t>
            </w: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rPr>
              <w:t>Navigation System For An Automotive Vehicle</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2"/>
              </w:rPr>
              <w:t>C6VI-FR01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92"/>
              </w:rPr>
              <w:t>FR</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24-Oct-95</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85"/>
              </w:rPr>
              <w:t>FR0710941</w:t>
            </w: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rPr>
              <w:t>Navigation System For An Automotive Vehicle</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3"/>
              </w:rPr>
              <w:t>C6VI-GB01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95"/>
              </w:rPr>
              <w:t>GB</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24-Oct-95</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89"/>
              </w:rPr>
              <w:t>GB0710941</w:t>
            </w: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rPr>
              <w:t>Navigation System For An Automotive Vehicle</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7"/>
              </w:rPr>
              <w:t>C6VI-IT01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rPr>
              <w:t>IT</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24-Oct-95</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0"/>
              </w:rPr>
              <w:t>IT0710941</w:t>
            </w: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rPr>
              <w:t>Navigation System For An Automotive Vehicle</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4"/>
              </w:rPr>
              <w:t>C6VI-US01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Granted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7-Mar-96</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87"/>
              </w:rPr>
              <w:t>US5689252</w:t>
            </w: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rPr>
              <w:t>Navigation System For An Automotive Vehicle</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7"/>
              </w:rPr>
              <w:t>D1VL-</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 Labs,</w:t>
            </w:r>
          </w:p>
        </w:tc>
        <w:tc>
          <w:tcPr>
            <w:tcW w:w="420" w:type="dxa"/>
            <w:vAlign w:val="bottom"/>
            <w:vMerge w:val="restart"/>
          </w:tcPr>
          <w:p>
            <w:pPr>
              <w:jc w:val="center"/>
              <w:spacing w:after="0"/>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9"/>
              </w:rPr>
              <w:t>9-Dec-13</w:t>
            </w:r>
          </w:p>
        </w:tc>
        <w:tc>
          <w:tcPr>
            <w:tcW w:w="980" w:type="dxa"/>
            <w:vAlign w:val="bottom"/>
          </w:tcPr>
          <w:p>
            <w:pPr>
              <w:spacing w:after="0"/>
              <w:rPr>
                <w:sz w:val="11"/>
                <w:szCs w:val="11"/>
                <w:color w:val="auto"/>
              </w:rPr>
            </w:pP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rPr>
              <w:t>Bitcoin</w:t>
            </w:r>
          </w:p>
        </w:tc>
        <w:tc>
          <w:tcPr>
            <w:tcW w:w="0" w:type="dxa"/>
            <w:vAlign w:val="bottom"/>
          </w:tcPr>
          <w:p>
            <w:pPr>
              <w:spacing w:after="0"/>
              <w:rPr>
                <w:sz w:val="1"/>
                <w:szCs w:val="1"/>
                <w:color w:val="auto"/>
              </w:rPr>
            </w:pPr>
          </w:p>
        </w:tc>
      </w:tr>
      <w:tr>
        <w:trPr>
          <w:trHeight w:val="93"/>
        </w:trPr>
        <w:tc>
          <w:tcPr>
            <w:tcW w:w="6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2"/>
              </w:rPr>
              <w:t>E1VI-US01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8-May-13</w:t>
            </w:r>
          </w:p>
        </w:tc>
        <w:tc>
          <w:tcPr>
            <w:tcW w:w="980" w:type="dxa"/>
            <w:vAlign w:val="bottom"/>
          </w:tcPr>
          <w:p>
            <w:pPr>
              <w:spacing w:after="0"/>
              <w:rPr>
                <w:sz w:val="11"/>
                <w:szCs w:val="11"/>
                <w:color w:val="auto"/>
              </w:rPr>
            </w:pP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rPr>
              <w:t>Cognitive Radio Carrier System and Cognitive Radio Carrier Device</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2"/>
              </w:rPr>
              <w:t>E2VI-US01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9"/>
              </w:rPr>
              <w:t>7-Jul-13</w:t>
            </w:r>
          </w:p>
        </w:tc>
        <w:tc>
          <w:tcPr>
            <w:tcW w:w="980" w:type="dxa"/>
            <w:vAlign w:val="bottom"/>
          </w:tcPr>
          <w:p>
            <w:pPr>
              <w:spacing w:after="0"/>
              <w:rPr>
                <w:sz w:val="11"/>
                <w:szCs w:val="11"/>
                <w:color w:val="auto"/>
              </w:rPr>
            </w:pP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rPr>
              <w:t>Cognitive Radio</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0"/>
              </w:rPr>
              <w:t>F1VI-US01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8-May-13</w:t>
            </w:r>
          </w:p>
        </w:tc>
        <w:tc>
          <w:tcPr>
            <w:tcW w:w="980" w:type="dxa"/>
            <w:vAlign w:val="bottom"/>
          </w:tcPr>
          <w:p>
            <w:pPr>
              <w:spacing w:after="0"/>
              <w:rPr>
                <w:sz w:val="11"/>
                <w:szCs w:val="11"/>
                <w:color w:val="auto"/>
              </w:rPr>
            </w:pP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rPr>
              <w:t>Cognitive Radio System And Cognitive Radio Carrier Device</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0"/>
              </w:rPr>
              <w:t>F2VI-US01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8-May-13</w:t>
            </w:r>
          </w:p>
        </w:tc>
        <w:tc>
          <w:tcPr>
            <w:tcW w:w="980" w:type="dxa"/>
            <w:vAlign w:val="bottom"/>
          </w:tcPr>
          <w:p>
            <w:pPr>
              <w:spacing w:after="0"/>
              <w:rPr>
                <w:sz w:val="11"/>
                <w:szCs w:val="11"/>
                <w:color w:val="auto"/>
              </w:rPr>
            </w:pP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rPr>
              <w:t>Cognitive Radio System And Cognitive Radio Carrier Device</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0"/>
              </w:rPr>
              <w:t>F3VI-US01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8-May-13</w:t>
            </w:r>
          </w:p>
        </w:tc>
        <w:tc>
          <w:tcPr>
            <w:tcW w:w="980" w:type="dxa"/>
            <w:vAlign w:val="bottom"/>
          </w:tcPr>
          <w:p>
            <w:pPr>
              <w:spacing w:after="0"/>
              <w:rPr>
                <w:sz w:val="11"/>
                <w:szCs w:val="11"/>
                <w:color w:val="auto"/>
              </w:rPr>
            </w:pPr>
          </w:p>
        </w:tc>
        <w:tc>
          <w:tcPr>
            <w:tcW w:w="4380" w:type="dxa"/>
            <w:vAlign w:val="bottom"/>
          </w:tcPr>
          <w:p>
            <w:pPr>
              <w:ind w:left="60"/>
              <w:spacing w:after="0" w:line="135" w:lineRule="exact"/>
              <w:rPr>
                <w:sz w:val="20"/>
                <w:szCs w:val="20"/>
                <w:color w:val="auto"/>
              </w:rPr>
            </w:pPr>
            <w:r>
              <w:rPr>
                <w:rFonts w:ascii="Arial" w:cs="Arial" w:eastAsia="Arial" w:hAnsi="Arial"/>
                <w:sz w:val="13"/>
                <w:szCs w:val="13"/>
                <w:color w:val="auto"/>
              </w:rPr>
              <w:t>Cognitive Radio System And Cognitive Radio Carrier Device</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center"/>
              <w:spacing w:after="0" w:line="135" w:lineRule="exact"/>
              <w:rPr>
                <w:sz w:val="20"/>
                <w:szCs w:val="20"/>
                <w:color w:val="auto"/>
              </w:rPr>
            </w:pPr>
            <w:r>
              <w:rPr>
                <w:rFonts w:ascii="Arial" w:cs="Arial" w:eastAsia="Arial" w:hAnsi="Arial"/>
                <w:sz w:val="13"/>
                <w:szCs w:val="13"/>
                <w:color w:val="auto"/>
                <w:w w:val="95"/>
              </w:rPr>
              <w:t>G1VL-</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 Labs,</w:t>
            </w:r>
          </w:p>
        </w:tc>
        <w:tc>
          <w:tcPr>
            <w:tcW w:w="420" w:type="dxa"/>
            <w:vAlign w:val="bottom"/>
            <w:vMerge w:val="restart"/>
          </w:tcPr>
          <w:p>
            <w:pPr>
              <w:jc w:val="center"/>
              <w:spacing w:after="0"/>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9"/>
              </w:rPr>
              <w:t>10-Oct-12</w:t>
            </w:r>
          </w:p>
        </w:tc>
        <w:tc>
          <w:tcPr>
            <w:tcW w:w="980" w:type="dxa"/>
            <w:vAlign w:val="bottom"/>
          </w:tcPr>
          <w:p>
            <w:pPr>
              <w:spacing w:after="0"/>
              <w:rPr>
                <w:sz w:val="11"/>
                <w:szCs w:val="11"/>
                <w:color w:val="auto"/>
              </w:rPr>
            </w:pP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rPr>
              <w:t>Metered Wireless Energy System</w:t>
            </w:r>
          </w:p>
        </w:tc>
        <w:tc>
          <w:tcPr>
            <w:tcW w:w="0" w:type="dxa"/>
            <w:vAlign w:val="bottom"/>
          </w:tcPr>
          <w:p>
            <w:pPr>
              <w:spacing w:after="0"/>
              <w:rPr>
                <w:sz w:val="1"/>
                <w:szCs w:val="1"/>
                <w:color w:val="auto"/>
              </w:rPr>
            </w:pPr>
          </w:p>
        </w:tc>
      </w:tr>
      <w:tr>
        <w:trPr>
          <w:trHeight w:val="93"/>
        </w:trPr>
        <w:tc>
          <w:tcPr>
            <w:tcW w:w="6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2"/>
              </w:rPr>
              <w:t>US01</w:t>
            </w: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H01VI-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Reputation- And Condition-Based Vehicular Network</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H02VI-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Predicative Routing Based On Vehicular Information Exchange</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H03VI-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Systems And Methods For Event-Based Reporting</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H04VI-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Systems And Methods For Automated Parking Management</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H05VI-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Surprise Me Navigation</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H06VI-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Systems And Methods For Automated Parking Guidance</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H07VI-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Systems And Methods For Event-Based Surveillance</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H08VI-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Targeted Vehicle Recall And Maintenance Via An Agent</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H09VI-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w w:val="94"/>
              </w:rPr>
              <w:t>Localized Registration And Viewing Of Driving Information In A Navigation Tool</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H10VI-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Context-Dependent Engine Sounds</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H11VI-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w w:val="93"/>
              </w:rPr>
              <w:t>Systems And Methods For Communications In A Sink-Based Network Topology</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H12VI-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Systems And Methods For Establishing Mobile Swarms</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H13VI-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Determining A Position Of A Radio Node Through Power Measurements</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H14VI-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Referral Fee Based Incentive System For High-Value Cognitive Radios</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H15VI-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Enforcement In A Cognitive Radio Network</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H16VI-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rPr>
              <w:t>Encrypted Identity Tracking And Management For Cognitive Radio</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H17VI-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w w:val="91"/>
              </w:rPr>
              <w:t>Systems And Methods For Establishing Communications Hierarchy In A Cognitive</w:t>
            </w: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restart"/>
          </w:tcPr>
          <w:p>
            <w:pPr>
              <w:ind w:left="60"/>
              <w:spacing w:after="0"/>
              <w:rPr>
                <w:sz w:val="20"/>
                <w:szCs w:val="20"/>
                <w:color w:val="auto"/>
              </w:rPr>
            </w:pPr>
            <w:r>
              <w:rPr>
                <w:rFonts w:ascii="Arial" w:cs="Arial" w:eastAsia="Arial" w:hAnsi="Arial"/>
                <w:sz w:val="13"/>
                <w:szCs w:val="13"/>
                <w:color w:val="auto"/>
              </w:rPr>
              <w:t>Radio Network</w:t>
            </w: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3"/>
              </w:rPr>
              <w:t>H18VI-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US</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7"/>
              </w:rPr>
              <w:t>Pending</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6-Nov-13</w:t>
            </w:r>
          </w:p>
        </w:tc>
        <w:tc>
          <w:tcPr>
            <w:tcW w:w="980" w:type="dxa"/>
            <w:vAlign w:val="bottom"/>
          </w:tcPr>
          <w:p>
            <w:pPr>
              <w:spacing w:after="0"/>
              <w:rPr>
                <w:sz w:val="5"/>
                <w:szCs w:val="5"/>
                <w:color w:val="auto"/>
              </w:rPr>
            </w:pPr>
          </w:p>
        </w:tc>
        <w:tc>
          <w:tcPr>
            <w:tcW w:w="4380" w:type="dxa"/>
            <w:vAlign w:val="bottom"/>
            <w:vMerge w:val="restart"/>
          </w:tcPr>
          <w:p>
            <w:pPr>
              <w:ind w:left="60"/>
              <w:spacing w:after="0" w:line="135" w:lineRule="exact"/>
              <w:rPr>
                <w:sz w:val="20"/>
                <w:szCs w:val="20"/>
                <w:color w:val="auto"/>
              </w:rPr>
            </w:pPr>
            <w:r>
              <w:rPr>
                <w:rFonts w:ascii="Arial" w:cs="Arial" w:eastAsia="Arial" w:hAnsi="Arial"/>
                <w:sz w:val="13"/>
                <w:szCs w:val="13"/>
                <w:color w:val="auto"/>
                <w:w w:val="94"/>
              </w:rPr>
              <w:t>Systems And Methods For The Rental And Lease Of Products Using Human ID</w:t>
            </w:r>
          </w:p>
        </w:tc>
        <w:tc>
          <w:tcPr>
            <w:tcW w:w="0" w:type="dxa"/>
            <w:vAlign w:val="bottom"/>
          </w:tcPr>
          <w:p>
            <w:pPr>
              <w:spacing w:after="0"/>
              <w:rPr>
                <w:sz w:val="1"/>
                <w:szCs w:val="1"/>
                <w:color w:val="auto"/>
              </w:rPr>
            </w:pPr>
          </w:p>
        </w:tc>
      </w:tr>
      <w:tr>
        <w:trPr>
          <w:trHeight w:val="68"/>
        </w:trPr>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60" w:type="dxa"/>
            <w:vAlign w:val="bottom"/>
            <w:vMerge w:val="continue"/>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5"/>
              </w:rPr>
              <w:t>Inc.</w:t>
            </w: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-10211435</wp:posOffset>
            </wp:positionV>
            <wp:extent cx="7246620"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-9868535</wp:posOffset>
            </wp:positionV>
            <wp:extent cx="7246620" cy="1714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-9525635</wp:posOffset>
            </wp:positionV>
            <wp:extent cx="7246620" cy="2571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-9010650</wp:posOffset>
            </wp:positionV>
            <wp:extent cx="7246620" cy="2571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-8496300</wp:posOffset>
            </wp:positionV>
            <wp:extent cx="7246620" cy="2571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-7981950</wp:posOffset>
            </wp:positionV>
            <wp:extent cx="724662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-7553325</wp:posOffset>
            </wp:positionV>
            <wp:extent cx="7246620" cy="2571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-7038340</wp:posOffset>
            </wp:positionV>
            <wp:extent cx="7246620" cy="2571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-6523990</wp:posOffset>
            </wp:positionV>
            <wp:extent cx="7246620" cy="2571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-6095365</wp:posOffset>
            </wp:positionV>
            <wp:extent cx="7246620" cy="2571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-5580380</wp:posOffset>
            </wp:positionV>
            <wp:extent cx="7246620" cy="2571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-5066030</wp:posOffset>
            </wp:positionV>
            <wp:extent cx="7246620" cy="2571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-4637405</wp:posOffset>
            </wp:positionV>
            <wp:extent cx="7246620" cy="2571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-4122420</wp:posOffset>
            </wp:positionV>
            <wp:extent cx="7246620" cy="2571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-3608070</wp:posOffset>
            </wp:positionV>
            <wp:extent cx="7246620" cy="2571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-3093720</wp:posOffset>
            </wp:positionV>
            <wp:extent cx="7246620" cy="2571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-2579370</wp:posOffset>
            </wp:positionV>
            <wp:extent cx="7246620" cy="2571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-2064385</wp:posOffset>
            </wp:positionV>
            <wp:extent cx="7246620" cy="2571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-1550035</wp:posOffset>
            </wp:positionV>
            <wp:extent cx="7246620" cy="2571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-1035685</wp:posOffset>
            </wp:positionV>
            <wp:extent cx="7246620" cy="2571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-520700</wp:posOffset>
            </wp:positionV>
            <wp:extent cx="7246620" cy="2571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-6350</wp:posOffset>
            </wp:positionV>
            <wp:extent cx="7246620" cy="533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53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Tayo Akadiri</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Tayo Akadiri</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Tayo Akadiri</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Tayo Akadiri</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Tayo Akadiri</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Tayo Akadiri</w:t>
      </w:r>
    </w:p>
    <w:p>
      <w:pPr>
        <w:spacing w:after="0" w:line="188" w:lineRule="exact"/>
        <w:rPr>
          <w:sz w:val="20"/>
          <w:szCs w:val="20"/>
          <w:color w:val="auto"/>
        </w:rPr>
      </w:pPr>
    </w:p>
    <w:p>
      <w:pPr>
        <w:ind w:right="80"/>
        <w:spacing w:after="0" w:line="237" w:lineRule="auto"/>
        <w:rPr>
          <w:sz w:val="20"/>
          <w:szCs w:val="20"/>
          <w:color w:val="auto"/>
        </w:rPr>
      </w:pPr>
      <w:r>
        <w:rPr>
          <w:rFonts w:ascii="Arial" w:cs="Arial" w:eastAsia="Arial" w:hAnsi="Arial"/>
          <w:sz w:val="13"/>
          <w:szCs w:val="13"/>
          <w:color w:val="auto"/>
        </w:rPr>
        <w:t>Fanelli Bobby [US] Dyer William [US] (+2)</w:t>
      </w:r>
    </w:p>
    <w:p>
      <w:pPr>
        <w:spacing w:after="0" w:line="110" w:lineRule="exact"/>
        <w:rPr>
          <w:sz w:val="20"/>
          <w:szCs w:val="20"/>
          <w:color w:val="auto"/>
        </w:rPr>
      </w:pPr>
    </w:p>
    <w:p>
      <w:pPr>
        <w:ind w:right="80"/>
        <w:spacing w:after="0" w:line="237" w:lineRule="auto"/>
        <w:rPr>
          <w:sz w:val="20"/>
          <w:szCs w:val="20"/>
          <w:color w:val="auto"/>
        </w:rPr>
      </w:pPr>
      <w:r>
        <w:rPr>
          <w:rFonts w:ascii="Arial" w:cs="Arial" w:eastAsia="Arial" w:hAnsi="Arial"/>
          <w:sz w:val="13"/>
          <w:szCs w:val="13"/>
          <w:color w:val="auto"/>
        </w:rPr>
        <w:t>Carlbom Ingrid Birgitta [US] Jean Yves D [US] (+2)</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Ong Ping-Wen [US]</w:t>
      </w:r>
    </w:p>
    <w:p>
      <w:pPr>
        <w:spacing w:after="0" w:line="188" w:lineRule="exact"/>
        <w:rPr>
          <w:sz w:val="20"/>
          <w:szCs w:val="20"/>
          <w:color w:val="auto"/>
        </w:rPr>
      </w:pPr>
    </w:p>
    <w:p>
      <w:pPr>
        <w:ind w:right="240"/>
        <w:spacing w:after="0" w:line="320" w:lineRule="auto"/>
        <w:rPr>
          <w:sz w:val="20"/>
          <w:szCs w:val="20"/>
          <w:color w:val="auto"/>
        </w:rPr>
      </w:pPr>
      <w:r>
        <w:rPr>
          <w:rFonts w:ascii="Arial" w:cs="Arial" w:eastAsia="Arial" w:hAnsi="Arial"/>
          <w:sz w:val="11"/>
          <w:szCs w:val="11"/>
          <w:color w:val="auto"/>
        </w:rPr>
        <w:t>Sizer II Theodore [US] August Kathering G [US] (+2)</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Ong Ping-Wen [US]</w:t>
      </w:r>
    </w:p>
    <w:p>
      <w:pPr>
        <w:spacing w:after="0" w:line="121" w:lineRule="exact"/>
        <w:rPr>
          <w:sz w:val="20"/>
          <w:szCs w:val="20"/>
          <w:color w:val="auto"/>
        </w:rPr>
      </w:pPr>
    </w:p>
    <w:p>
      <w:pPr>
        <w:ind w:right="280"/>
        <w:spacing w:after="0" w:line="320" w:lineRule="auto"/>
        <w:rPr>
          <w:sz w:val="20"/>
          <w:szCs w:val="20"/>
          <w:color w:val="auto"/>
        </w:rPr>
      </w:pPr>
      <w:r>
        <w:rPr>
          <w:rFonts w:ascii="Arial" w:cs="Arial" w:eastAsia="Arial" w:hAnsi="Arial"/>
          <w:sz w:val="11"/>
          <w:szCs w:val="11"/>
          <w:color w:val="auto"/>
        </w:rPr>
        <w:t>Ayanoglu Ender [US] Sabnani Krishan Kumar [US]</w:t>
      </w:r>
    </w:p>
    <w:p>
      <w:pPr>
        <w:ind w:right="280"/>
        <w:spacing w:after="0" w:line="320" w:lineRule="auto"/>
        <w:rPr>
          <w:sz w:val="20"/>
          <w:szCs w:val="20"/>
          <w:color w:val="auto"/>
        </w:rPr>
      </w:pPr>
      <w:r>
        <w:rPr>
          <w:rFonts w:ascii="Arial" w:cs="Arial" w:eastAsia="Arial" w:hAnsi="Arial"/>
          <w:sz w:val="11"/>
          <w:szCs w:val="11"/>
          <w:color w:val="auto"/>
        </w:rPr>
        <w:t>Ayanoglu Ender [US] Sabnani Krishan Kumar [US]</w:t>
      </w:r>
    </w:p>
    <w:p>
      <w:pPr>
        <w:spacing w:after="0" w:line="68" w:lineRule="exact"/>
        <w:rPr>
          <w:sz w:val="20"/>
          <w:szCs w:val="20"/>
          <w:color w:val="auto"/>
        </w:rPr>
      </w:pPr>
    </w:p>
    <w:p>
      <w:pPr>
        <w:ind w:right="280"/>
        <w:spacing w:after="0" w:line="320" w:lineRule="auto"/>
        <w:rPr>
          <w:sz w:val="20"/>
          <w:szCs w:val="20"/>
          <w:color w:val="auto"/>
        </w:rPr>
      </w:pPr>
      <w:r>
        <w:rPr>
          <w:rFonts w:ascii="Arial" w:cs="Arial" w:eastAsia="Arial" w:hAnsi="Arial"/>
          <w:sz w:val="11"/>
          <w:szCs w:val="11"/>
          <w:color w:val="auto"/>
        </w:rPr>
        <w:t>Ayanoglu Ender [US] Sabnani Krishan Kumar [US]</w:t>
      </w:r>
    </w:p>
    <w:p>
      <w:pPr>
        <w:spacing w:after="0" w:line="68" w:lineRule="exact"/>
        <w:rPr>
          <w:sz w:val="20"/>
          <w:szCs w:val="20"/>
          <w:color w:val="auto"/>
        </w:rPr>
      </w:pPr>
    </w:p>
    <w:p>
      <w:pPr>
        <w:ind w:right="280"/>
        <w:spacing w:after="0" w:line="320" w:lineRule="auto"/>
        <w:rPr>
          <w:sz w:val="20"/>
          <w:szCs w:val="20"/>
          <w:color w:val="auto"/>
        </w:rPr>
      </w:pPr>
      <w:r>
        <w:rPr>
          <w:rFonts w:ascii="Arial" w:cs="Arial" w:eastAsia="Arial" w:hAnsi="Arial"/>
          <w:sz w:val="11"/>
          <w:szCs w:val="11"/>
          <w:color w:val="auto"/>
        </w:rPr>
        <w:t>Ayanoglu Ender [US] Sabnani Krishan Kumar [US]</w:t>
      </w:r>
    </w:p>
    <w:p>
      <w:pPr>
        <w:spacing w:after="0" w:line="68" w:lineRule="exact"/>
        <w:rPr>
          <w:sz w:val="20"/>
          <w:szCs w:val="20"/>
          <w:color w:val="auto"/>
        </w:rPr>
      </w:pPr>
    </w:p>
    <w:p>
      <w:pPr>
        <w:ind w:right="280"/>
        <w:spacing w:after="0" w:line="320" w:lineRule="auto"/>
        <w:rPr>
          <w:sz w:val="20"/>
          <w:szCs w:val="20"/>
          <w:color w:val="auto"/>
        </w:rPr>
      </w:pPr>
      <w:r>
        <w:rPr>
          <w:rFonts w:ascii="Arial" w:cs="Arial" w:eastAsia="Arial" w:hAnsi="Arial"/>
          <w:sz w:val="11"/>
          <w:szCs w:val="11"/>
          <w:color w:val="auto"/>
        </w:rPr>
        <w:t>Ayanoglu Ender [US] Sabnani Krishan Kumar [US]</w:t>
      </w:r>
    </w:p>
    <w:p>
      <w:pPr>
        <w:spacing w:after="0" w:line="68" w:lineRule="exact"/>
        <w:rPr>
          <w:sz w:val="20"/>
          <w:szCs w:val="20"/>
          <w:color w:val="auto"/>
        </w:rPr>
      </w:pPr>
    </w:p>
    <w:p>
      <w:pPr>
        <w:ind w:right="280"/>
        <w:spacing w:after="0" w:line="320" w:lineRule="auto"/>
        <w:rPr>
          <w:sz w:val="20"/>
          <w:szCs w:val="20"/>
          <w:color w:val="auto"/>
        </w:rPr>
      </w:pPr>
      <w:r>
        <w:rPr>
          <w:rFonts w:ascii="Arial" w:cs="Arial" w:eastAsia="Arial" w:hAnsi="Arial"/>
          <w:sz w:val="11"/>
          <w:szCs w:val="11"/>
          <w:color w:val="auto"/>
        </w:rPr>
        <w:t>Ayanoglu Ender [US] Sabnani Krishan Kumar [US]</w:t>
      </w:r>
    </w:p>
    <w:p>
      <w:pPr>
        <w:spacing w:after="0" w:line="68" w:lineRule="exact"/>
        <w:rPr>
          <w:sz w:val="20"/>
          <w:szCs w:val="20"/>
          <w:color w:val="auto"/>
        </w:rPr>
      </w:pPr>
    </w:p>
    <w:p>
      <w:pPr>
        <w:ind w:right="280"/>
        <w:spacing w:after="0" w:line="320" w:lineRule="auto"/>
        <w:rPr>
          <w:sz w:val="20"/>
          <w:szCs w:val="20"/>
          <w:color w:val="auto"/>
        </w:rPr>
      </w:pPr>
      <w:r>
        <w:rPr>
          <w:rFonts w:ascii="Arial" w:cs="Arial" w:eastAsia="Arial" w:hAnsi="Arial"/>
          <w:sz w:val="11"/>
          <w:szCs w:val="11"/>
          <w:color w:val="auto"/>
        </w:rPr>
        <w:t>Ayanoglu Ender [US] Sabnani Krishan Kumar [US]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Lang Andrew K [US]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Andrew K. Lang, et al</w:t>
      </w:r>
    </w:p>
    <w:p>
      <w:pPr>
        <w:spacing w:after="0" w:line="188" w:lineRule="exact"/>
        <w:rPr>
          <w:sz w:val="20"/>
          <w:szCs w:val="20"/>
          <w:color w:val="auto"/>
        </w:rPr>
      </w:pPr>
    </w:p>
    <w:p>
      <w:pPr>
        <w:ind w:right="180"/>
        <w:spacing w:after="0" w:line="320" w:lineRule="auto"/>
        <w:rPr>
          <w:sz w:val="20"/>
          <w:szCs w:val="20"/>
          <w:color w:val="auto"/>
        </w:rPr>
      </w:pPr>
      <w:r>
        <w:rPr>
          <w:rFonts w:ascii="Arial" w:cs="Arial" w:eastAsia="Arial" w:hAnsi="Arial"/>
          <w:sz w:val="11"/>
          <w:szCs w:val="11"/>
          <w:color w:val="auto"/>
        </w:rPr>
        <w:t>Andrew K. Lang, Saswat Misra, Jason Charkow, David Cohen</w:t>
      </w:r>
    </w:p>
    <w:p>
      <w:pPr>
        <w:spacing w:after="0" w:line="68"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Misra Saswat [US] Lang Andrew K [US] (+2)</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Misra Saswat [US] Lang Andrew K [US] (+2)</w:t>
      </w:r>
    </w:p>
    <w:p>
      <w:pPr>
        <w:spacing w:after="0" w:line="11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Misra Saswat [US] Lang Andrew K [US]</w:t>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color w:val="auto"/>
        </w:rPr>
        <w:t>Donald M. Kosak, Andrew K. Lang</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Lang Andrew K.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Lang Andrew K.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Lang Andrew K.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jc w:val="center"/>
        <w:spacing w:after="0" w:line="230" w:lineRule="auto"/>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jc w:val="center"/>
        <w:spacing w:after="0" w:line="230" w:lineRule="auto"/>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jc w:val="center"/>
        <w:spacing w:after="0" w:line="230" w:lineRule="auto"/>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jc w:val="center"/>
        <w:spacing w:after="0" w:line="230" w:lineRule="auto"/>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ectPr>
          <w:pgSz w:w="11900" w:h="16838" w:orient="portrait"/>
          <w:cols w:equalWidth="0" w:num="3">
            <w:col w:w="8780" w:space="180"/>
            <w:col w:w="1800" w:space="120"/>
            <w:col w:w="460"/>
          </w:cols>
          <w:pgMar w:left="260" w:top="125" w:right="299" w:bottom="0" w:gutter="0" w:footer="0" w:header="0"/>
        </w:sectPr>
      </w:pPr>
    </w:p>
    <w:bookmarkStart w:id="111" w:name="page112"/>
    <w:bookmarkEnd w:id="111"/>
    <w:tbl>
      <w:tblPr>
        <w:tblLayout w:type="fixed"/>
        <w:tblInd w:w="100" w:type="dxa"/>
        <w:tblCellMar>
          <w:top w:w="0" w:type="dxa"/>
          <w:left w:w="0" w:type="dxa"/>
          <w:bottom w:w="0" w:type="dxa"/>
          <w:right w:w="0" w:type="dxa"/>
        </w:tblCellMar>
      </w:tblPr>
      <w:tr>
        <w:trPr>
          <w:trHeight w:val="149"/>
        </w:trPr>
        <w:tc>
          <w:tcPr>
            <w:tcW w:w="500" w:type="dxa"/>
            <w:vAlign w:val="bottom"/>
          </w:tcPr>
          <w:p>
            <w:pPr>
              <w:jc w:val="center"/>
              <w:ind w:right="57"/>
              <w:spacing w:after="0"/>
              <w:rPr>
                <w:sz w:val="20"/>
                <w:szCs w:val="20"/>
                <w:color w:val="auto"/>
              </w:rPr>
            </w:pPr>
            <w:r>
              <w:rPr>
                <w:rFonts w:ascii="Arial" w:cs="Arial" w:eastAsia="Arial" w:hAnsi="Arial"/>
                <w:sz w:val="13"/>
                <w:szCs w:val="13"/>
                <w:color w:val="auto"/>
                <w:w w:val="93"/>
              </w:rPr>
              <w:t>H19VI-</w:t>
            </w:r>
          </w:p>
        </w:tc>
        <w:tc>
          <w:tcPr>
            <w:tcW w:w="920" w:type="dxa"/>
            <w:vAlign w:val="bottom"/>
          </w:tcPr>
          <w:p>
            <w:pPr>
              <w:jc w:val="center"/>
              <w:spacing w:after="0"/>
              <w:rPr>
                <w:sz w:val="20"/>
                <w:szCs w:val="20"/>
                <w:color w:val="auto"/>
              </w:rPr>
            </w:pPr>
            <w:r>
              <w:rPr>
                <w:rFonts w:ascii="Arial" w:cs="Arial" w:eastAsia="Arial" w:hAnsi="Arial"/>
                <w:sz w:val="13"/>
                <w:szCs w:val="13"/>
                <w:color w:val="auto"/>
                <w:w w:val="90"/>
              </w:rPr>
              <w:t>Vringo</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20" w:type="dxa"/>
            <w:vAlign w:val="bottom"/>
          </w:tcPr>
          <w:p>
            <w:pPr>
              <w:ind w:left="160"/>
              <w:spacing w:after="0"/>
              <w:rPr>
                <w:sz w:val="20"/>
                <w:szCs w:val="20"/>
                <w:color w:val="auto"/>
              </w:rPr>
            </w:pPr>
            <w:r>
              <w:rPr>
                <w:rFonts w:ascii="Arial" w:cs="Arial" w:eastAsia="Arial" w:hAnsi="Arial"/>
                <w:sz w:val="13"/>
                <w:szCs w:val="13"/>
                <w:color w:val="auto"/>
              </w:rPr>
              <w:t>Pending</w:t>
            </w:r>
          </w:p>
        </w:tc>
        <w:tc>
          <w:tcPr>
            <w:tcW w:w="620" w:type="dxa"/>
            <w:vAlign w:val="bottom"/>
          </w:tcPr>
          <w:p>
            <w:pPr>
              <w:ind w:left="120"/>
              <w:spacing w:after="0"/>
              <w:rPr>
                <w:sz w:val="20"/>
                <w:szCs w:val="20"/>
                <w:color w:val="auto"/>
              </w:rPr>
            </w:pPr>
            <w:r>
              <w:rPr>
                <w:rFonts w:ascii="Arial" w:cs="Arial" w:eastAsia="Arial" w:hAnsi="Arial"/>
                <w:sz w:val="13"/>
                <w:szCs w:val="13"/>
                <w:color w:val="auto"/>
                <w:w w:val="89"/>
              </w:rPr>
              <w:t>6-Nov-13</w:t>
            </w:r>
          </w:p>
        </w:tc>
      </w:tr>
      <w:tr>
        <w:trPr>
          <w:trHeight w:val="135"/>
        </w:trPr>
        <w:tc>
          <w:tcPr>
            <w:tcW w:w="5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92"/>
              </w:rPr>
              <w:t>US01</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5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78"/>
        </w:trPr>
        <w:tc>
          <w:tcPr>
            <w:tcW w:w="500" w:type="dxa"/>
            <w:vAlign w:val="bottom"/>
          </w:tcPr>
          <w:p>
            <w:pPr>
              <w:spacing w:after="0"/>
              <w:rPr>
                <w:sz w:val="6"/>
                <w:szCs w:val="6"/>
                <w:color w:val="auto"/>
              </w:rPr>
            </w:pPr>
          </w:p>
        </w:tc>
        <w:tc>
          <w:tcPr>
            <w:tcW w:w="920" w:type="dxa"/>
            <w:vAlign w:val="bottom"/>
          </w:tcPr>
          <w:p>
            <w:pPr>
              <w:jc w:val="center"/>
              <w:spacing w:after="0" w:line="78" w:lineRule="exact"/>
              <w:rPr>
                <w:sz w:val="20"/>
                <w:szCs w:val="20"/>
                <w:color w:val="auto"/>
              </w:rPr>
            </w:pPr>
            <w:r>
              <w:rPr>
                <w:rFonts w:ascii="Arial" w:cs="Arial" w:eastAsia="Arial" w:hAnsi="Arial"/>
                <w:sz w:val="8"/>
                <w:szCs w:val="8"/>
                <w:color w:val="auto"/>
              </w:rPr>
              <w:t>Vringo</w:t>
            </w: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br w:type="column"/>
      </w:r>
    </w:p>
    <w:p>
      <w:pPr>
        <w:spacing w:after="0"/>
        <w:tabs>
          <w:tab w:leader="none" w:pos="4480" w:val="left"/>
          <w:tab w:leader="none" w:pos="6540" w:val="left"/>
        </w:tabs>
        <w:rPr>
          <w:sz w:val="20"/>
          <w:szCs w:val="20"/>
          <w:color w:val="auto"/>
        </w:rPr>
      </w:pPr>
      <w:r>
        <w:rPr>
          <w:rFonts w:ascii="Arial" w:cs="Arial" w:eastAsia="Arial" w:hAnsi="Arial"/>
          <w:sz w:val="13"/>
          <w:szCs w:val="13"/>
          <w:color w:val="auto"/>
        </w:rPr>
        <w:t>Systems And Methods For Bandwidth Sharing Cognitive Radio</w:t>
      </w:r>
      <w:r>
        <w:rPr>
          <w:sz w:val="20"/>
          <w:szCs w:val="20"/>
          <w:color w:val="auto"/>
        </w:rPr>
        <w:tab/>
      </w:r>
      <w:r>
        <w:rPr>
          <w:rFonts w:ascii="Arial" w:cs="Arial" w:eastAsia="Arial" w:hAnsi="Arial"/>
          <w:sz w:val="13"/>
          <w:szCs w:val="13"/>
          <w:color w:val="auto"/>
        </w:rPr>
        <w:t>Hamalainen Jari [US]</w:t>
      </w:r>
      <w:r>
        <w:rPr>
          <w:sz w:val="20"/>
          <w:szCs w:val="20"/>
          <w:color w:val="auto"/>
        </w:rPr>
        <w:tab/>
      </w:r>
      <w:r>
        <w:rPr>
          <w:rFonts w:ascii="Arial" w:cs="Arial" w:eastAsia="Arial" w:hAnsi="Arial"/>
          <w:sz w:val="12"/>
          <w:szCs w:val="12"/>
          <w:color w:val="auto"/>
        </w:rPr>
        <w:t>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-82550</wp:posOffset>
            </wp:positionV>
            <wp:extent cx="7246620" cy="2571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color w:val="auto"/>
        </w:rPr>
        <w:t>Declared</w:t>
      </w:r>
    </w:p>
    <w:p>
      <w:pPr>
        <w:spacing w:after="0" w:line="189" w:lineRule="exact"/>
        <w:rPr>
          <w:sz w:val="20"/>
          <w:szCs w:val="20"/>
          <w:color w:val="auto"/>
        </w:rPr>
      </w:pPr>
    </w:p>
    <w:p>
      <w:pPr>
        <w:sectPr>
          <w:pgSz w:w="11900" w:h="16838" w:orient="portrait"/>
          <w:cols w:equalWidth="0" w:num="2">
            <w:col w:w="3720" w:space="720"/>
            <w:col w:w="6880"/>
          </w:cols>
          <w:pgMar w:left="280" w:top="111" w:right="299" w:bottom="1440" w:gutter="0" w:footer="0" w:header="0"/>
        </w:sectPr>
      </w:pPr>
    </w:p>
    <w:tbl>
      <w:tblPr>
        <w:tblLayout w:type="fixed"/>
        <w:tblInd w:w="0" w:type="dxa"/>
        <w:tblCellMar>
          <w:top w:w="0" w:type="dxa"/>
          <w:left w:w="0" w:type="dxa"/>
          <w:bottom w:w="0" w:type="dxa"/>
          <w:right w:w="0" w:type="dxa"/>
        </w:tblCellMar>
      </w:tblPr>
      <w:tr>
        <w:trPr>
          <w:trHeight w:val="125"/>
        </w:trPr>
        <w:tc>
          <w:tcPr>
            <w:tcW w:w="640" w:type="dxa"/>
            <w:vAlign w:val="bottom"/>
          </w:tcPr>
          <w:p>
            <w:pPr>
              <w:jc w:val="center"/>
              <w:spacing w:after="0" w:line="125" w:lineRule="exact"/>
              <w:rPr>
                <w:sz w:val="20"/>
                <w:szCs w:val="20"/>
                <w:color w:val="auto"/>
              </w:rPr>
            </w:pPr>
            <w:r>
              <w:rPr>
                <w:rFonts w:ascii="Arial" w:cs="Arial" w:eastAsia="Arial" w:hAnsi="Arial"/>
                <w:sz w:val="13"/>
                <w:szCs w:val="13"/>
                <w:color w:val="auto"/>
                <w:w w:val="93"/>
              </w:rPr>
              <w:t>H20VI-</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9"/>
              </w:rPr>
              <w:t>Infrastructure,</w:t>
            </w:r>
          </w:p>
        </w:tc>
        <w:tc>
          <w:tcPr>
            <w:tcW w:w="440" w:type="dxa"/>
            <w:vAlign w:val="bottom"/>
            <w:vMerge w:val="restart"/>
          </w:tcPr>
          <w:p>
            <w:pPr>
              <w:ind w:left="120"/>
              <w:spacing w:after="0"/>
              <w:rPr>
                <w:sz w:val="20"/>
                <w:szCs w:val="20"/>
                <w:color w:val="auto"/>
              </w:rPr>
            </w:pPr>
            <w:r>
              <w:rPr>
                <w:rFonts w:ascii="Arial" w:cs="Arial" w:eastAsia="Arial" w:hAnsi="Arial"/>
                <w:sz w:val="13"/>
                <w:szCs w:val="13"/>
                <w:color w:val="auto"/>
              </w:rPr>
              <w:t>US</w:t>
            </w:r>
          </w:p>
        </w:tc>
        <w:tc>
          <w:tcPr>
            <w:tcW w:w="700" w:type="dxa"/>
            <w:vAlign w:val="bottom"/>
            <w:vMerge w:val="restart"/>
          </w:tcPr>
          <w:p>
            <w:pPr>
              <w:ind w:left="160"/>
              <w:spacing w:after="0"/>
              <w:rPr>
                <w:sz w:val="20"/>
                <w:szCs w:val="20"/>
                <w:color w:val="auto"/>
              </w:rPr>
            </w:pPr>
            <w:r>
              <w:rPr>
                <w:rFonts w:ascii="Arial" w:cs="Arial" w:eastAsia="Arial" w:hAnsi="Arial"/>
                <w:sz w:val="13"/>
                <w:szCs w:val="13"/>
                <w:color w:val="auto"/>
              </w:rPr>
              <w:t>Pending</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3"/>
              </w:rPr>
              <w:t>6-Nov-13</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3"/>
              </w:rPr>
              <w:t>H21VI-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40" w:type="dxa"/>
            <w:vAlign w:val="bottom"/>
            <w:vMerge w:val="restart"/>
          </w:tcPr>
          <w:p>
            <w:pPr>
              <w:ind w:left="120"/>
              <w:spacing w:after="0" w:line="135" w:lineRule="exact"/>
              <w:rPr>
                <w:sz w:val="20"/>
                <w:szCs w:val="20"/>
                <w:color w:val="auto"/>
              </w:rPr>
            </w:pPr>
            <w:r>
              <w:rPr>
                <w:rFonts w:ascii="Arial" w:cs="Arial" w:eastAsia="Arial" w:hAnsi="Arial"/>
                <w:sz w:val="13"/>
                <w:szCs w:val="13"/>
                <w:color w:val="auto"/>
              </w:rPr>
              <w:t>US</w:t>
            </w:r>
          </w:p>
        </w:tc>
        <w:tc>
          <w:tcPr>
            <w:tcW w:w="700" w:type="dxa"/>
            <w:vAlign w:val="bottom"/>
            <w:vMerge w:val="restart"/>
          </w:tcPr>
          <w:p>
            <w:pPr>
              <w:ind w:left="160"/>
              <w:spacing w:after="0" w:line="135" w:lineRule="exact"/>
              <w:rPr>
                <w:sz w:val="20"/>
                <w:szCs w:val="20"/>
                <w:color w:val="auto"/>
              </w:rPr>
            </w:pPr>
            <w:r>
              <w:rPr>
                <w:rFonts w:ascii="Arial" w:cs="Arial" w:eastAsia="Arial" w:hAnsi="Arial"/>
                <w:sz w:val="13"/>
                <w:szCs w:val="13"/>
                <w:color w:val="auto"/>
              </w:rPr>
              <w:t>Pending</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8-Nov-13</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3"/>
              </w:rPr>
              <w:t>H22VI-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40" w:type="dxa"/>
            <w:vAlign w:val="bottom"/>
            <w:vMerge w:val="restart"/>
          </w:tcPr>
          <w:p>
            <w:pPr>
              <w:ind w:left="120"/>
              <w:spacing w:after="0" w:line="135" w:lineRule="exact"/>
              <w:rPr>
                <w:sz w:val="20"/>
                <w:szCs w:val="20"/>
                <w:color w:val="auto"/>
              </w:rPr>
            </w:pPr>
            <w:r>
              <w:rPr>
                <w:rFonts w:ascii="Arial" w:cs="Arial" w:eastAsia="Arial" w:hAnsi="Arial"/>
                <w:sz w:val="13"/>
                <w:szCs w:val="13"/>
                <w:color w:val="auto"/>
              </w:rPr>
              <w:t>US</w:t>
            </w:r>
          </w:p>
        </w:tc>
        <w:tc>
          <w:tcPr>
            <w:tcW w:w="700" w:type="dxa"/>
            <w:vAlign w:val="bottom"/>
            <w:vMerge w:val="restart"/>
          </w:tcPr>
          <w:p>
            <w:pPr>
              <w:ind w:left="160"/>
              <w:spacing w:after="0" w:line="135" w:lineRule="exact"/>
              <w:rPr>
                <w:sz w:val="20"/>
                <w:szCs w:val="20"/>
                <w:color w:val="auto"/>
              </w:rPr>
            </w:pPr>
            <w:r>
              <w:rPr>
                <w:rFonts w:ascii="Arial" w:cs="Arial" w:eastAsia="Arial" w:hAnsi="Arial"/>
                <w:sz w:val="13"/>
                <w:szCs w:val="13"/>
                <w:color w:val="auto"/>
              </w:rPr>
              <w:t>Pending</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8-Nov-13</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3"/>
              </w:rPr>
              <w:t>H23VI-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40" w:type="dxa"/>
            <w:vAlign w:val="bottom"/>
            <w:vMerge w:val="restart"/>
          </w:tcPr>
          <w:p>
            <w:pPr>
              <w:ind w:left="120"/>
              <w:spacing w:after="0" w:line="135" w:lineRule="exact"/>
              <w:rPr>
                <w:sz w:val="20"/>
                <w:szCs w:val="20"/>
                <w:color w:val="auto"/>
              </w:rPr>
            </w:pPr>
            <w:r>
              <w:rPr>
                <w:rFonts w:ascii="Arial" w:cs="Arial" w:eastAsia="Arial" w:hAnsi="Arial"/>
                <w:sz w:val="13"/>
                <w:szCs w:val="13"/>
                <w:color w:val="auto"/>
              </w:rPr>
              <w:t>US</w:t>
            </w:r>
          </w:p>
        </w:tc>
        <w:tc>
          <w:tcPr>
            <w:tcW w:w="700" w:type="dxa"/>
            <w:vAlign w:val="bottom"/>
            <w:vMerge w:val="restart"/>
          </w:tcPr>
          <w:p>
            <w:pPr>
              <w:ind w:left="160"/>
              <w:spacing w:after="0" w:line="135" w:lineRule="exact"/>
              <w:rPr>
                <w:sz w:val="20"/>
                <w:szCs w:val="20"/>
                <w:color w:val="auto"/>
              </w:rPr>
            </w:pPr>
            <w:r>
              <w:rPr>
                <w:rFonts w:ascii="Arial" w:cs="Arial" w:eastAsia="Arial" w:hAnsi="Arial"/>
                <w:sz w:val="13"/>
                <w:szCs w:val="13"/>
                <w:color w:val="auto"/>
              </w:rPr>
              <w:t>Pending</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3"/>
              </w:rPr>
              <w:t>8-Nov-13</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3"/>
              </w:rPr>
              <w:t>H24VI-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40" w:type="dxa"/>
            <w:vAlign w:val="bottom"/>
            <w:vMerge w:val="restart"/>
          </w:tcPr>
          <w:p>
            <w:pPr>
              <w:ind w:left="120"/>
              <w:spacing w:after="0" w:line="135" w:lineRule="exact"/>
              <w:rPr>
                <w:sz w:val="20"/>
                <w:szCs w:val="20"/>
                <w:color w:val="auto"/>
              </w:rPr>
            </w:pPr>
            <w:r>
              <w:rPr>
                <w:rFonts w:ascii="Arial" w:cs="Arial" w:eastAsia="Arial" w:hAnsi="Arial"/>
                <w:sz w:val="13"/>
                <w:szCs w:val="13"/>
                <w:color w:val="auto"/>
              </w:rPr>
              <w:t>US</w:t>
            </w:r>
          </w:p>
        </w:tc>
        <w:tc>
          <w:tcPr>
            <w:tcW w:w="700" w:type="dxa"/>
            <w:vAlign w:val="bottom"/>
            <w:vMerge w:val="restart"/>
          </w:tcPr>
          <w:p>
            <w:pPr>
              <w:ind w:left="160"/>
              <w:spacing w:after="0" w:line="135" w:lineRule="exact"/>
              <w:rPr>
                <w:sz w:val="20"/>
                <w:szCs w:val="20"/>
                <w:color w:val="auto"/>
              </w:rPr>
            </w:pPr>
            <w:r>
              <w:rPr>
                <w:rFonts w:ascii="Arial" w:cs="Arial" w:eastAsia="Arial" w:hAnsi="Arial"/>
                <w:sz w:val="13"/>
                <w:szCs w:val="13"/>
                <w:color w:val="auto"/>
              </w:rPr>
              <w:t>Pending</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2"/>
              </w:rPr>
              <w:t>12-Nov-13</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3"/>
              </w:rPr>
              <w:t>H25VI-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40" w:type="dxa"/>
            <w:vAlign w:val="bottom"/>
            <w:vMerge w:val="restart"/>
          </w:tcPr>
          <w:p>
            <w:pPr>
              <w:ind w:left="120"/>
              <w:spacing w:after="0" w:line="135" w:lineRule="exact"/>
              <w:rPr>
                <w:sz w:val="20"/>
                <w:szCs w:val="20"/>
                <w:color w:val="auto"/>
              </w:rPr>
            </w:pPr>
            <w:r>
              <w:rPr>
                <w:rFonts w:ascii="Arial" w:cs="Arial" w:eastAsia="Arial" w:hAnsi="Arial"/>
                <w:sz w:val="13"/>
                <w:szCs w:val="13"/>
                <w:color w:val="auto"/>
              </w:rPr>
              <w:t>US</w:t>
            </w:r>
          </w:p>
        </w:tc>
        <w:tc>
          <w:tcPr>
            <w:tcW w:w="700" w:type="dxa"/>
            <w:vAlign w:val="bottom"/>
            <w:vMerge w:val="restart"/>
          </w:tcPr>
          <w:p>
            <w:pPr>
              <w:ind w:left="160"/>
              <w:spacing w:after="0" w:line="135" w:lineRule="exact"/>
              <w:rPr>
                <w:sz w:val="20"/>
                <w:szCs w:val="20"/>
                <w:color w:val="auto"/>
              </w:rPr>
            </w:pPr>
            <w:r>
              <w:rPr>
                <w:rFonts w:ascii="Arial" w:cs="Arial" w:eastAsia="Arial" w:hAnsi="Arial"/>
                <w:sz w:val="13"/>
                <w:szCs w:val="13"/>
                <w:color w:val="auto"/>
              </w:rPr>
              <w:t>Pending</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2"/>
              </w:rPr>
              <w:t>12-Nov-13</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3"/>
              </w:rPr>
              <w:t>H26VI-</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40" w:type="dxa"/>
            <w:vAlign w:val="bottom"/>
            <w:vMerge w:val="restart"/>
          </w:tcPr>
          <w:p>
            <w:pPr>
              <w:ind w:left="120"/>
              <w:spacing w:after="0" w:line="135" w:lineRule="exact"/>
              <w:rPr>
                <w:sz w:val="20"/>
                <w:szCs w:val="20"/>
                <w:color w:val="auto"/>
              </w:rPr>
            </w:pPr>
            <w:r>
              <w:rPr>
                <w:rFonts w:ascii="Arial" w:cs="Arial" w:eastAsia="Arial" w:hAnsi="Arial"/>
                <w:sz w:val="13"/>
                <w:szCs w:val="13"/>
                <w:color w:val="auto"/>
              </w:rPr>
              <w:t>US</w:t>
            </w:r>
          </w:p>
        </w:tc>
        <w:tc>
          <w:tcPr>
            <w:tcW w:w="700" w:type="dxa"/>
            <w:vAlign w:val="bottom"/>
            <w:vMerge w:val="restart"/>
          </w:tcPr>
          <w:p>
            <w:pPr>
              <w:ind w:left="160"/>
              <w:spacing w:after="0" w:line="135" w:lineRule="exact"/>
              <w:rPr>
                <w:sz w:val="20"/>
                <w:szCs w:val="20"/>
                <w:color w:val="auto"/>
              </w:rPr>
            </w:pPr>
            <w:r>
              <w:rPr>
                <w:rFonts w:ascii="Arial" w:cs="Arial" w:eastAsia="Arial" w:hAnsi="Arial"/>
                <w:sz w:val="13"/>
                <w:szCs w:val="13"/>
                <w:color w:val="auto"/>
              </w:rPr>
              <w:t>Pending</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5"/>
              </w:rPr>
              <w:t>16-Jan-14</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2"/>
              </w:rPr>
              <w:t>US01</w:t>
            </w:r>
          </w:p>
        </w:tc>
        <w:tc>
          <w:tcPr>
            <w:tcW w:w="8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I1VL-US01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 Labs,</w:t>
            </w:r>
          </w:p>
        </w:tc>
        <w:tc>
          <w:tcPr>
            <w:tcW w:w="440" w:type="dxa"/>
            <w:vAlign w:val="bottom"/>
            <w:vMerge w:val="restart"/>
          </w:tcPr>
          <w:p>
            <w:pPr>
              <w:ind w:left="120"/>
              <w:spacing w:after="0"/>
              <w:rPr>
                <w:sz w:val="20"/>
                <w:szCs w:val="20"/>
                <w:color w:val="auto"/>
              </w:rPr>
            </w:pPr>
            <w:r>
              <w:rPr>
                <w:rFonts w:ascii="Arial" w:cs="Arial" w:eastAsia="Arial" w:hAnsi="Arial"/>
                <w:sz w:val="13"/>
                <w:szCs w:val="13"/>
                <w:color w:val="auto"/>
              </w:rPr>
              <w:t>US</w:t>
            </w:r>
          </w:p>
        </w:tc>
        <w:tc>
          <w:tcPr>
            <w:tcW w:w="700" w:type="dxa"/>
            <w:vAlign w:val="bottom"/>
            <w:vMerge w:val="restart"/>
          </w:tcPr>
          <w:p>
            <w:pPr>
              <w:ind w:left="160"/>
              <w:spacing w:after="0"/>
              <w:rPr>
                <w:sz w:val="20"/>
                <w:szCs w:val="20"/>
                <w:color w:val="auto"/>
              </w:rPr>
            </w:pPr>
            <w:r>
              <w:rPr>
                <w:rFonts w:ascii="Arial" w:cs="Arial" w:eastAsia="Arial" w:hAnsi="Arial"/>
                <w:sz w:val="13"/>
                <w:szCs w:val="13"/>
                <w:color w:val="auto"/>
              </w:rPr>
              <w:t>Pending</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5"/>
              </w:rPr>
              <w:t>4-Sep-13</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4"/>
              </w:rPr>
              <w:t>I9VL-US01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 Labs,</w:t>
            </w:r>
          </w:p>
        </w:tc>
        <w:tc>
          <w:tcPr>
            <w:tcW w:w="440" w:type="dxa"/>
            <w:vAlign w:val="bottom"/>
            <w:vMerge w:val="restart"/>
          </w:tcPr>
          <w:p>
            <w:pPr>
              <w:ind w:left="120"/>
              <w:spacing w:after="0"/>
              <w:rPr>
                <w:sz w:val="20"/>
                <w:szCs w:val="20"/>
                <w:color w:val="auto"/>
              </w:rPr>
            </w:pPr>
            <w:r>
              <w:rPr>
                <w:rFonts w:ascii="Arial" w:cs="Arial" w:eastAsia="Arial" w:hAnsi="Arial"/>
                <w:sz w:val="13"/>
                <w:szCs w:val="13"/>
                <w:color w:val="auto"/>
              </w:rPr>
              <w:t>US</w:t>
            </w:r>
          </w:p>
        </w:tc>
        <w:tc>
          <w:tcPr>
            <w:tcW w:w="700" w:type="dxa"/>
            <w:vAlign w:val="bottom"/>
            <w:vMerge w:val="restart"/>
          </w:tcPr>
          <w:p>
            <w:pPr>
              <w:ind w:left="160"/>
              <w:spacing w:after="0"/>
              <w:rPr>
                <w:sz w:val="20"/>
                <w:szCs w:val="20"/>
                <w:color w:val="auto"/>
              </w:rPr>
            </w:pPr>
            <w:r>
              <w:rPr>
                <w:rFonts w:ascii="Arial" w:cs="Arial" w:eastAsia="Arial" w:hAnsi="Arial"/>
                <w:sz w:val="13"/>
                <w:szCs w:val="13"/>
                <w:color w:val="auto"/>
              </w:rPr>
              <w:t>Pending</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0"/>
              </w:rPr>
              <w:t>8-Oct-13</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640" w:type="dxa"/>
            <w:vAlign w:val="bottom"/>
            <w:vMerge w:val="continue"/>
          </w:tcPr>
          <w:p>
            <w:pPr>
              <w:spacing w:after="0"/>
              <w:rPr>
                <w:sz w:val="8"/>
                <w:szCs w:val="8"/>
                <w:color w:val="auto"/>
              </w:rPr>
            </w:pPr>
          </w:p>
        </w:tc>
        <w:tc>
          <w:tcPr>
            <w:tcW w:w="8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5"/>
              </w:rPr>
              <w:t>Inc.</w:t>
            </w:r>
          </w:p>
        </w:tc>
        <w:tc>
          <w:tcPr>
            <w:tcW w:w="4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90"/>
              </w:rPr>
              <w:t>Vringo</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0" w:type="dxa"/>
            <w:vAlign w:val="bottom"/>
          </w:tcPr>
          <w:p>
            <w:pPr>
              <w:ind w:left="40"/>
              <w:spacing w:after="0" w:line="135" w:lineRule="exact"/>
              <w:rPr>
                <w:sz w:val="20"/>
                <w:szCs w:val="20"/>
                <w:color w:val="auto"/>
              </w:rPr>
            </w:pPr>
            <w:r>
              <w:rPr>
                <w:rFonts w:ascii="Arial" w:cs="Arial" w:eastAsia="Arial" w:hAnsi="Arial"/>
                <w:sz w:val="13"/>
                <w:szCs w:val="13"/>
                <w:color w:val="auto"/>
              </w:rPr>
              <w:t>IVI-US01</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9"/>
              </w:rPr>
              <w:t>Infrastructure,</w:t>
            </w:r>
          </w:p>
        </w:tc>
        <w:tc>
          <w:tcPr>
            <w:tcW w:w="440" w:type="dxa"/>
            <w:vAlign w:val="bottom"/>
          </w:tcPr>
          <w:p>
            <w:pPr>
              <w:ind w:left="120"/>
              <w:spacing w:after="0" w:line="135" w:lineRule="exact"/>
              <w:rPr>
                <w:sz w:val="20"/>
                <w:szCs w:val="20"/>
                <w:color w:val="auto"/>
              </w:rPr>
            </w:pPr>
            <w:r>
              <w:rPr>
                <w:rFonts w:ascii="Arial" w:cs="Arial" w:eastAsia="Arial" w:hAnsi="Arial"/>
                <w:sz w:val="13"/>
                <w:szCs w:val="13"/>
                <w:color w:val="auto"/>
              </w:rPr>
              <w:t>US</w:t>
            </w:r>
          </w:p>
        </w:tc>
        <w:tc>
          <w:tcPr>
            <w:tcW w:w="700" w:type="dxa"/>
            <w:vAlign w:val="bottom"/>
          </w:tcPr>
          <w:p>
            <w:pPr>
              <w:ind w:left="140"/>
              <w:spacing w:after="0" w:line="135" w:lineRule="exact"/>
              <w:rPr>
                <w:sz w:val="20"/>
                <w:szCs w:val="20"/>
                <w:color w:val="auto"/>
              </w:rPr>
            </w:pPr>
            <w:r>
              <w:rPr>
                <w:rFonts w:ascii="Arial" w:cs="Arial" w:eastAsia="Arial" w:hAnsi="Arial"/>
                <w:sz w:val="13"/>
                <w:szCs w:val="13"/>
                <w:color w:val="auto"/>
              </w:rPr>
              <w:t>Pending</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2"/>
              </w:rPr>
              <w:t>28-Aug-13</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Inc.</w:t>
            </w: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0" w:type="dxa"/>
            <w:vAlign w:val="bottom"/>
          </w:tcPr>
          <w:p>
            <w:pPr>
              <w:jc w:val="center"/>
              <w:spacing w:after="0"/>
              <w:rPr>
                <w:sz w:val="20"/>
                <w:szCs w:val="20"/>
                <w:color w:val="auto"/>
              </w:rPr>
            </w:pPr>
            <w:r>
              <w:rPr>
                <w:rFonts w:ascii="Arial" w:cs="Arial" w:eastAsia="Arial" w:hAnsi="Arial"/>
                <w:sz w:val="13"/>
                <w:szCs w:val="13"/>
                <w:color w:val="auto"/>
                <w:w w:val="85"/>
              </w:rPr>
              <w:t>J1IP-US01</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00" w:type="dxa"/>
            <w:vAlign w:val="bottom"/>
          </w:tcPr>
          <w:p>
            <w:pPr>
              <w:ind w:left="160"/>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90"/>
              </w:rPr>
              <w:t>4-Apr-96</w:t>
            </w:r>
          </w:p>
        </w:tc>
        <w:tc>
          <w:tcPr>
            <w:tcW w:w="740" w:type="dxa"/>
            <w:vAlign w:val="bottom"/>
          </w:tcPr>
          <w:p>
            <w:pPr>
              <w:ind w:left="140"/>
              <w:spacing w:after="0"/>
              <w:rPr>
                <w:sz w:val="20"/>
                <w:szCs w:val="20"/>
                <w:color w:val="auto"/>
              </w:rPr>
            </w:pPr>
            <w:r>
              <w:rPr>
                <w:rFonts w:ascii="Arial" w:cs="Arial" w:eastAsia="Arial" w:hAnsi="Arial"/>
                <w:sz w:val="13"/>
                <w:szCs w:val="13"/>
                <w:color w:val="auto"/>
                <w:w w:val="84"/>
              </w:rPr>
              <w:t>US5867799</w:t>
            </w:r>
          </w:p>
        </w:tc>
        <w:tc>
          <w:tcPr>
            <w:tcW w:w="0" w:type="dxa"/>
            <w:vAlign w:val="bottom"/>
          </w:tcPr>
          <w:p>
            <w:pPr>
              <w:spacing w:after="0"/>
              <w:rPr>
                <w:sz w:val="1"/>
                <w:szCs w:val="1"/>
                <w:color w:val="auto"/>
              </w:rPr>
            </w:pPr>
          </w:p>
        </w:tc>
      </w:tr>
      <w:tr>
        <w:trPr>
          <w:trHeight w:val="338"/>
        </w:trPr>
        <w:tc>
          <w:tcPr>
            <w:tcW w:w="640" w:type="dxa"/>
            <w:vAlign w:val="bottom"/>
          </w:tcPr>
          <w:p>
            <w:pPr>
              <w:jc w:val="center"/>
              <w:spacing w:after="0"/>
              <w:rPr>
                <w:sz w:val="20"/>
                <w:szCs w:val="20"/>
                <w:color w:val="auto"/>
              </w:rPr>
            </w:pPr>
            <w:r>
              <w:rPr>
                <w:rFonts w:ascii="Arial" w:cs="Arial" w:eastAsia="Arial" w:hAnsi="Arial"/>
                <w:sz w:val="13"/>
                <w:szCs w:val="13"/>
                <w:color w:val="auto"/>
                <w:w w:val="85"/>
              </w:rPr>
              <w:t>J1IP-US02</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00" w:type="dxa"/>
            <w:vAlign w:val="bottom"/>
          </w:tcPr>
          <w:p>
            <w:pPr>
              <w:ind w:left="160"/>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93"/>
              </w:rPr>
              <w:t>5-Nov-98</w:t>
            </w:r>
          </w:p>
        </w:tc>
        <w:tc>
          <w:tcPr>
            <w:tcW w:w="740" w:type="dxa"/>
            <w:vAlign w:val="bottom"/>
          </w:tcPr>
          <w:p>
            <w:pPr>
              <w:ind w:left="140"/>
              <w:spacing w:after="0"/>
              <w:rPr>
                <w:sz w:val="20"/>
                <w:szCs w:val="20"/>
                <w:color w:val="auto"/>
              </w:rPr>
            </w:pPr>
            <w:r>
              <w:rPr>
                <w:rFonts w:ascii="Arial" w:cs="Arial" w:eastAsia="Arial" w:hAnsi="Arial"/>
                <w:sz w:val="13"/>
                <w:szCs w:val="13"/>
                <w:color w:val="auto"/>
                <w:w w:val="84"/>
              </w:rPr>
              <w:t>US5983214</w:t>
            </w:r>
          </w:p>
        </w:tc>
        <w:tc>
          <w:tcPr>
            <w:tcW w:w="0" w:type="dxa"/>
            <w:vAlign w:val="bottom"/>
          </w:tcPr>
          <w:p>
            <w:pPr>
              <w:spacing w:after="0"/>
              <w:rPr>
                <w:sz w:val="1"/>
                <w:szCs w:val="1"/>
                <w:color w:val="auto"/>
              </w:rPr>
            </w:pPr>
          </w:p>
        </w:tc>
      </w:tr>
      <w:tr>
        <w:trPr>
          <w:trHeight w:val="338"/>
        </w:trPr>
        <w:tc>
          <w:tcPr>
            <w:tcW w:w="640" w:type="dxa"/>
            <w:vAlign w:val="bottom"/>
          </w:tcPr>
          <w:p>
            <w:pPr>
              <w:jc w:val="center"/>
              <w:spacing w:after="0"/>
              <w:rPr>
                <w:sz w:val="20"/>
                <w:szCs w:val="20"/>
                <w:color w:val="auto"/>
              </w:rPr>
            </w:pPr>
            <w:r>
              <w:rPr>
                <w:rFonts w:ascii="Arial" w:cs="Arial" w:eastAsia="Arial" w:hAnsi="Arial"/>
                <w:sz w:val="13"/>
                <w:szCs w:val="13"/>
                <w:color w:val="auto"/>
                <w:w w:val="85"/>
              </w:rPr>
              <w:t>J1IP-US03</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00" w:type="dxa"/>
            <w:vAlign w:val="bottom"/>
          </w:tcPr>
          <w:p>
            <w:pPr>
              <w:ind w:left="160"/>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92"/>
              </w:rPr>
              <w:t>19-Nov-98</w:t>
            </w:r>
          </w:p>
        </w:tc>
        <w:tc>
          <w:tcPr>
            <w:tcW w:w="740" w:type="dxa"/>
            <w:vAlign w:val="bottom"/>
          </w:tcPr>
          <w:p>
            <w:pPr>
              <w:ind w:left="140"/>
              <w:spacing w:after="0"/>
              <w:rPr>
                <w:sz w:val="20"/>
                <w:szCs w:val="20"/>
                <w:color w:val="auto"/>
              </w:rPr>
            </w:pPr>
            <w:r>
              <w:rPr>
                <w:rFonts w:ascii="Arial" w:cs="Arial" w:eastAsia="Arial" w:hAnsi="Arial"/>
                <w:sz w:val="13"/>
                <w:szCs w:val="13"/>
                <w:color w:val="auto"/>
                <w:w w:val="84"/>
              </w:rPr>
              <w:t>US6029161</w:t>
            </w:r>
          </w:p>
        </w:tc>
        <w:tc>
          <w:tcPr>
            <w:tcW w:w="0" w:type="dxa"/>
            <w:vAlign w:val="bottom"/>
          </w:tcPr>
          <w:p>
            <w:pPr>
              <w:spacing w:after="0"/>
              <w:rPr>
                <w:sz w:val="1"/>
                <w:szCs w:val="1"/>
                <w:color w:val="auto"/>
              </w:rPr>
            </w:pPr>
          </w:p>
        </w:tc>
      </w:tr>
      <w:tr>
        <w:trPr>
          <w:trHeight w:val="338"/>
        </w:trPr>
        <w:tc>
          <w:tcPr>
            <w:tcW w:w="640" w:type="dxa"/>
            <w:vAlign w:val="bottom"/>
          </w:tcPr>
          <w:p>
            <w:pPr>
              <w:jc w:val="center"/>
              <w:spacing w:after="0"/>
              <w:rPr>
                <w:sz w:val="20"/>
                <w:szCs w:val="20"/>
                <w:color w:val="auto"/>
              </w:rPr>
            </w:pPr>
            <w:r>
              <w:rPr>
                <w:rFonts w:ascii="Arial" w:cs="Arial" w:eastAsia="Arial" w:hAnsi="Arial"/>
                <w:sz w:val="13"/>
                <w:szCs w:val="13"/>
                <w:color w:val="auto"/>
                <w:w w:val="85"/>
              </w:rPr>
              <w:t>J1IP-US04</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00" w:type="dxa"/>
            <w:vAlign w:val="bottom"/>
          </w:tcPr>
          <w:p>
            <w:pPr>
              <w:ind w:left="160"/>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92"/>
              </w:rPr>
              <w:t>19-Nov-98</w:t>
            </w:r>
          </w:p>
        </w:tc>
        <w:tc>
          <w:tcPr>
            <w:tcW w:w="740" w:type="dxa"/>
            <w:vAlign w:val="bottom"/>
          </w:tcPr>
          <w:p>
            <w:pPr>
              <w:ind w:left="140"/>
              <w:spacing w:after="0"/>
              <w:rPr>
                <w:sz w:val="20"/>
                <w:szCs w:val="20"/>
                <w:color w:val="auto"/>
              </w:rPr>
            </w:pPr>
            <w:r>
              <w:rPr>
                <w:rFonts w:ascii="Arial" w:cs="Arial" w:eastAsia="Arial" w:hAnsi="Arial"/>
                <w:sz w:val="13"/>
                <w:szCs w:val="13"/>
                <w:color w:val="auto"/>
                <w:w w:val="84"/>
              </w:rPr>
              <w:t>US6308175</w:t>
            </w:r>
          </w:p>
        </w:tc>
        <w:tc>
          <w:tcPr>
            <w:tcW w:w="0" w:type="dxa"/>
            <w:vAlign w:val="bottom"/>
          </w:tcPr>
          <w:p>
            <w:pPr>
              <w:spacing w:after="0"/>
              <w:rPr>
                <w:sz w:val="1"/>
                <w:szCs w:val="1"/>
                <w:color w:val="auto"/>
              </w:rPr>
            </w:pPr>
          </w:p>
        </w:tc>
      </w:tr>
      <w:tr>
        <w:trPr>
          <w:trHeight w:val="338"/>
        </w:trPr>
        <w:tc>
          <w:tcPr>
            <w:tcW w:w="640" w:type="dxa"/>
            <w:vAlign w:val="bottom"/>
          </w:tcPr>
          <w:p>
            <w:pPr>
              <w:jc w:val="center"/>
              <w:spacing w:after="0"/>
              <w:rPr>
                <w:sz w:val="20"/>
                <w:szCs w:val="20"/>
                <w:color w:val="auto"/>
              </w:rPr>
            </w:pPr>
            <w:r>
              <w:rPr>
                <w:rFonts w:ascii="Arial" w:cs="Arial" w:eastAsia="Arial" w:hAnsi="Arial"/>
                <w:sz w:val="13"/>
                <w:szCs w:val="13"/>
                <w:color w:val="auto"/>
                <w:w w:val="85"/>
              </w:rPr>
              <w:t>J1IP-US05</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00" w:type="dxa"/>
            <w:vAlign w:val="bottom"/>
          </w:tcPr>
          <w:p>
            <w:pPr>
              <w:ind w:left="160"/>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3-Dec-98</w:t>
            </w:r>
          </w:p>
        </w:tc>
        <w:tc>
          <w:tcPr>
            <w:tcW w:w="740" w:type="dxa"/>
            <w:vAlign w:val="bottom"/>
          </w:tcPr>
          <w:p>
            <w:pPr>
              <w:ind w:left="140"/>
              <w:spacing w:after="0"/>
              <w:rPr>
                <w:sz w:val="20"/>
                <w:szCs w:val="20"/>
                <w:color w:val="auto"/>
              </w:rPr>
            </w:pPr>
            <w:r>
              <w:rPr>
                <w:rFonts w:ascii="Arial" w:cs="Arial" w:eastAsia="Arial" w:hAnsi="Arial"/>
                <w:sz w:val="13"/>
                <w:szCs w:val="13"/>
                <w:color w:val="auto"/>
                <w:w w:val="84"/>
              </w:rPr>
              <w:t>US6314420</w:t>
            </w:r>
          </w:p>
        </w:tc>
        <w:tc>
          <w:tcPr>
            <w:tcW w:w="0" w:type="dxa"/>
            <w:vAlign w:val="bottom"/>
          </w:tcPr>
          <w:p>
            <w:pPr>
              <w:spacing w:after="0"/>
              <w:rPr>
                <w:sz w:val="1"/>
                <w:szCs w:val="1"/>
                <w:color w:val="auto"/>
              </w:rPr>
            </w:pPr>
          </w:p>
        </w:tc>
      </w:tr>
      <w:tr>
        <w:trPr>
          <w:trHeight w:val="270"/>
        </w:trPr>
        <w:tc>
          <w:tcPr>
            <w:tcW w:w="640" w:type="dxa"/>
            <w:vAlign w:val="bottom"/>
          </w:tcPr>
          <w:p>
            <w:pPr>
              <w:jc w:val="center"/>
              <w:spacing w:after="0"/>
              <w:rPr>
                <w:sz w:val="20"/>
                <w:szCs w:val="20"/>
                <w:color w:val="auto"/>
              </w:rPr>
            </w:pPr>
            <w:r>
              <w:rPr>
                <w:rFonts w:ascii="Arial" w:cs="Arial" w:eastAsia="Arial" w:hAnsi="Arial"/>
                <w:sz w:val="13"/>
                <w:szCs w:val="13"/>
                <w:color w:val="auto"/>
                <w:w w:val="85"/>
              </w:rPr>
              <w:t>J1IP-US06</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00" w:type="dxa"/>
            <w:vAlign w:val="bottom"/>
          </w:tcPr>
          <w:p>
            <w:pPr>
              <w:ind w:left="160"/>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89"/>
              </w:rPr>
              <w:t>22-Oct-01</w:t>
            </w:r>
          </w:p>
        </w:tc>
        <w:tc>
          <w:tcPr>
            <w:tcW w:w="740" w:type="dxa"/>
            <w:vAlign w:val="bottom"/>
          </w:tcPr>
          <w:p>
            <w:pPr>
              <w:ind w:left="140"/>
              <w:spacing w:after="0"/>
              <w:rPr>
                <w:sz w:val="20"/>
                <w:szCs w:val="20"/>
                <w:color w:val="auto"/>
              </w:rPr>
            </w:pPr>
            <w:r>
              <w:rPr>
                <w:rFonts w:ascii="Arial" w:cs="Arial" w:eastAsia="Arial" w:hAnsi="Arial"/>
                <w:sz w:val="13"/>
                <w:szCs w:val="13"/>
                <w:color w:val="auto"/>
                <w:w w:val="84"/>
              </w:rPr>
              <w:t>US6775664</w:t>
            </w:r>
          </w:p>
        </w:tc>
        <w:tc>
          <w:tcPr>
            <w:tcW w:w="0" w:type="dxa"/>
            <w:vAlign w:val="bottom"/>
          </w:tcPr>
          <w:p>
            <w:pPr>
              <w:spacing w:after="0"/>
              <w:rPr>
                <w:sz w:val="1"/>
                <w:szCs w:val="1"/>
                <w:color w:val="auto"/>
              </w:rPr>
            </w:pPr>
          </w:p>
        </w:tc>
      </w:tr>
      <w:tr>
        <w:trPr>
          <w:trHeight w:val="270"/>
        </w:trPr>
        <w:tc>
          <w:tcPr>
            <w:tcW w:w="640" w:type="dxa"/>
            <w:vAlign w:val="bottom"/>
          </w:tcPr>
          <w:p>
            <w:pPr>
              <w:jc w:val="center"/>
              <w:spacing w:after="0"/>
              <w:rPr>
                <w:sz w:val="20"/>
                <w:szCs w:val="20"/>
                <w:color w:val="auto"/>
              </w:rPr>
            </w:pPr>
            <w:r>
              <w:rPr>
                <w:rFonts w:ascii="Arial" w:cs="Arial" w:eastAsia="Arial" w:hAnsi="Arial"/>
                <w:sz w:val="13"/>
                <w:szCs w:val="13"/>
                <w:color w:val="auto"/>
                <w:w w:val="85"/>
              </w:rPr>
              <w:t>J2IP-US01</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00" w:type="dxa"/>
            <w:vAlign w:val="bottom"/>
          </w:tcPr>
          <w:p>
            <w:pPr>
              <w:ind w:left="160"/>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90"/>
              </w:rPr>
              <w:t>9-Mar-01</w:t>
            </w:r>
          </w:p>
        </w:tc>
        <w:tc>
          <w:tcPr>
            <w:tcW w:w="740" w:type="dxa"/>
            <w:vAlign w:val="bottom"/>
          </w:tcPr>
          <w:p>
            <w:pPr>
              <w:ind w:left="140"/>
              <w:spacing w:after="0"/>
              <w:rPr>
                <w:sz w:val="20"/>
                <w:szCs w:val="20"/>
                <w:color w:val="auto"/>
              </w:rPr>
            </w:pPr>
            <w:r>
              <w:rPr>
                <w:rFonts w:ascii="Arial" w:cs="Arial" w:eastAsia="Arial" w:hAnsi="Arial"/>
                <w:sz w:val="13"/>
                <w:szCs w:val="13"/>
                <w:color w:val="auto"/>
                <w:w w:val="84"/>
              </w:rPr>
              <w:t>US7228493</w:t>
            </w:r>
          </w:p>
        </w:tc>
        <w:tc>
          <w:tcPr>
            <w:tcW w:w="0" w:type="dxa"/>
            <w:vAlign w:val="bottom"/>
          </w:tcPr>
          <w:p>
            <w:pPr>
              <w:spacing w:after="0"/>
              <w:rPr>
                <w:sz w:val="1"/>
                <w:szCs w:val="1"/>
                <w:color w:val="auto"/>
              </w:rPr>
            </w:pPr>
          </w:p>
        </w:tc>
      </w:tr>
      <w:tr>
        <w:trPr>
          <w:trHeight w:val="270"/>
        </w:trPr>
        <w:tc>
          <w:tcPr>
            <w:tcW w:w="640" w:type="dxa"/>
            <w:vAlign w:val="bottom"/>
          </w:tcPr>
          <w:p>
            <w:pPr>
              <w:jc w:val="center"/>
              <w:spacing w:after="0"/>
              <w:rPr>
                <w:sz w:val="20"/>
                <w:szCs w:val="20"/>
                <w:color w:val="auto"/>
              </w:rPr>
            </w:pPr>
            <w:r>
              <w:rPr>
                <w:rFonts w:ascii="Arial" w:cs="Arial" w:eastAsia="Arial" w:hAnsi="Arial"/>
                <w:sz w:val="13"/>
                <w:szCs w:val="13"/>
                <w:color w:val="auto"/>
                <w:w w:val="85"/>
              </w:rPr>
              <w:t>J3IP-US01</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00" w:type="dxa"/>
            <w:vAlign w:val="bottom"/>
          </w:tcPr>
          <w:p>
            <w:pPr>
              <w:ind w:left="160"/>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85"/>
              </w:rPr>
              <w:t>2-Jun-00</w:t>
            </w:r>
          </w:p>
        </w:tc>
        <w:tc>
          <w:tcPr>
            <w:tcW w:w="740" w:type="dxa"/>
            <w:vAlign w:val="bottom"/>
          </w:tcPr>
          <w:p>
            <w:pPr>
              <w:ind w:left="140"/>
              <w:spacing w:after="0"/>
              <w:rPr>
                <w:sz w:val="20"/>
                <w:szCs w:val="20"/>
                <w:color w:val="auto"/>
              </w:rPr>
            </w:pPr>
            <w:r>
              <w:rPr>
                <w:rFonts w:ascii="Arial" w:cs="Arial" w:eastAsia="Arial" w:hAnsi="Arial"/>
                <w:sz w:val="13"/>
                <w:szCs w:val="13"/>
                <w:color w:val="auto"/>
                <w:w w:val="84"/>
              </w:rPr>
              <w:t>US6640218</w:t>
            </w:r>
          </w:p>
        </w:tc>
        <w:tc>
          <w:tcPr>
            <w:tcW w:w="0" w:type="dxa"/>
            <w:vAlign w:val="bottom"/>
          </w:tcPr>
          <w:p>
            <w:pPr>
              <w:spacing w:after="0"/>
              <w:rPr>
                <w:sz w:val="1"/>
                <w:szCs w:val="1"/>
                <w:color w:val="auto"/>
              </w:rPr>
            </w:pPr>
          </w:p>
        </w:tc>
      </w:tr>
      <w:tr>
        <w:trPr>
          <w:trHeight w:val="270"/>
        </w:trPr>
        <w:tc>
          <w:tcPr>
            <w:tcW w:w="640" w:type="dxa"/>
            <w:vAlign w:val="bottom"/>
          </w:tcPr>
          <w:p>
            <w:pPr>
              <w:jc w:val="center"/>
              <w:spacing w:after="0"/>
              <w:rPr>
                <w:sz w:val="20"/>
                <w:szCs w:val="20"/>
                <w:color w:val="auto"/>
              </w:rPr>
            </w:pPr>
            <w:r>
              <w:rPr>
                <w:rFonts w:ascii="Arial" w:cs="Arial" w:eastAsia="Arial" w:hAnsi="Arial"/>
                <w:sz w:val="13"/>
                <w:szCs w:val="13"/>
                <w:color w:val="auto"/>
                <w:w w:val="89"/>
              </w:rPr>
              <w:t>K1IP-US01</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00" w:type="dxa"/>
            <w:vAlign w:val="bottom"/>
          </w:tcPr>
          <w:p>
            <w:pPr>
              <w:ind w:left="160"/>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92"/>
              </w:rPr>
              <w:t>15-Aug-03</w:t>
            </w:r>
          </w:p>
        </w:tc>
        <w:tc>
          <w:tcPr>
            <w:tcW w:w="740" w:type="dxa"/>
            <w:vAlign w:val="bottom"/>
          </w:tcPr>
          <w:p>
            <w:pPr>
              <w:ind w:left="140"/>
              <w:spacing w:after="0"/>
              <w:rPr>
                <w:sz w:val="20"/>
                <w:szCs w:val="20"/>
                <w:color w:val="auto"/>
              </w:rPr>
            </w:pPr>
            <w:r>
              <w:rPr>
                <w:rFonts w:ascii="Arial" w:cs="Arial" w:eastAsia="Arial" w:hAnsi="Arial"/>
                <w:sz w:val="13"/>
                <w:szCs w:val="13"/>
                <w:color w:val="auto"/>
                <w:w w:val="84"/>
              </w:rPr>
              <w:t>US7987233</w:t>
            </w:r>
          </w:p>
        </w:tc>
        <w:tc>
          <w:tcPr>
            <w:tcW w:w="0" w:type="dxa"/>
            <w:vAlign w:val="bottom"/>
          </w:tcPr>
          <w:p>
            <w:pPr>
              <w:spacing w:after="0"/>
              <w:rPr>
                <w:sz w:val="1"/>
                <w:szCs w:val="1"/>
                <w:color w:val="auto"/>
              </w:rPr>
            </w:pPr>
          </w:p>
        </w:tc>
      </w:tr>
      <w:tr>
        <w:trPr>
          <w:trHeight w:val="270"/>
        </w:trPr>
        <w:tc>
          <w:tcPr>
            <w:tcW w:w="640" w:type="dxa"/>
            <w:vAlign w:val="bottom"/>
          </w:tcPr>
          <w:p>
            <w:pPr>
              <w:jc w:val="center"/>
              <w:spacing w:after="0"/>
              <w:rPr>
                <w:sz w:val="20"/>
                <w:szCs w:val="20"/>
                <w:color w:val="auto"/>
              </w:rPr>
            </w:pPr>
            <w:r>
              <w:rPr>
                <w:rFonts w:ascii="Arial" w:cs="Arial" w:eastAsia="Arial" w:hAnsi="Arial"/>
                <w:sz w:val="13"/>
                <w:szCs w:val="13"/>
                <w:color w:val="auto"/>
                <w:w w:val="89"/>
              </w:rPr>
              <w:t>K2IP-US01</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00" w:type="dxa"/>
            <w:vAlign w:val="bottom"/>
          </w:tcPr>
          <w:p>
            <w:pPr>
              <w:ind w:left="160"/>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85"/>
              </w:rPr>
              <w:t>6-Jun-02</w:t>
            </w:r>
          </w:p>
        </w:tc>
        <w:tc>
          <w:tcPr>
            <w:tcW w:w="740" w:type="dxa"/>
            <w:vAlign w:val="bottom"/>
          </w:tcPr>
          <w:p>
            <w:pPr>
              <w:ind w:left="140"/>
              <w:spacing w:after="0"/>
              <w:rPr>
                <w:sz w:val="20"/>
                <w:szCs w:val="20"/>
                <w:color w:val="auto"/>
              </w:rPr>
            </w:pPr>
            <w:r>
              <w:rPr>
                <w:rFonts w:ascii="Arial" w:cs="Arial" w:eastAsia="Arial" w:hAnsi="Arial"/>
                <w:sz w:val="13"/>
                <w:szCs w:val="13"/>
                <w:color w:val="auto"/>
                <w:w w:val="84"/>
              </w:rPr>
              <w:t>US7356563</w:t>
            </w:r>
          </w:p>
        </w:tc>
        <w:tc>
          <w:tcPr>
            <w:tcW w:w="0" w:type="dxa"/>
            <w:vAlign w:val="bottom"/>
          </w:tcPr>
          <w:p>
            <w:pPr>
              <w:spacing w:after="0"/>
              <w:rPr>
                <w:sz w:val="1"/>
                <w:szCs w:val="1"/>
                <w:color w:val="auto"/>
              </w:rPr>
            </w:pPr>
          </w:p>
        </w:tc>
      </w:tr>
      <w:tr>
        <w:trPr>
          <w:trHeight w:val="270"/>
        </w:trPr>
        <w:tc>
          <w:tcPr>
            <w:tcW w:w="640" w:type="dxa"/>
            <w:vAlign w:val="bottom"/>
          </w:tcPr>
          <w:p>
            <w:pPr>
              <w:jc w:val="center"/>
              <w:spacing w:after="0"/>
              <w:rPr>
                <w:sz w:val="20"/>
                <w:szCs w:val="20"/>
                <w:color w:val="auto"/>
              </w:rPr>
            </w:pPr>
            <w:r>
              <w:rPr>
                <w:rFonts w:ascii="Arial" w:cs="Arial" w:eastAsia="Arial" w:hAnsi="Arial"/>
                <w:sz w:val="13"/>
                <w:szCs w:val="13"/>
                <w:color w:val="auto"/>
                <w:w w:val="89"/>
              </w:rPr>
              <w:t>K3IP-US01</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00" w:type="dxa"/>
            <w:vAlign w:val="bottom"/>
          </w:tcPr>
          <w:p>
            <w:pPr>
              <w:ind w:left="160"/>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90"/>
              </w:rPr>
              <w:t>9-May-05</w:t>
            </w:r>
          </w:p>
        </w:tc>
        <w:tc>
          <w:tcPr>
            <w:tcW w:w="740" w:type="dxa"/>
            <w:vAlign w:val="bottom"/>
          </w:tcPr>
          <w:p>
            <w:pPr>
              <w:ind w:left="140"/>
              <w:spacing w:after="0"/>
              <w:rPr>
                <w:sz w:val="20"/>
                <w:szCs w:val="20"/>
                <w:color w:val="auto"/>
              </w:rPr>
            </w:pPr>
            <w:r>
              <w:rPr>
                <w:rFonts w:ascii="Arial" w:cs="Arial" w:eastAsia="Arial" w:hAnsi="Arial"/>
                <w:sz w:val="13"/>
                <w:szCs w:val="13"/>
                <w:color w:val="auto"/>
                <w:w w:val="84"/>
              </w:rPr>
              <w:t>US7716359</w:t>
            </w:r>
          </w:p>
        </w:tc>
        <w:tc>
          <w:tcPr>
            <w:tcW w:w="0" w:type="dxa"/>
            <w:vAlign w:val="bottom"/>
          </w:tcPr>
          <w:p>
            <w:pPr>
              <w:spacing w:after="0"/>
              <w:rPr>
                <w:sz w:val="1"/>
                <w:szCs w:val="1"/>
                <w:color w:val="auto"/>
              </w:rPr>
            </w:pPr>
          </w:p>
        </w:tc>
      </w:tr>
      <w:tr>
        <w:trPr>
          <w:trHeight w:val="270"/>
        </w:trPr>
        <w:tc>
          <w:tcPr>
            <w:tcW w:w="640" w:type="dxa"/>
            <w:vAlign w:val="bottom"/>
          </w:tcPr>
          <w:p>
            <w:pPr>
              <w:jc w:val="center"/>
              <w:spacing w:after="0"/>
              <w:rPr>
                <w:sz w:val="20"/>
                <w:szCs w:val="20"/>
                <w:color w:val="auto"/>
              </w:rPr>
            </w:pPr>
            <w:r>
              <w:rPr>
                <w:rFonts w:ascii="Arial" w:cs="Arial" w:eastAsia="Arial" w:hAnsi="Arial"/>
                <w:sz w:val="13"/>
                <w:szCs w:val="13"/>
                <w:color w:val="auto"/>
                <w:w w:val="89"/>
              </w:rPr>
              <w:t>K4IP-US01</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00" w:type="dxa"/>
            <w:vAlign w:val="bottom"/>
          </w:tcPr>
          <w:p>
            <w:pPr>
              <w:ind w:left="160"/>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85"/>
              </w:rPr>
              <w:t>12-Jan-00</w:t>
            </w:r>
          </w:p>
        </w:tc>
        <w:tc>
          <w:tcPr>
            <w:tcW w:w="740" w:type="dxa"/>
            <w:vAlign w:val="bottom"/>
          </w:tcPr>
          <w:p>
            <w:pPr>
              <w:ind w:left="140"/>
              <w:spacing w:after="0"/>
              <w:rPr>
                <w:sz w:val="20"/>
                <w:szCs w:val="20"/>
                <w:color w:val="auto"/>
              </w:rPr>
            </w:pPr>
            <w:r>
              <w:rPr>
                <w:rFonts w:ascii="Arial" w:cs="Arial" w:eastAsia="Arial" w:hAnsi="Arial"/>
                <w:sz w:val="13"/>
                <w:szCs w:val="13"/>
                <w:color w:val="auto"/>
                <w:w w:val="84"/>
              </w:rPr>
              <w:t>US6556983</w:t>
            </w:r>
          </w:p>
        </w:tc>
        <w:tc>
          <w:tcPr>
            <w:tcW w:w="0" w:type="dxa"/>
            <w:vAlign w:val="bottom"/>
          </w:tcPr>
          <w:p>
            <w:pPr>
              <w:spacing w:after="0"/>
              <w:rPr>
                <w:sz w:val="1"/>
                <w:szCs w:val="1"/>
                <w:color w:val="auto"/>
              </w:rPr>
            </w:pPr>
          </w:p>
        </w:tc>
      </w:tr>
      <w:tr>
        <w:trPr>
          <w:trHeight w:val="270"/>
        </w:trPr>
        <w:tc>
          <w:tcPr>
            <w:tcW w:w="640" w:type="dxa"/>
            <w:vAlign w:val="bottom"/>
          </w:tcPr>
          <w:p>
            <w:pPr>
              <w:jc w:val="center"/>
              <w:spacing w:after="0"/>
              <w:rPr>
                <w:sz w:val="20"/>
                <w:szCs w:val="20"/>
                <w:color w:val="auto"/>
              </w:rPr>
            </w:pPr>
            <w:r>
              <w:rPr>
                <w:rFonts w:ascii="Arial" w:cs="Arial" w:eastAsia="Arial" w:hAnsi="Arial"/>
                <w:sz w:val="13"/>
                <w:szCs w:val="13"/>
                <w:color w:val="auto"/>
                <w:w w:val="89"/>
              </w:rPr>
              <w:t>K5IP-US01</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00" w:type="dxa"/>
            <w:vAlign w:val="bottom"/>
          </w:tcPr>
          <w:p>
            <w:pPr>
              <w:ind w:left="160"/>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86"/>
              </w:rPr>
              <w:t>11-Feb-05</w:t>
            </w:r>
          </w:p>
        </w:tc>
        <w:tc>
          <w:tcPr>
            <w:tcW w:w="740" w:type="dxa"/>
            <w:vAlign w:val="bottom"/>
          </w:tcPr>
          <w:p>
            <w:pPr>
              <w:ind w:left="140"/>
              <w:spacing w:after="0"/>
              <w:rPr>
                <w:sz w:val="20"/>
                <w:szCs w:val="20"/>
                <w:color w:val="auto"/>
              </w:rPr>
            </w:pPr>
            <w:r>
              <w:rPr>
                <w:rFonts w:ascii="Arial" w:cs="Arial" w:eastAsia="Arial" w:hAnsi="Arial"/>
                <w:sz w:val="13"/>
                <w:szCs w:val="13"/>
                <w:color w:val="auto"/>
                <w:w w:val="84"/>
              </w:rPr>
              <w:t>US7477247</w:t>
            </w:r>
          </w:p>
        </w:tc>
        <w:tc>
          <w:tcPr>
            <w:tcW w:w="0" w:type="dxa"/>
            <w:vAlign w:val="bottom"/>
          </w:tcPr>
          <w:p>
            <w:pPr>
              <w:spacing w:after="0"/>
              <w:rPr>
                <w:sz w:val="1"/>
                <w:szCs w:val="1"/>
                <w:color w:val="auto"/>
              </w:rPr>
            </w:pPr>
          </w:p>
        </w:tc>
      </w:tr>
      <w:tr>
        <w:trPr>
          <w:trHeight w:val="270"/>
        </w:trPr>
        <w:tc>
          <w:tcPr>
            <w:tcW w:w="640" w:type="dxa"/>
            <w:vAlign w:val="bottom"/>
          </w:tcPr>
          <w:p>
            <w:pPr>
              <w:jc w:val="center"/>
              <w:spacing w:after="0"/>
              <w:rPr>
                <w:sz w:val="20"/>
                <w:szCs w:val="20"/>
                <w:color w:val="auto"/>
              </w:rPr>
            </w:pPr>
            <w:r>
              <w:rPr>
                <w:rFonts w:ascii="Arial" w:cs="Arial" w:eastAsia="Arial" w:hAnsi="Arial"/>
                <w:sz w:val="13"/>
                <w:szCs w:val="13"/>
                <w:color w:val="auto"/>
                <w:w w:val="89"/>
              </w:rPr>
              <w:t>K6IP-US01</w:t>
            </w:r>
          </w:p>
        </w:tc>
        <w:tc>
          <w:tcPr>
            <w:tcW w:w="880" w:type="dxa"/>
            <w:vAlign w:val="bottom"/>
          </w:tcPr>
          <w:p>
            <w:pPr>
              <w:jc w:val="center"/>
              <w:spacing w:after="0"/>
              <w:rPr>
                <w:sz w:val="20"/>
                <w:szCs w:val="20"/>
                <w:color w:val="auto"/>
              </w:rPr>
            </w:pPr>
            <w:r>
              <w:rPr>
                <w:rFonts w:ascii="Arial" w:cs="Arial" w:eastAsia="Arial" w:hAnsi="Arial"/>
                <w:sz w:val="13"/>
                <w:szCs w:val="13"/>
                <w:color w:val="auto"/>
                <w:w w:val="89"/>
              </w:rPr>
              <w:t>I/P Engine</w:t>
            </w:r>
          </w:p>
        </w:tc>
        <w:tc>
          <w:tcPr>
            <w:tcW w:w="440" w:type="dxa"/>
            <w:vAlign w:val="bottom"/>
          </w:tcPr>
          <w:p>
            <w:pPr>
              <w:ind w:left="120"/>
              <w:spacing w:after="0"/>
              <w:rPr>
                <w:sz w:val="20"/>
                <w:szCs w:val="20"/>
                <w:color w:val="auto"/>
              </w:rPr>
            </w:pPr>
            <w:r>
              <w:rPr>
                <w:rFonts w:ascii="Arial" w:cs="Arial" w:eastAsia="Arial" w:hAnsi="Arial"/>
                <w:sz w:val="13"/>
                <w:szCs w:val="13"/>
                <w:color w:val="auto"/>
              </w:rPr>
              <w:t>US</w:t>
            </w:r>
          </w:p>
        </w:tc>
        <w:tc>
          <w:tcPr>
            <w:tcW w:w="700" w:type="dxa"/>
            <w:vAlign w:val="bottom"/>
          </w:tcPr>
          <w:p>
            <w:pPr>
              <w:ind w:left="160"/>
              <w:spacing w:after="0"/>
              <w:rPr>
                <w:sz w:val="20"/>
                <w:szCs w:val="20"/>
                <w:color w:val="auto"/>
              </w:rPr>
            </w:pPr>
            <w:r>
              <w:rPr>
                <w:rFonts w:ascii="Arial" w:cs="Arial" w:eastAsia="Arial" w:hAnsi="Arial"/>
                <w:sz w:val="13"/>
                <w:szCs w:val="13"/>
                <w:color w:val="auto"/>
              </w:rPr>
              <w:t>Granted</w:t>
            </w:r>
          </w:p>
        </w:tc>
        <w:tc>
          <w:tcPr>
            <w:tcW w:w="820" w:type="dxa"/>
            <w:vAlign w:val="bottom"/>
          </w:tcPr>
          <w:p>
            <w:pPr>
              <w:jc w:val="center"/>
              <w:spacing w:after="0"/>
              <w:rPr>
                <w:sz w:val="20"/>
                <w:szCs w:val="20"/>
                <w:color w:val="auto"/>
              </w:rPr>
            </w:pPr>
            <w:r>
              <w:rPr>
                <w:rFonts w:ascii="Arial" w:cs="Arial" w:eastAsia="Arial" w:hAnsi="Arial"/>
                <w:sz w:val="13"/>
                <w:szCs w:val="13"/>
                <w:color w:val="auto"/>
                <w:w w:val="85"/>
              </w:rPr>
              <w:t>3-Sep-99</w:t>
            </w:r>
          </w:p>
        </w:tc>
        <w:tc>
          <w:tcPr>
            <w:tcW w:w="740" w:type="dxa"/>
            <w:vAlign w:val="bottom"/>
          </w:tcPr>
          <w:p>
            <w:pPr>
              <w:ind w:left="140"/>
              <w:spacing w:after="0"/>
              <w:rPr>
                <w:sz w:val="20"/>
                <w:szCs w:val="20"/>
                <w:color w:val="auto"/>
              </w:rPr>
            </w:pPr>
            <w:r>
              <w:rPr>
                <w:rFonts w:ascii="Arial" w:cs="Arial" w:eastAsia="Arial" w:hAnsi="Arial"/>
                <w:sz w:val="13"/>
                <w:szCs w:val="13"/>
                <w:color w:val="auto"/>
                <w:w w:val="84"/>
              </w:rPr>
              <w:t>US6327073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Systems And Methods For Mobile-To-Mobile Reporting And Heat Map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92710</wp:posOffset>
            </wp:positionV>
            <wp:extent cx="7246620" cy="2571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180" w:lineRule="exact"/>
        <w:rPr>
          <w:sz w:val="20"/>
          <w:szCs w:val="20"/>
          <w:color w:val="auto"/>
        </w:rPr>
      </w:pPr>
    </w:p>
    <w:p>
      <w:pPr>
        <w:ind w:right="160"/>
        <w:spacing w:after="0" w:line="237" w:lineRule="auto"/>
        <w:rPr>
          <w:sz w:val="20"/>
          <w:szCs w:val="20"/>
          <w:color w:val="auto"/>
        </w:rPr>
      </w:pPr>
      <w:r>
        <w:rPr>
          <w:rFonts w:ascii="Arial" w:cs="Arial" w:eastAsia="Arial" w:hAnsi="Arial"/>
          <w:sz w:val="13"/>
          <w:szCs w:val="13"/>
          <w:color w:val="auto"/>
        </w:rPr>
        <w:t>Method And Apparatus For Delivering An Advertisement To A User Using A Radio Frequency Identification Tag</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Method And Apparatus For Recording Location Specific Activity Of A 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85725</wp:posOffset>
            </wp:positionV>
            <wp:extent cx="7246620" cy="2571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Apparatus And Method For A Smart Mail Box</w:t>
      </w:r>
    </w:p>
    <w:p>
      <w:pPr>
        <w:spacing w:after="0" w:line="188" w:lineRule="exact"/>
        <w:rPr>
          <w:sz w:val="20"/>
          <w:szCs w:val="20"/>
          <w:color w:val="auto"/>
        </w:rPr>
      </w:pPr>
    </w:p>
    <w:p>
      <w:pPr>
        <w:ind w:right="400"/>
        <w:spacing w:after="0" w:line="237" w:lineRule="auto"/>
        <w:rPr>
          <w:sz w:val="20"/>
          <w:szCs w:val="20"/>
          <w:color w:val="auto"/>
        </w:rPr>
      </w:pPr>
      <w:r>
        <w:rPr>
          <w:rFonts w:ascii="Arial" w:cs="Arial" w:eastAsia="Arial" w:hAnsi="Arial"/>
          <w:sz w:val="13"/>
          <w:szCs w:val="13"/>
          <w:color w:val="auto"/>
        </w:rPr>
        <w:t>User-Assisted Publishing Of Event Information To Social Media Or A Personal Distribution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36195</wp:posOffset>
            </wp:positionV>
            <wp:extent cx="7246620" cy="2571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90" w:lineRule="exact"/>
        <w:rPr>
          <w:sz w:val="20"/>
          <w:szCs w:val="20"/>
          <w:color w:val="auto"/>
        </w:rPr>
      </w:pPr>
    </w:p>
    <w:p>
      <w:pPr>
        <w:ind w:right="540"/>
        <w:spacing w:after="0" w:line="237" w:lineRule="auto"/>
        <w:rPr>
          <w:sz w:val="20"/>
          <w:szCs w:val="20"/>
          <w:color w:val="auto"/>
        </w:rPr>
      </w:pPr>
      <w:r>
        <w:rPr>
          <w:rFonts w:ascii="Arial" w:cs="Arial" w:eastAsia="Arial" w:hAnsi="Arial"/>
          <w:sz w:val="13"/>
          <w:szCs w:val="13"/>
          <w:color w:val="auto"/>
        </w:rPr>
        <w:t>Predictive Use Of Events And Location Details Based On Calendar Or Other Information Available In The Device</w:t>
      </w:r>
    </w:p>
    <w:p>
      <w:pPr>
        <w:spacing w:after="0" w:line="110" w:lineRule="exact"/>
        <w:rPr>
          <w:sz w:val="20"/>
          <w:szCs w:val="20"/>
          <w:color w:val="auto"/>
        </w:rPr>
      </w:pPr>
    </w:p>
    <w:p>
      <w:pPr>
        <w:ind w:right="240"/>
        <w:spacing w:after="0" w:line="237" w:lineRule="auto"/>
        <w:rPr>
          <w:sz w:val="20"/>
          <w:szCs w:val="20"/>
          <w:color w:val="auto"/>
        </w:rPr>
      </w:pPr>
      <w:r>
        <w:rPr>
          <w:rFonts w:ascii="Arial" w:cs="Arial" w:eastAsia="Arial" w:hAnsi="Arial"/>
          <w:sz w:val="13"/>
          <w:szCs w:val="13"/>
          <w:color w:val="auto"/>
        </w:rPr>
        <w:t>Systems And Methods For Phone Orientation Compass And Zone Guidance Using Directional Antennas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36195</wp:posOffset>
            </wp:positionV>
            <wp:extent cx="7246620" cy="1714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0" w:lineRule="exact"/>
        <w:rPr>
          <w:sz w:val="20"/>
          <w:szCs w:val="20"/>
          <w:color w:val="auto"/>
        </w:rPr>
      </w:pPr>
    </w:p>
    <w:p>
      <w:pPr>
        <w:ind w:right="1440"/>
        <w:spacing w:after="0" w:line="576" w:lineRule="auto"/>
        <w:rPr>
          <w:sz w:val="20"/>
          <w:szCs w:val="20"/>
          <w:color w:val="auto"/>
        </w:rPr>
      </w:pPr>
      <w:r>
        <w:rPr>
          <w:rFonts w:ascii="Arial" w:cs="Arial" w:eastAsia="Arial" w:hAnsi="Arial"/>
          <w:sz w:val="11"/>
          <w:szCs w:val="11"/>
          <w:color w:val="auto"/>
        </w:rPr>
        <w:t>Video Reaction Group Messaging With Group Viewing Mobile Device And Method For Using The Mobile Device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-75565</wp:posOffset>
            </wp:positionV>
            <wp:extent cx="7246620" cy="2571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Cognitive Network Topologies</w:t>
      </w:r>
    </w:p>
    <w:p>
      <w:pPr>
        <w:spacing w:after="0" w:line="121" w:lineRule="exact"/>
        <w:rPr>
          <w:sz w:val="20"/>
          <w:szCs w:val="20"/>
          <w:color w:val="auto"/>
        </w:rPr>
      </w:pPr>
    </w:p>
    <w:p>
      <w:pPr>
        <w:ind w:right="220"/>
        <w:spacing w:after="0" w:line="224" w:lineRule="auto"/>
        <w:rPr>
          <w:sz w:val="20"/>
          <w:szCs w:val="20"/>
          <w:color w:val="auto"/>
        </w:rPr>
      </w:pPr>
      <w:r>
        <w:rPr>
          <w:rFonts w:ascii="Arial" w:cs="Arial" w:eastAsia="Arial" w:hAnsi="Arial"/>
          <w:sz w:val="13"/>
          <w:szCs w:val="13"/>
          <w:color w:val="auto"/>
        </w:rPr>
        <w:t>An Information System And Method For Filtering A Massive Flow Of Information Entities To Meet User Information Classification Needs</w:t>
      </w:r>
    </w:p>
    <w:p>
      <w:pPr>
        <w:spacing w:after="0" w:line="1" w:lineRule="exact"/>
        <w:rPr>
          <w:sz w:val="20"/>
          <w:szCs w:val="20"/>
          <w:color w:val="auto"/>
        </w:rPr>
      </w:pPr>
    </w:p>
    <w:p>
      <w:pPr>
        <w:ind w:right="80"/>
        <w:spacing w:after="0" w:line="216" w:lineRule="auto"/>
        <w:rPr>
          <w:sz w:val="20"/>
          <w:szCs w:val="20"/>
          <w:color w:val="auto"/>
        </w:rPr>
      </w:pPr>
      <w:r>
        <w:rPr>
          <w:rFonts w:ascii="Arial" w:cs="Arial" w:eastAsia="Arial" w:hAnsi="Arial"/>
          <w:sz w:val="13"/>
          <w:szCs w:val="13"/>
          <w:color w:val="auto"/>
        </w:rPr>
        <w:t>System And Method Employing Individual User Content-Based Data And User Collaborative Feedback Data To Evaluate The Content Of An Information Entity In A Large Information Communication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-252730</wp:posOffset>
            </wp:positionV>
            <wp:extent cx="7246620" cy="2571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jc w:val="both"/>
        <w:spacing w:after="0" w:line="216" w:lineRule="auto"/>
        <w:rPr>
          <w:sz w:val="20"/>
          <w:szCs w:val="20"/>
          <w:color w:val="auto"/>
        </w:rPr>
      </w:pPr>
      <w:r>
        <w:rPr>
          <w:rFonts w:ascii="Arial" w:cs="Arial" w:eastAsia="Arial" w:hAnsi="Arial"/>
          <w:sz w:val="13"/>
          <w:szCs w:val="13"/>
          <w:color w:val="auto"/>
        </w:rPr>
        <w:t>Multi-Level Mindpool System Especially Adapted To Provide Collaborative Filter Data For A Large Scale Information Filtering System</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3"/>
          <w:szCs w:val="13"/>
          <w:color w:val="auto"/>
        </w:rPr>
        <w:t>Integrated Collaborative/Content-Based Filter Structure Employing Selectively Shared, Content-Based Profile Data To Evaluate Information Entities In A Massive Information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-262255</wp:posOffset>
            </wp:positionV>
            <wp:extent cx="7246620" cy="2571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Collaborative/Adaptive Search Engine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Information Filter System And Method For Integrated Content-Based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-82550</wp:posOffset>
            </wp:positionV>
            <wp:extent cx="7246620" cy="1714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Collaborative/Adaptive Feedback Queries</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Serving Content To A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42545</wp:posOffset>
            </wp:positionV>
            <wp:extent cx="7246620" cy="1714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Estimating The Usefulness Of An Item In A Collection Of Information</w:t>
      </w:r>
    </w:p>
    <w:p>
      <w:pPr>
        <w:spacing w:after="0" w:line="53" w:lineRule="exact"/>
        <w:rPr>
          <w:sz w:val="20"/>
          <w:szCs w:val="20"/>
          <w:color w:val="auto"/>
        </w:rPr>
      </w:pPr>
    </w:p>
    <w:p>
      <w:pPr>
        <w:ind w:right="120"/>
        <w:spacing w:after="0" w:line="237" w:lineRule="auto"/>
        <w:rPr>
          <w:sz w:val="20"/>
          <w:szCs w:val="20"/>
          <w:color w:val="auto"/>
        </w:rPr>
      </w:pPr>
      <w:r>
        <w:rPr>
          <w:rFonts w:ascii="Arial" w:cs="Arial" w:eastAsia="Arial" w:hAnsi="Arial"/>
          <w:sz w:val="13"/>
          <w:szCs w:val="13"/>
          <w:color w:val="auto"/>
        </w:rPr>
        <w:t>System And Methods For Facilitating A Multiparty Communications Session With A Dynamically Designated Session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-6350</wp:posOffset>
            </wp:positionV>
            <wp:extent cx="7246620" cy="1714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Methods For Annotating A Collaborative Application Display</w:t>
      </w:r>
    </w:p>
    <w:p>
      <w:pPr>
        <w:spacing w:after="0" w:line="53" w:lineRule="exact"/>
        <w:rPr>
          <w:sz w:val="20"/>
          <w:szCs w:val="20"/>
          <w:color w:val="auto"/>
        </w:rPr>
      </w:pPr>
    </w:p>
    <w:p>
      <w:pPr>
        <w:ind w:right="100"/>
        <w:spacing w:after="0" w:line="224" w:lineRule="auto"/>
        <w:rPr>
          <w:sz w:val="20"/>
          <w:szCs w:val="20"/>
          <w:color w:val="auto"/>
        </w:rPr>
      </w:pPr>
      <w:r>
        <w:rPr>
          <w:rFonts w:ascii="Arial" w:cs="Arial" w:eastAsia="Arial" w:hAnsi="Arial"/>
          <w:sz w:val="13"/>
          <w:szCs w:val="13"/>
          <w:color w:val="auto"/>
        </w:rPr>
        <w:t>Method And System For Providing An Interface Through Which An Application Can Access A Media Stack</w:t>
      </w:r>
    </w:p>
    <w:p>
      <w:pPr>
        <w:spacing w:after="0" w:line="1" w:lineRule="exact"/>
        <w:rPr>
          <w:sz w:val="20"/>
          <w:szCs w:val="20"/>
          <w:color w:val="auto"/>
        </w:rPr>
      </w:pPr>
    </w:p>
    <w:p>
      <w:pPr>
        <w:ind w:right="280"/>
        <w:spacing w:after="0" w:line="229" w:lineRule="auto"/>
        <w:rPr>
          <w:sz w:val="20"/>
          <w:szCs w:val="20"/>
          <w:color w:val="auto"/>
        </w:rPr>
      </w:pPr>
      <w:r>
        <w:rPr>
          <w:rFonts w:ascii="Arial" w:cs="Arial" w:eastAsia="Arial" w:hAnsi="Arial"/>
          <w:sz w:val="13"/>
          <w:szCs w:val="13"/>
          <w:color w:val="auto"/>
        </w:rPr>
        <w:t>Methods And Apparatus For Finding Semantic Information, Such As Usage Logs, Similar To A Query Using A Pattern Lattice Data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-177800</wp:posOffset>
            </wp:positionV>
            <wp:extent cx="7246620" cy="1714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right="1500"/>
        <w:spacing w:after="0" w:line="450" w:lineRule="auto"/>
        <w:rPr>
          <w:sz w:val="20"/>
          <w:szCs w:val="20"/>
          <w:color w:val="auto"/>
        </w:rPr>
      </w:pPr>
      <w:r>
        <w:rPr>
          <w:rFonts w:ascii="Arial" w:cs="Arial" w:eastAsia="Arial" w:hAnsi="Arial"/>
          <w:sz w:val="13"/>
          <w:szCs w:val="13"/>
          <w:color w:val="auto"/>
        </w:rPr>
        <w:t>Detecting Attachment Or Removal Of A Display Monitor Opto-Electronic Shutter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-217805</wp:posOffset>
            </wp:positionV>
            <wp:extent cx="7246620" cy="1714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365125</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Misra Saswat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Mohamud Ismail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Hamalainen Jari [US]</w:t>
      </w:r>
    </w:p>
    <w:p>
      <w:pPr>
        <w:spacing w:after="0" w:line="188" w:lineRule="exact"/>
        <w:rPr>
          <w:sz w:val="20"/>
          <w:szCs w:val="20"/>
          <w:color w:val="auto"/>
        </w:rPr>
      </w:pPr>
    </w:p>
    <w:p>
      <w:pPr>
        <w:ind w:right="220"/>
        <w:spacing w:after="0" w:line="237" w:lineRule="auto"/>
        <w:rPr>
          <w:sz w:val="20"/>
          <w:szCs w:val="20"/>
          <w:color w:val="auto"/>
        </w:rPr>
      </w:pPr>
      <w:r>
        <w:rPr>
          <w:rFonts w:ascii="Arial" w:cs="Arial" w:eastAsia="Arial" w:hAnsi="Arial"/>
          <w:sz w:val="13"/>
          <w:szCs w:val="13"/>
          <w:color w:val="auto"/>
        </w:rPr>
        <w:t>Fraccaroli Federico [US] Misra Saswat [US]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Andrew K. Lang, Steven Spencer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Andrew K. Lang, Steven Spencer</w:t>
      </w:r>
    </w:p>
    <w:p>
      <w:pPr>
        <w:spacing w:after="0" w:line="132" w:lineRule="exact"/>
        <w:rPr>
          <w:sz w:val="20"/>
          <w:szCs w:val="20"/>
          <w:color w:val="auto"/>
        </w:rPr>
      </w:pPr>
    </w:p>
    <w:p>
      <w:pPr>
        <w:ind w:right="200"/>
        <w:spacing w:after="0" w:line="320" w:lineRule="auto"/>
        <w:rPr>
          <w:sz w:val="20"/>
          <w:szCs w:val="20"/>
          <w:color w:val="auto"/>
        </w:rPr>
      </w:pPr>
      <w:r>
        <w:rPr>
          <w:rFonts w:ascii="Arial" w:cs="Arial" w:eastAsia="Arial" w:hAnsi="Arial"/>
          <w:sz w:val="11"/>
          <w:szCs w:val="11"/>
          <w:color w:val="auto"/>
        </w:rPr>
        <w:t>Saswat Mitra, Andrew K. Lang, Jason Charkow, David Cohen</w:t>
      </w: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Andrew K. Lang, Donald M. Kosak</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Andrew K. Lang, Donald M. Kosak</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Andrew K. Lang, Donald M. Kosak</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Andrew K. Lang, Donald M. Kosak</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Andrew K. Lang, Donald M. Kosak</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Andrew K. Lang, Donald M. Kosak</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Donald M. Kosak, Michael J.</w:t>
      </w:r>
    </w:p>
    <w:p>
      <w:pPr>
        <w:spacing w:after="0" w:line="216" w:lineRule="auto"/>
        <w:rPr>
          <w:sz w:val="20"/>
          <w:szCs w:val="20"/>
          <w:color w:val="auto"/>
        </w:rPr>
      </w:pPr>
      <w:r>
        <w:rPr>
          <w:rFonts w:ascii="Arial" w:cs="Arial" w:eastAsia="Arial" w:hAnsi="Arial"/>
          <w:sz w:val="13"/>
          <w:szCs w:val="13"/>
          <w:color w:val="auto"/>
        </w:rPr>
        <w:t>Witbrock</w:t>
      </w:r>
    </w:p>
    <w:p>
      <w:pPr>
        <w:spacing w:after="0" w:line="235" w:lineRule="auto"/>
        <w:rPr>
          <w:sz w:val="20"/>
          <w:szCs w:val="20"/>
          <w:color w:val="auto"/>
        </w:rPr>
      </w:pPr>
      <w:r>
        <w:rPr>
          <w:rFonts w:ascii="Arial" w:cs="Arial" w:eastAsia="Arial" w:hAnsi="Arial"/>
          <w:sz w:val="12"/>
          <w:szCs w:val="12"/>
          <w:color w:val="auto"/>
        </w:rPr>
        <w:t>Andrew R. Golding, Douglas H.</w:t>
      </w:r>
    </w:p>
    <w:p>
      <w:pPr>
        <w:spacing w:after="0"/>
        <w:rPr>
          <w:sz w:val="20"/>
          <w:szCs w:val="20"/>
          <w:color w:val="auto"/>
        </w:rPr>
      </w:pPr>
      <w:r>
        <w:rPr>
          <w:rFonts w:ascii="Arial" w:cs="Arial" w:eastAsia="Arial" w:hAnsi="Arial"/>
          <w:sz w:val="13"/>
          <w:szCs w:val="13"/>
          <w:color w:val="auto"/>
        </w:rPr>
        <w:t>Beeferman</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Robert John Osborne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Ivan J. Leichtling</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Dalibor Kukoleca, Wei Zhong</w:t>
      </w:r>
    </w:p>
    <w:p>
      <w:pPr>
        <w:spacing w:after="0" w:line="53" w:lineRule="exact"/>
        <w:rPr>
          <w:sz w:val="20"/>
          <w:szCs w:val="20"/>
          <w:color w:val="auto"/>
        </w:rPr>
      </w:pPr>
    </w:p>
    <w:p>
      <w:pPr>
        <w:ind w:right="300"/>
        <w:spacing w:after="0" w:line="320" w:lineRule="auto"/>
        <w:rPr>
          <w:sz w:val="20"/>
          <w:szCs w:val="20"/>
          <w:color w:val="auto"/>
        </w:rPr>
      </w:pPr>
      <w:r>
        <w:rPr>
          <w:rFonts w:ascii="Arial" w:cs="Arial" w:eastAsia="Arial" w:hAnsi="Arial"/>
          <w:sz w:val="11"/>
          <w:szCs w:val="11"/>
          <w:color w:val="auto"/>
        </w:rPr>
        <w:t>Steven Altschuler, David V. Ingerman, Lani Wu, Lei Zhao</w:t>
      </w:r>
    </w:p>
    <w:p>
      <w:pPr>
        <w:spacing w:after="0"/>
        <w:rPr>
          <w:sz w:val="20"/>
          <w:szCs w:val="20"/>
          <w:color w:val="auto"/>
        </w:rPr>
      </w:pPr>
      <w:r>
        <w:rPr>
          <w:rFonts w:ascii="Arial" w:cs="Arial" w:eastAsia="Arial" w:hAnsi="Arial"/>
          <w:sz w:val="13"/>
          <w:szCs w:val="13"/>
          <w:color w:val="auto"/>
        </w:rPr>
        <w:t>Dawson Yee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Giora Yahav, Gavriel J. Iddan</w:t>
      </w:r>
    </w:p>
    <w:p>
      <w:pPr>
        <w:spacing w:after="0" w:line="20" w:lineRule="exact"/>
        <w:rPr>
          <w:sz w:val="20"/>
          <w:szCs w:val="20"/>
          <w:color w:val="auto"/>
        </w:rPr>
      </w:pPr>
      <w:r>
        <w:rPr>
          <w:sz w:val="20"/>
          <w:szCs w:val="20"/>
          <w:color w:val="auto"/>
        </w:rPr>
        <w:br w:type="column"/>
      </w:r>
    </w:p>
    <w:p>
      <w:pPr>
        <w:jc w:val="center"/>
        <w:spacing w:after="0" w:line="216" w:lineRule="auto"/>
        <w:rPr>
          <w:sz w:val="20"/>
          <w:szCs w:val="20"/>
          <w:color w:val="auto"/>
        </w:rPr>
      </w:pPr>
      <w:r>
        <w:rPr>
          <w:rFonts w:ascii="Arial" w:cs="Arial" w:eastAsia="Arial" w:hAnsi="Arial"/>
          <w:sz w:val="13"/>
          <w:szCs w:val="13"/>
          <w:color w:val="auto"/>
        </w:rPr>
        <w:t>Not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jc w:val="center"/>
        <w:spacing w:after="0" w:line="230" w:lineRule="auto"/>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jc w:val="center"/>
        <w:spacing w:after="0" w:line="230" w:lineRule="auto"/>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jc w:val="center"/>
        <w:spacing w:after="0" w:line="230" w:lineRule="auto"/>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jc w:val="center"/>
        <w:spacing w:after="0" w:line="230" w:lineRule="auto"/>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jc w:val="center"/>
        <w:spacing w:after="0" w:line="230" w:lineRule="auto"/>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jc w:val="center"/>
        <w:spacing w:after="0" w:line="230" w:lineRule="auto"/>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jc w:val="center"/>
        <w:spacing w:after="0" w:line="230" w:lineRule="auto"/>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jc w:val="center"/>
        <w:spacing w:after="0" w:line="230" w:lineRule="auto"/>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jc w:val="center"/>
        <w:spacing w:after="0" w:line="230" w:lineRule="auto"/>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p>
      <w:pPr>
        <w:jc w:val="center"/>
        <w:spacing w:after="0" w:line="230" w:lineRule="auto"/>
        <w:rPr>
          <w:sz w:val="20"/>
          <w:szCs w:val="20"/>
          <w:color w:val="auto"/>
        </w:rPr>
      </w:pPr>
      <w:r>
        <w:rPr>
          <w:rFonts w:ascii="Arial" w:cs="Arial" w:eastAsia="Arial" w:hAnsi="Arial"/>
          <w:sz w:val="13"/>
          <w:szCs w:val="13"/>
          <w:color w:val="auto"/>
        </w:rPr>
        <w:t>Not</w:t>
      </w:r>
    </w:p>
    <w:p>
      <w:pPr>
        <w:jc w:val="center"/>
        <w:spacing w:after="0"/>
        <w:rPr>
          <w:sz w:val="20"/>
          <w:szCs w:val="20"/>
          <w:color w:val="auto"/>
        </w:rPr>
      </w:pPr>
      <w:r>
        <w:rPr>
          <w:rFonts w:ascii="Arial" w:cs="Arial" w:eastAsia="Arial" w:hAnsi="Arial"/>
          <w:sz w:val="11"/>
          <w:szCs w:val="11"/>
          <w:color w:val="auto"/>
        </w:rPr>
        <w:t>Declared</w:t>
      </w:r>
    </w:p>
    <w:sectPr>
      <w:pgSz w:w="11900" w:h="16838" w:orient="portrait"/>
      <w:cols w:equalWidth="0" w:num="4">
        <w:col w:w="4220" w:space="220"/>
        <w:col w:w="4420" w:space="80"/>
        <w:col w:w="1800" w:space="120"/>
        <w:col w:w="460"/>
      </w:cols>
      <w:pgMar w:left="280" w:top="11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x"/>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lowerRoman"/>
      <w:start w:val="4"/>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lowerRoman"/>
      <w:start w:val="4"/>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lowerLetter"/>
      <w:start w:val="2"/>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1)"/>
      <w:numFmt w:val="lowerLetter"/>
      <w:start w:val="1"/>
    </w:lvl>
  </w:abstractNum>
  <w:abstractNum w:abstractNumId="16">
    <w:nsid w:val="725A06FB"/>
    <w:multiLevelType w:val="hybridMultilevel"/>
    <w:lvl w:ilvl="0">
      <w:lvlJc w:val="left"/>
      <w:lvlText w:val="(%1)"/>
      <w:numFmt w:val="lowerLetter"/>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decimal"/>
      <w:start w:val="2"/>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3"/>
    </w:lvl>
  </w:abstractNum>
  <w:abstractNum w:abstractNumId="26">
    <w:nsid w:val="684A481A"/>
    <w:multiLevelType w:val="hybridMultilevel"/>
    <w:lvl w:ilvl="0">
      <w:lvlJc w:val="left"/>
      <w:lvlText w:val="%1."/>
      <w:numFmt w:val="decimal"/>
      <w:start w:val="1"/>
    </w:lvl>
    <w:lvl w:ilvl="1">
      <w:lvlJc w:val="left"/>
      <w:lvlText w:val="(%2)"/>
      <w:numFmt w:val="lowerLetter"/>
      <w:start w:val="1"/>
    </w:lvl>
  </w:abstractNum>
  <w:abstractNum w:abstractNumId="27">
    <w:nsid w:val="579478FE"/>
    <w:multiLevelType w:val="hybridMultilevel"/>
    <w:lvl w:ilvl="0">
      <w:lvlJc w:val="left"/>
      <w:lvlText w:val="%1."/>
      <w:numFmt w:val="decimal"/>
      <w:start w:val="2"/>
    </w:lvl>
  </w:abstractNum>
  <w:abstractNum w:abstractNumId="28">
    <w:nsid w:val="749ABB43"/>
    <w:multiLevelType w:val="hybridMultilevel"/>
    <w:lvl w:ilvl="0">
      <w:lvlJc w:val="left"/>
      <w:lvlText w:val="%1."/>
      <w:numFmt w:val="decimal"/>
      <w:start w:val="7"/>
    </w:lvl>
    <w:lvl w:ilvl="1">
      <w:lvlJc w:val="left"/>
      <w:lvlText w:val="(%2)"/>
      <w:numFmt w:val="lowerLetter"/>
      <w:start w:val="1"/>
    </w:lvl>
  </w:abstractNum>
  <w:abstractNum w:abstractNumId="29">
    <w:nsid w:val="3DC240FB"/>
    <w:multiLevelType w:val="hybridMultilevel"/>
    <w:lvl w:ilvl="0">
      <w:lvlJc w:val="left"/>
      <w:lvlText w:val="(%1)"/>
      <w:numFmt w:val="lowerLetter"/>
      <w:start w:val="4"/>
    </w:lvl>
    <w:lvl w:ilvl="1">
      <w:lvlJc w:val="left"/>
      <w:lvlText w:val="(%2)"/>
      <w:numFmt w:val="decimal"/>
      <w:start w:val="1"/>
    </w:lvl>
  </w:abstractNum>
  <w:abstractNum w:abstractNumId="30">
    <w:nsid w:val="1BA026FA"/>
    <w:multiLevelType w:val="hybridMultilevel"/>
    <w:lvl w:ilvl="0">
      <w:lvlJc w:val="left"/>
      <w:lvlText w:val="%1"/>
      <w:numFmt w:val="lowerLetter"/>
      <w:start w:val="1"/>
    </w:lvl>
    <w:lvl w:ilvl="1">
      <w:lvlJc w:val="left"/>
      <w:lvlText w:val="(%2)"/>
      <w:numFmt w:val="decimal"/>
      <w:start w:val="2"/>
    </w:lvl>
  </w:abstractNum>
  <w:abstractNum w:abstractNumId="31">
    <w:nsid w:val="79A1DEAA"/>
    <w:multiLevelType w:val="hybridMultilevel"/>
    <w:lvl w:ilvl="0">
      <w:lvlJc w:val="left"/>
      <w:lvlText w:val="(%1)"/>
      <w:numFmt w:val="lowerLetter"/>
      <w:start w:val="5"/>
    </w:lvl>
    <w:lvl w:ilvl="1">
      <w:lvlJc w:val="left"/>
      <w:lvlText w:val="(%2)"/>
      <w:numFmt w:val="decimal"/>
      <w:start w:val="1"/>
    </w:lvl>
  </w:abstractNum>
  <w:abstractNum w:abstractNumId="32">
    <w:nsid w:val="75C6C33A"/>
    <w:multiLevelType w:val="hybridMultilevel"/>
    <w:lvl w:ilvl="0">
      <w:lvlJc w:val="left"/>
      <w:lvlText w:val="(%1)"/>
      <w:numFmt w:val="decimal"/>
      <w:start w:val="2"/>
    </w:lvl>
    <w:lvl w:ilvl="1">
      <w:lvlJc w:val="left"/>
      <w:lvlText w:val="(%2)"/>
      <w:numFmt w:val="upperLetter"/>
      <w:start w:val="1"/>
    </w:lvl>
  </w:abstractNum>
  <w:abstractNum w:abstractNumId="33">
    <w:nsid w:val="12E685FB"/>
    <w:multiLevelType w:val="hybridMultilevel"/>
    <w:lvl w:ilvl="0">
      <w:lvlJc w:val="left"/>
      <w:lvlText w:val="%1"/>
      <w:numFmt w:val="lowerLetter"/>
      <w:start w:val="1"/>
    </w:lvl>
    <w:lvl w:ilvl="1">
      <w:lvlJc w:val="left"/>
      <w:lvlText w:val="(%2)"/>
      <w:numFmt w:val="upperLetter"/>
      <w:start w:val="3"/>
    </w:lvl>
  </w:abstractNum>
  <w:abstractNum w:abstractNumId="34">
    <w:nsid w:val="70C6A529"/>
    <w:multiLevelType w:val="hybridMultilevel"/>
    <w:lvl w:ilvl="0">
      <w:lvlJc w:val="left"/>
      <w:lvlText w:val="(%1)"/>
      <w:numFmt w:val="lowerLetter"/>
      <w:start w:val="6"/>
    </w:lvl>
    <w:lvl w:ilvl="1">
      <w:lvlJc w:val="left"/>
      <w:lvlText w:val="%2"/>
      <w:numFmt w:val="upperLetter"/>
      <w:start w:val="1"/>
    </w:lvl>
  </w:abstractNum>
  <w:abstractNum w:abstractNumId="35">
    <w:nsid w:val="520EEDD1"/>
    <w:multiLevelType w:val="hybridMultilevel"/>
    <w:lvl w:ilvl="0">
      <w:lvlJc w:val="left"/>
      <w:lvlText w:val="(%1)"/>
      <w:numFmt w:val="lowerLetter"/>
      <w:start w:val="8"/>
    </w:lvl>
  </w:abstractNum>
  <w:abstractNum w:abstractNumId="36">
    <w:nsid w:val="374A3FE6"/>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37">
    <w:nsid w:val="4F4EF005"/>
    <w:multiLevelType w:val="hybridMultilevel"/>
    <w:lvl w:ilvl="0">
      <w:lvlJc w:val="left"/>
      <w:lvlText w:val="%1."/>
      <w:numFmt w:val="decimal"/>
      <w:start w:val="8"/>
    </w:lvl>
    <w:lvl w:ilvl="1">
      <w:lvlJc w:val="left"/>
      <w:lvlText w:val="%2"/>
      <w:numFmt w:val="lowerRoman"/>
      <w:start w:val="1"/>
    </w:lvl>
    <w:lvl w:ilvl="2">
      <w:lvlJc w:val="left"/>
      <w:lvlText w:val="%3"/>
      <w:numFmt w:val="decimal"/>
      <w:start w:val="1"/>
    </w:lvl>
  </w:abstractNum>
  <w:abstractNum w:abstractNumId="38">
    <w:nsid w:val="23F9C13C"/>
    <w:multiLevelType w:val="hybridMultilevel"/>
    <w:lvl w:ilvl="0">
      <w:lvlJc w:val="left"/>
      <w:lvlText w:val="(%1)"/>
      <w:numFmt w:val="lowerLetter"/>
      <w:start w:val="1"/>
    </w:lvl>
    <w:lvl w:ilvl="1">
      <w:lvlJc w:val="left"/>
      <w:lvlText w:val="(%2)"/>
      <w:numFmt w:val="decimal"/>
      <w:start w:val="1"/>
    </w:lvl>
  </w:abstractNum>
  <w:abstractNum w:abstractNumId="39">
    <w:nsid w:val="649BB77C"/>
    <w:multiLevelType w:val="hybridMultilevel"/>
    <w:lvl w:ilvl="0">
      <w:lvlJc w:val="left"/>
      <w:lvlText w:val="(%1)"/>
      <w:numFmt w:val="lowerLetter"/>
      <w:start w:val="3"/>
    </w:lvl>
  </w:abstractNum>
  <w:abstractNum w:abstractNumId="40">
    <w:nsid w:val="275AC794"/>
    <w:multiLevelType w:val="hybridMultilevel"/>
    <w:lvl w:ilvl="0">
      <w:lvlJc w:val="left"/>
      <w:lvlText w:val="(%1)"/>
      <w:numFmt w:val="lowerLetter"/>
      <w:start w:val="6"/>
    </w:lvl>
  </w:abstractNum>
  <w:abstractNum w:abstractNumId="41">
    <w:nsid w:val="39386575"/>
    <w:multiLevelType w:val="hybridMultilevel"/>
    <w:lvl w:ilvl="0">
      <w:lvlJc w:val="left"/>
      <w:lvlText w:val="%1."/>
      <w:numFmt w:val="decimal"/>
      <w:start w:val="9"/>
    </w:lvl>
    <w:lvl w:ilvl="1">
      <w:lvlJc w:val="left"/>
      <w:lvlText w:val="(%2)"/>
      <w:numFmt w:val="lowerLetter"/>
      <w:start w:val="1"/>
    </w:lvl>
  </w:abstractNum>
  <w:abstractNum w:abstractNumId="42">
    <w:nsid w:val="1CF10FD8"/>
    <w:multiLevelType w:val="hybridMultilevel"/>
    <w:lvl w:ilvl="0">
      <w:lvlJc w:val="left"/>
      <w:lvlText w:val="(%1)"/>
      <w:numFmt w:val="lowerLetter"/>
      <w:start w:val="4"/>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1)"/>
      <w:numFmt w:val="lowerLetter"/>
      <w:start w:val="1"/>
    </w:lvl>
  </w:abstractNum>
  <w:abstractNum w:abstractNumId="45">
    <w:nsid w:val="47398C89"/>
    <w:multiLevelType w:val="hybridMultilevel"/>
    <w:lvl w:ilvl="0">
      <w:lvlJc w:val="left"/>
      <w:lvlText w:val="(%1)"/>
      <w:numFmt w:val="lowerLetter"/>
      <w:start w:val="3"/>
    </w:lvl>
  </w:abstractNum>
  <w:abstractNum w:abstractNumId="46">
    <w:nsid w:val="354FE9F9"/>
    <w:multiLevelType w:val="hybridMultilevel"/>
    <w:lvl w:ilvl="0">
      <w:lvlJc w:val="left"/>
      <w:lvlText w:val="%1."/>
      <w:numFmt w:val="decimal"/>
      <w:start w:val="3"/>
    </w:lvl>
  </w:abstractNum>
  <w:abstractNum w:abstractNumId="47">
    <w:nsid w:val="15B5AF5C"/>
    <w:multiLevelType w:val="hybridMultilevel"/>
    <w:lvl w:ilvl="0">
      <w:lvlJc w:val="left"/>
      <w:lvlText w:val="(%1)"/>
      <w:numFmt w:val="lowerLetter"/>
      <w:start w:val="1"/>
    </w:lvl>
  </w:abstractNum>
  <w:abstractNum w:abstractNumId="48">
    <w:nsid w:val="741226BB"/>
    <w:multiLevelType w:val="hybridMultilevel"/>
    <w:lvl w:ilvl="0">
      <w:lvlJc w:val="left"/>
      <w:lvlText w:val="(%1)"/>
      <w:numFmt w:val="lowerLetter"/>
      <w:start w:val="3"/>
    </w:lvl>
  </w:abstractNum>
  <w:abstractNum w:abstractNumId="49">
    <w:nsid w:val="D34B6A8"/>
    <w:multiLevelType w:val="hybridMultilevel"/>
    <w:lvl w:ilvl="0">
      <w:lvlJc w:val="left"/>
      <w:lvlText w:val="(%1)"/>
      <w:numFmt w:val="lowerRoman"/>
      <w:start w:val="2"/>
    </w:lvl>
  </w:abstractNum>
  <w:abstractNum w:abstractNumId="50">
    <w:nsid w:val="10233C99"/>
    <w:multiLevelType w:val="hybridMultilevel"/>
    <w:lvl w:ilvl="0">
      <w:lvlJc w:val="left"/>
      <w:lvlText w:val="(%1)"/>
      <w:numFmt w:val="lowerLetter"/>
      <w:start w:val="4"/>
    </w:lvl>
  </w:abstractNum>
  <w:abstractNum w:abstractNumId="51">
    <w:nsid w:val="3F6AB60F"/>
    <w:multiLevelType w:val="hybridMultilevel"/>
    <w:lvl w:ilvl="0">
      <w:lvlJc w:val="left"/>
      <w:lvlText w:val="%1."/>
      <w:numFmt w:val="decimal"/>
      <w:start w:val="4"/>
    </w:lvl>
  </w:abstractNum>
  <w:abstractNum w:abstractNumId="52">
    <w:nsid w:val="61574095"/>
    <w:multiLevelType w:val="hybridMultilevel"/>
    <w:lvl w:ilvl="0">
      <w:lvlJc w:val="left"/>
      <w:lvlText w:val="(%1)"/>
      <w:numFmt w:val="lowerLetter"/>
      <w:start w:val="1"/>
    </w:lvl>
  </w:abstractNum>
  <w:abstractNum w:abstractNumId="53">
    <w:nsid w:val="7E0C57B1"/>
    <w:multiLevelType w:val="hybridMultilevel"/>
    <w:lvl w:ilvl="0">
      <w:lvlJc w:val="left"/>
      <w:lvlText w:val="%1"/>
      <w:numFmt w:val="decimal"/>
      <w:start w:val="1"/>
    </w:lvl>
    <w:lvl w:ilvl="1">
      <w:lvlJc w:val="left"/>
      <w:lvlText w:val="(%2)"/>
      <w:numFmt w:val="lowerLetter"/>
      <w:start w:val="4"/>
    </w:lvl>
  </w:abstractNum>
  <w:abstractNum w:abstractNumId="54">
    <w:nsid w:val="77AE35EB"/>
    <w:multiLevelType w:val="hybridMultilevel"/>
    <w:lvl w:ilvl="0">
      <w:lvlJc w:val="left"/>
      <w:lvlText w:val="(%1)"/>
      <w:numFmt w:val="decimal"/>
      <w:start w:val="3"/>
    </w:lvl>
    <w:lvl w:ilvl="1">
      <w:lvlJc w:val="left"/>
      <w:lvlText w:val="(%2)"/>
      <w:numFmt w:val="lowerLetter"/>
      <w:start w:val="5"/>
    </w:lvl>
  </w:abstractNum>
  <w:abstractNum w:abstractNumId="55">
    <w:nsid w:val="579BE4F1"/>
    <w:multiLevelType w:val="hybridMultilevel"/>
    <w:lvl w:ilvl="0">
      <w:lvlJc w:val="left"/>
      <w:lvlText w:val="%1."/>
      <w:numFmt w:val="decimal"/>
      <w:start w:val="5"/>
    </w:lvl>
  </w:abstractNum>
  <w:abstractNum w:abstractNumId="56">
    <w:nsid w:val="310C50B3"/>
    <w:multiLevelType w:val="hybridMultilevel"/>
    <w:lvl w:ilvl="0">
      <w:lvlJc w:val="left"/>
      <w:lvlText w:val="%1"/>
      <w:numFmt w:val="decimal"/>
      <w:start w:val="1"/>
    </w:lvl>
    <w:lvl w:ilvl="1">
      <w:lvlJc w:val="left"/>
      <w:lvlText w:val="%2."/>
      <w:numFmt w:val="decimal"/>
      <w:start w:val="6"/>
    </w:lvl>
  </w:abstractNum>
  <w:abstractNum w:abstractNumId="57">
    <w:nsid w:val="5FF87E05"/>
    <w:multiLevelType w:val="hybridMultilevel"/>
    <w:lvl w:ilvl="0">
      <w:lvlJc w:val="left"/>
      <w:lvlText w:val="(%1)"/>
      <w:numFmt w:val="decimal"/>
      <w:start w:val="30"/>
    </w:lvl>
    <w:lvl w:ilvl="1">
      <w:lvlJc w:val="left"/>
      <w:lvlText w:val="%2."/>
      <w:numFmt w:val="decimal"/>
      <w:start w:val="12"/>
    </w:lvl>
  </w:abstractNum>
  <w:abstractNum w:abstractNumId="58">
    <w:nsid w:val="2F305DEF"/>
    <w:multiLevelType w:val="hybridMultilevel"/>
    <w:lvl w:ilvl="0">
      <w:lvlJc w:val="left"/>
      <w:lvlText w:val="(%1)"/>
      <w:numFmt w:val="lowerLetter"/>
      <w:start w:val="2"/>
    </w:lvl>
    <w:lvl w:ilvl="1">
      <w:lvlJc w:val="left"/>
      <w:lvlText w:val="(%2)"/>
      <w:numFmt w:val="lowerRoman"/>
      <w:start w:val="1"/>
    </w:lvl>
  </w:abstractNum>
  <w:abstractNum w:abstractNumId="59">
    <w:nsid w:val="25A70BF7"/>
    <w:multiLevelType w:val="hybridMultilevel"/>
    <w:lvl w:ilvl="0">
      <w:lvlJc w:val="left"/>
      <w:lvlText w:val="(%1)"/>
      <w:numFmt w:val="lowerLetter"/>
      <w:start w:val="4"/>
    </w:lvl>
  </w:abstractNum>
  <w:abstractNum w:abstractNumId="60">
    <w:nsid w:val="1DBABF00"/>
    <w:multiLevelType w:val="hybridMultilevel"/>
    <w:lvl w:ilvl="0">
      <w:lvlJc w:val="left"/>
      <w:lvlText w:val="%1."/>
      <w:numFmt w:val="decimal"/>
      <w:start w:val="13"/>
    </w:lvl>
  </w:abstractNum>
  <w:abstractNum w:abstractNumId="61">
    <w:nsid w:val="4AD084E9"/>
    <w:multiLevelType w:val="hybridMultilevel"/>
    <w:lvl w:ilvl="0">
      <w:lvlJc w:val="left"/>
      <w:lvlText w:val="%1."/>
      <w:numFmt w:val="decimal"/>
      <w:start w:val="15"/>
    </w:lvl>
    <w:lvl w:ilvl="1">
      <w:lvlJc w:val="left"/>
      <w:lvlText w:val="(%2)"/>
      <w:numFmt w:val="lowerLetter"/>
      <w:start w:val="2"/>
    </w:lvl>
  </w:abstractNum>
  <w:abstractNum w:abstractNumId="62">
    <w:nsid w:val="1F48EAA1"/>
    <w:multiLevelType w:val="hybridMultilevel"/>
    <w:lvl w:ilvl="0">
      <w:lvlJc w:val="left"/>
      <w:lvlText w:val="(%1)"/>
      <w:numFmt w:val="lowerLetter"/>
      <w:start w:val="4"/>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1."/>
      <w:numFmt w:val="decimal"/>
      <w:start w:val="5"/>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1)"/>
      <w:numFmt w:val="lowerLetter"/>
      <w:start w:val="1"/>
    </w:lvl>
  </w:abstractNum>
  <w:abstractNum w:abstractNumId="69">
    <w:nsid w:val="98A3148"/>
    <w:multiLevelType w:val="hybridMultilevel"/>
    <w:lvl w:ilvl="0">
      <w:lvlJc w:val="left"/>
      <w:lvlText w:val="%1."/>
      <w:numFmt w:val="decimal"/>
      <w:start w:val="5"/>
    </w:lvl>
  </w:abstractNum>
  <w:abstractNum w:abstractNumId="70">
    <w:nsid w:val="799D02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2019-12-07T17:32:39Z</dcterms:created>
  <dcterms:modified xsi:type="dcterms:W3CDTF">2019-12-07T17:32:39Z</dcterms:modified>
</cp:coreProperties>
</file>