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92911N104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22,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 Rule 13d-1(b)</w:t>
      </w:r>
    </w:p>
    <w:p>
      <w:pPr>
        <w:spacing w:after="0" w:line="171" w:lineRule="exact"/>
        <w:rPr>
          <w:rFonts w:ascii="Arial" w:cs="Arial" w:eastAsia="Arial" w:hAnsi="Arial"/>
          <w:sz w:val="18"/>
          <w:szCs w:val="18"/>
          <w:color w:val="auto"/>
        </w:rPr>
      </w:pPr>
    </w:p>
    <w:p>
      <w:pPr>
        <w:ind w:left="360" w:hanging="352"/>
        <w:spacing w:after="0" w:line="207" w:lineRule="exact"/>
        <w:tabs>
          <w:tab w:leader="none" w:pos="360" w:val="left"/>
        </w:tabs>
        <w:numPr>
          <w:ilvl w:val="0"/>
          <w:numId w:val="1"/>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Rule 13d-1(c)</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92911N104</w:t>
            </w:r>
          </w:p>
        </w:tc>
        <w:tc>
          <w:tcPr>
            <w:tcW w:w="5040" w:type="dxa"/>
            <w:vAlign w:val="bottom"/>
          </w:tcPr>
          <w:p>
            <w:pPr>
              <w:spacing w:after="0"/>
              <w:rPr>
                <w:sz w:val="19"/>
                <w:szCs w:val="19"/>
                <w:color w:val="auto"/>
              </w:rPr>
            </w:pPr>
          </w:p>
        </w:tc>
        <w:tc>
          <w:tcPr>
            <w:tcW w:w="10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Page</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6220" w:type="dxa"/>
            <w:vAlign w:val="bottom"/>
            <w:tcBorders>
              <w:bottom w:val="single" w:sz="8" w:color="auto"/>
            </w:tcBorders>
            <w:gridSpan w:val="3"/>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7460" w:type="dxa"/>
            <w:vAlign w:val="bottom"/>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7460" w:type="dxa"/>
            <w:vAlign w:val="bottom"/>
            <w:gridSpan w:val="8"/>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7460" w:type="dxa"/>
            <w:vAlign w:val="bottom"/>
            <w:gridSpan w:val="8"/>
          </w:tcPr>
          <w:p>
            <w:pPr>
              <w:ind w:left="100"/>
              <w:spacing w:after="0"/>
              <w:rPr>
                <w:sz w:val="20"/>
                <w:szCs w:val="20"/>
                <w:color w:val="auto"/>
              </w:rPr>
            </w:pPr>
            <w:r>
              <w:rPr>
                <w:rFonts w:ascii="Arial" w:cs="Arial" w:eastAsia="Arial" w:hAnsi="Arial"/>
                <w:sz w:val="18"/>
                <w:szCs w:val="18"/>
                <w:color w:val="auto"/>
              </w:rPr>
              <w:t>Iroquois Capital Management L.L.C.</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4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622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46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0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6220" w:type="dxa"/>
            <w:vAlign w:val="bottom"/>
            <w:tcBorders>
              <w:bottom w:val="single" w:sz="8" w:color="auto"/>
            </w:tcBorders>
            <w:gridSpan w:val="3"/>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746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5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917,022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5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917,022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46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46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917,022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20" w:type="dxa"/>
            <w:vAlign w:val="bottom"/>
            <w:gridSpan w:val="10"/>
          </w:tcPr>
          <w:p>
            <w:pPr>
              <w:ind w:left="100"/>
              <w:spacing w:after="0"/>
              <w:rPr>
                <w:sz w:val="20"/>
                <w:szCs w:val="20"/>
                <w:color w:val="auto"/>
              </w:rPr>
            </w:pPr>
            <w:r>
              <w:rPr>
                <w:rFonts w:ascii="Arial" w:cs="Arial" w:eastAsia="Arial" w:hAnsi="Arial"/>
                <w:sz w:val="18"/>
                <w:szCs w:val="18"/>
                <w:color w:val="auto"/>
                <w:w w:val="97"/>
              </w:rPr>
              <w:t>CHECK IF THE AGGREGATE AMOUNT IN ROW (9) EXCLUDES CERTAIN SHARES (SEE INSTRUCTIONS)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460" w:type="dxa"/>
            <w:vAlign w:val="bottom"/>
            <w:tcBorders>
              <w:bottom w:val="single" w:sz="8" w:color="auto"/>
            </w:tcBorders>
            <w:gridSpan w:val="8"/>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46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46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16.1%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746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OO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92911N104</w:t>
            </w:r>
          </w:p>
        </w:tc>
        <w:tc>
          <w:tcPr>
            <w:tcW w:w="5040" w:type="dxa"/>
            <w:vAlign w:val="bottom"/>
          </w:tcPr>
          <w:p>
            <w:pPr>
              <w:spacing w:after="0"/>
              <w:rPr>
                <w:sz w:val="19"/>
                <w:szCs w:val="19"/>
                <w:color w:val="auto"/>
              </w:rPr>
            </w:pPr>
          </w:p>
        </w:tc>
        <w:tc>
          <w:tcPr>
            <w:tcW w:w="10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Page</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Joshua Silverman</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4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22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0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gridSpan w:val="3"/>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46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 of America</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5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917,022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5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917,022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46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917,022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20" w:type="dxa"/>
            <w:vAlign w:val="bottom"/>
            <w:gridSpan w:val="9"/>
          </w:tcPr>
          <w:p>
            <w:pPr>
              <w:ind w:left="100"/>
              <w:spacing w:after="0"/>
              <w:rPr>
                <w:sz w:val="20"/>
                <w:szCs w:val="20"/>
                <w:color w:val="auto"/>
              </w:rPr>
            </w:pPr>
            <w:r>
              <w:rPr>
                <w:rFonts w:ascii="Arial" w:cs="Arial" w:eastAsia="Arial" w:hAnsi="Arial"/>
                <w:sz w:val="18"/>
                <w:szCs w:val="18"/>
                <w:color w:val="auto"/>
                <w:w w:val="97"/>
              </w:rPr>
              <w:t>CHECK IF THE AGGREGATE AMOUNT IN ROW (9) EXCLUDES CERTAIN SHARES (SEE INSTRUCTIONS)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460" w:type="dxa"/>
            <w:vAlign w:val="bottom"/>
            <w:tcBorders>
              <w:bottom w:val="single" w:sz="8" w:color="auto"/>
            </w:tcBorders>
            <w:gridSpan w:val="7"/>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46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16.1 %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IN; HC</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92911N104</w:t>
            </w:r>
          </w:p>
        </w:tc>
        <w:tc>
          <w:tcPr>
            <w:tcW w:w="5040" w:type="dxa"/>
            <w:vAlign w:val="bottom"/>
          </w:tcPr>
          <w:p>
            <w:pPr>
              <w:spacing w:after="0"/>
              <w:rPr>
                <w:sz w:val="19"/>
                <w:szCs w:val="19"/>
                <w:color w:val="auto"/>
              </w:rPr>
            </w:pPr>
          </w:p>
        </w:tc>
        <w:tc>
          <w:tcPr>
            <w:tcW w:w="10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Page</w:t>
            </w: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rPr>
              <w:t>Richard Abbe</w:t>
            </w:r>
          </w:p>
        </w:tc>
        <w:tc>
          <w:tcPr>
            <w:tcW w:w="10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40" w:type="dxa"/>
            <w:vAlign w:val="bottom"/>
            <w:tcBorders>
              <w:left w:val="single" w:sz="8" w:color="auto"/>
              <w:bottom w:val="single" w:sz="8" w:color="auto"/>
              <w:right w:val="single" w:sz="8" w:color="auto"/>
            </w:tcBorders>
          </w:tcPr>
          <w:p>
            <w:pPr>
              <w:spacing w:after="0"/>
              <w:rPr>
                <w:sz w:val="4"/>
                <w:szCs w:val="4"/>
                <w:color w:val="auto"/>
              </w:rPr>
            </w:pPr>
          </w:p>
        </w:tc>
        <w:tc>
          <w:tcPr>
            <w:tcW w:w="7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22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0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gridSpan w:val="3"/>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46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United States of America</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4,791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917,022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4,791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917,022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46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921,813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20" w:type="dxa"/>
            <w:vAlign w:val="bottom"/>
            <w:gridSpan w:val="9"/>
          </w:tcPr>
          <w:p>
            <w:pPr>
              <w:ind w:left="100"/>
              <w:spacing w:after="0"/>
              <w:rPr>
                <w:sz w:val="20"/>
                <w:szCs w:val="20"/>
                <w:color w:val="auto"/>
              </w:rPr>
            </w:pPr>
            <w:r>
              <w:rPr>
                <w:rFonts w:ascii="Arial" w:cs="Arial" w:eastAsia="Arial" w:hAnsi="Arial"/>
                <w:sz w:val="18"/>
                <w:szCs w:val="18"/>
                <w:color w:val="auto"/>
                <w:w w:val="97"/>
              </w:rPr>
              <w:t>CHECK IF THE AGGREGATE AMOUNT IN ROW (9) EXCLUDES CERTAIN SHARES (SEE INSTRUCTIONS)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460" w:type="dxa"/>
            <w:vAlign w:val="bottom"/>
            <w:tcBorders>
              <w:bottom w:val="single" w:sz="8" w:color="auto"/>
            </w:tcBorders>
            <w:gridSpan w:val="7"/>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46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16.2 % (see Item 4)</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746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IN; HC</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Name of Issuer</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Vringo, Inc.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Address of Issuer’s Principal Executive Offices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18 East 16th Street, 7th Floor</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 York, New York 10003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This Schedule 13G is being filed on behalf of (i) Iroquois Capital Management L.L.C., a Delaware limited liability company (“</w:t>
      </w:r>
      <w:r>
        <w:rPr>
          <w:rFonts w:ascii="Arial" w:cs="Arial" w:eastAsia="Arial" w:hAnsi="Arial"/>
          <w:sz w:val="17"/>
          <w:szCs w:val="17"/>
          <w:u w:val="single" w:color="auto"/>
          <w:color w:val="auto"/>
        </w:rPr>
        <w:t>Iroquois</w:t>
      </w:r>
      <w:r>
        <w:rPr>
          <w:rFonts w:ascii="Arial" w:cs="Arial" w:eastAsia="Arial" w:hAnsi="Arial"/>
          <w:sz w:val="17"/>
          <w:szCs w:val="17"/>
          <w:color w:val="auto"/>
        </w:rPr>
        <w:t>”),</w:t>
      </w:r>
    </w:p>
    <w:p>
      <w:pPr>
        <w:spacing w:after="0" w:line="35" w:lineRule="exact"/>
        <w:rPr>
          <w:sz w:val="20"/>
          <w:szCs w:val="20"/>
          <w:color w:val="auto"/>
        </w:rPr>
      </w:pPr>
    </w:p>
    <w:p>
      <w:pPr>
        <w:ind w:left="1000" w:right="240" w:firstLine="7"/>
        <w:spacing w:after="0" w:line="323" w:lineRule="auto"/>
        <w:tabs>
          <w:tab w:leader="none" w:pos="1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Joshua Silverman, an individual who is a citizen of the United States of America (“</w:t>
      </w:r>
      <w:r>
        <w:rPr>
          <w:rFonts w:ascii="Arial" w:cs="Arial" w:eastAsia="Arial" w:hAnsi="Arial"/>
          <w:sz w:val="16"/>
          <w:szCs w:val="16"/>
          <w:u w:val="single" w:color="auto"/>
          <w:color w:val="auto"/>
        </w:rPr>
        <w:t>Mr. Silverman</w:t>
      </w:r>
      <w:r>
        <w:rPr>
          <w:rFonts w:ascii="Arial" w:cs="Arial" w:eastAsia="Arial" w:hAnsi="Arial"/>
          <w:sz w:val="16"/>
          <w:szCs w:val="16"/>
          <w:color w:val="auto"/>
        </w:rPr>
        <w:t>”) and (iii) Richard Abbe, an individual who is a citizen of the United States of America (“</w:t>
      </w:r>
      <w:r>
        <w:rPr>
          <w:rFonts w:ascii="Arial" w:cs="Arial" w:eastAsia="Arial" w:hAnsi="Arial"/>
          <w:sz w:val="16"/>
          <w:szCs w:val="16"/>
          <w:u w:val="single" w:color="auto"/>
          <w:color w:val="auto"/>
        </w:rPr>
        <w:t>Mr. Abbe</w:t>
      </w:r>
      <w:r>
        <w:rPr>
          <w:rFonts w:ascii="Arial" w:cs="Arial" w:eastAsia="Arial" w:hAnsi="Arial"/>
          <w:sz w:val="16"/>
          <w:szCs w:val="16"/>
          <w:color w:val="auto"/>
        </w:rPr>
        <w:t>,” together with Iroquois and Mr. Silverman,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w:t>
      </w:r>
    </w:p>
    <w:p>
      <w:pPr>
        <w:spacing w:after="0" w:line="44" w:lineRule="exact"/>
        <w:rPr>
          <w:sz w:val="20"/>
          <w:szCs w:val="20"/>
          <w:color w:val="auto"/>
        </w:rPr>
      </w:pPr>
    </w:p>
    <w:p>
      <w:pPr>
        <w:ind w:left="1000" w:right="100"/>
        <w:spacing w:after="0" w:line="264" w:lineRule="auto"/>
        <w:rPr>
          <w:sz w:val="20"/>
          <w:szCs w:val="20"/>
          <w:color w:val="auto"/>
        </w:rPr>
      </w:pPr>
      <w:r>
        <w:rPr>
          <w:rFonts w:ascii="Arial" w:cs="Arial" w:eastAsia="Arial" w:hAnsi="Arial"/>
          <w:sz w:val="18"/>
          <w:szCs w:val="18"/>
          <w:color w:val="auto"/>
        </w:rPr>
        <w:t>The Reporting Persons have entered into a Joint Filing Agreement, a copy of which is filed with this Schedule 13G as Exhibit 1, pursuant to which the Reporting Persons have agreed to file this Schedule 13G jointly in accordance with the provisions of Rule 13d-1(k) of the Securities Exchange Act of 1934, as amended.</w:t>
      </w:r>
    </w:p>
    <w:p>
      <w:pPr>
        <w:spacing w:after="0" w:line="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principal business office of all of the Reporting Persons is 641 Lexington Avenue, 26</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Title of Class of Securities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Common stock, par value $0.01 per share, of the Issuer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left="1020" w:right="9520" w:hanging="1012"/>
        <w:spacing w:after="0" w:line="483" w:lineRule="auto"/>
        <w:tabs>
          <w:tab w:leader="none" w:pos="252"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92911N104</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w:t>
      </w:r>
    </w:p>
    <w:p>
      <w:pPr>
        <w:spacing w:after="0" w:line="117" w:lineRule="exact"/>
        <w:rPr>
          <w:rFonts w:ascii="Arial" w:cs="Arial" w:eastAsia="Arial" w:hAnsi="Arial"/>
          <w:sz w:val="18"/>
          <w:szCs w:val="18"/>
          <w:color w:val="auto"/>
        </w:rPr>
      </w:pPr>
    </w:p>
    <w:p>
      <w:pPr>
        <w:ind w:left="1040" w:hanging="6"/>
        <w:spacing w:after="0" w:line="271" w:lineRule="auto"/>
        <w:tabs>
          <w:tab w:leader="none" w:pos="1255" w:val="left"/>
        </w:tabs>
        <w:numPr>
          <w:ilvl w:val="1"/>
          <w:numId w:val="6"/>
        </w:numPr>
        <w:rPr>
          <w:rFonts w:ascii="Arial" w:cs="Arial" w:eastAsia="Arial" w:hAnsi="Arial"/>
          <w:sz w:val="17"/>
          <w:szCs w:val="17"/>
          <w:color w:val="auto"/>
        </w:rPr>
      </w:pPr>
      <w:r>
        <w:rPr>
          <w:rFonts w:ascii="Arial" w:cs="Arial" w:eastAsia="Arial" w:hAnsi="Arial"/>
          <w:sz w:val="17"/>
          <w:szCs w:val="17"/>
          <w:color w:val="auto"/>
        </w:rPr>
        <w:t>Each of Iroquois and Mr. Silverman may be deemed to have beneficial ownership of 917,022 shares of Common Stock, and all such shares of Common Stock represent beneficial ownership of approximately 16.1% of the Common Stock, based on 5,693,115 shares of Common Stock issued and outstanding on April 28, 2011 as disclosed in the Schedule 14A filed by the Issuer on May 25, 2011. The foregoing excludes 291,303 shares of Common Stock in the aggregate issuable upon exercise of warrants issued to Iroquois Master Fund Ltd. (each,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 Warrant</w:t>
      </w:r>
      <w:r>
        <w:rPr>
          <w:rFonts w:ascii="Arial" w:cs="Arial" w:eastAsia="Arial" w:hAnsi="Arial"/>
          <w:sz w:val="17"/>
          <w:szCs w:val="17"/>
          <w:color w:val="auto"/>
        </w:rPr>
        <w:t>”) because each Master Fund Warrant contains a blocker provision under which the holder thereof does not have the right to exercise such Master Fund Warrant to the extent (but only to the extent) that such exercise would result in beneficial ownership by the holder thereof or any of its affiliates, of more than 4.99% of the Common Stock. Without such blocker provisions, each of Iroquois and Mr. Silverman may be deemed to have beneficial ownership of 1,208,325 shares of Common Stock.</w:t>
      </w:r>
    </w:p>
    <w:p>
      <w:pPr>
        <w:spacing w:after="0" w:line="84" w:lineRule="exact"/>
        <w:rPr>
          <w:rFonts w:ascii="Arial" w:cs="Arial" w:eastAsia="Arial" w:hAnsi="Arial"/>
          <w:sz w:val="17"/>
          <w:szCs w:val="17"/>
          <w:color w:val="auto"/>
        </w:rPr>
      </w:pPr>
    </w:p>
    <w:p>
      <w:pPr>
        <w:jc w:val="both"/>
        <w:ind w:left="1040" w:right="580" w:hanging="6"/>
        <w:spacing w:after="0" w:line="312" w:lineRule="auto"/>
        <w:tabs>
          <w:tab w:leader="none" w:pos="1305" w:val="left"/>
        </w:tabs>
        <w:numPr>
          <w:ilvl w:val="1"/>
          <w:numId w:val="6"/>
        </w:numPr>
        <w:rPr>
          <w:rFonts w:ascii="Arial" w:cs="Arial" w:eastAsia="Arial" w:hAnsi="Arial"/>
          <w:sz w:val="16"/>
          <w:szCs w:val="16"/>
          <w:color w:val="auto"/>
        </w:rPr>
      </w:pPr>
      <w:r>
        <w:rPr>
          <w:rFonts w:ascii="Arial" w:cs="Arial" w:eastAsia="Arial" w:hAnsi="Arial"/>
          <w:sz w:val="16"/>
          <w:szCs w:val="16"/>
          <w:color w:val="auto"/>
        </w:rPr>
        <w:t>Mr. Abbe may be deemed to have beneficial ownership of 921,813 shares of Common Stock, and all such shares of Common Stock represent beneficial ownership of approximately 16.2% of the Common Stock, based on 5,693,115 shares of Common Stock issued and outstanding on April 28, 2011 as disclosed in the Schedule 14A filed by the Issuer on May 25, 201. The foregoing</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 w:name="page6"/>
    <w:bookmarkEnd w:id="5"/>
    <w:p>
      <w:pPr>
        <w:ind w:left="1000"/>
        <w:spacing w:after="0" w:line="257" w:lineRule="auto"/>
        <w:rPr>
          <w:sz w:val="20"/>
          <w:szCs w:val="20"/>
          <w:color w:val="auto"/>
        </w:rPr>
      </w:pPr>
      <w:r>
        <w:rPr>
          <w:rFonts w:ascii="Arial" w:cs="Arial" w:eastAsia="Arial" w:hAnsi="Arial"/>
          <w:sz w:val="18"/>
          <w:szCs w:val="18"/>
          <w:color w:val="auto"/>
        </w:rPr>
        <w:t>excludes 291,303 shares of Common Stock in the aggregate issuable upon exercise of the Master Fund Warrants because each Master Fund Warrant contains a blocker provision under which the holder thereof does not have the right to exercise such Master Fund Warrant to the extent (but only to the extent) that such exercise would result in beneficial ownership by the holder thereof or any of its affiliates, of more than 4.99% of the Common Stock. Without such blocker provisions, Mr. Abbe may be deemed to have beneficial ownership of 1,213,116 shares of Common Stock.</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(c)(i) Number of shares as to which each of Iroquois and Mr. Silverman has:</w:t>
      </w:r>
    </w:p>
    <w:p>
      <w:pPr>
        <w:spacing w:after="0" w:line="117" w:lineRule="exact"/>
        <w:rPr>
          <w:sz w:val="20"/>
          <w:szCs w:val="20"/>
          <w:color w:val="auto"/>
        </w:rPr>
      </w:pPr>
    </w:p>
    <w:p>
      <w:pPr>
        <w:ind w:left="1060" w:hanging="377"/>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917,022.</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917,022.</w:t>
      </w:r>
    </w:p>
    <w:p>
      <w:pPr>
        <w:spacing w:after="0" w:line="117" w:lineRule="exact"/>
        <w:rPr>
          <w:rFonts w:ascii="Arial" w:cs="Arial" w:eastAsia="Arial" w:hAnsi="Arial"/>
          <w:sz w:val="18"/>
          <w:szCs w:val="18"/>
          <w:color w:val="auto"/>
        </w:rPr>
      </w:pPr>
    </w:p>
    <w:p>
      <w:pPr>
        <w:ind w:left="680" w:hanging="334"/>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Mr. Abbe has:</w:t>
      </w:r>
    </w:p>
    <w:p>
      <w:pPr>
        <w:spacing w:after="0" w:line="117" w:lineRule="exact"/>
        <w:rPr>
          <w:rFonts w:ascii="Arial" w:cs="Arial" w:eastAsia="Arial" w:hAnsi="Arial"/>
          <w:sz w:val="18"/>
          <w:szCs w:val="18"/>
          <w:color w:val="auto"/>
        </w:rPr>
      </w:pPr>
    </w:p>
    <w:p>
      <w:pPr>
        <w:ind w:left="1000" w:hanging="317"/>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4,791.</w:t>
      </w:r>
    </w:p>
    <w:p>
      <w:pPr>
        <w:spacing w:after="0" w:line="117" w:lineRule="exact"/>
        <w:rPr>
          <w:rFonts w:ascii="Arial" w:cs="Arial" w:eastAsia="Arial" w:hAnsi="Arial"/>
          <w:sz w:val="18"/>
          <w:szCs w:val="18"/>
          <w:color w:val="auto"/>
        </w:rPr>
      </w:pPr>
    </w:p>
    <w:p>
      <w:pPr>
        <w:ind w:left="1060" w:hanging="377"/>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917,022.</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4,791.</w:t>
      </w:r>
    </w:p>
    <w:p>
      <w:pPr>
        <w:spacing w:after="0" w:line="130" w:lineRule="exact"/>
        <w:rPr>
          <w:rFonts w:ascii="Arial" w:cs="Arial" w:eastAsia="Arial" w:hAnsi="Arial"/>
          <w:sz w:val="18"/>
          <w:szCs w:val="18"/>
          <w:color w:val="auto"/>
        </w:rPr>
      </w:pPr>
    </w:p>
    <w:p>
      <w:pPr>
        <w:ind w:left="1060" w:hanging="377"/>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917,022.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6" w:name="page7"/>
    <w:bookmarkEnd w:id="6"/>
    <w:p>
      <w:pPr>
        <w:ind w:left="496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5, 2011</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Joshua Silverman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-130810</wp:posOffset>
            </wp:positionV>
            <wp:extent cx="2564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-130810</wp:posOffset>
            </wp:positionV>
            <wp:extent cx="2787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-130810</wp:posOffset>
            </wp:positionV>
            <wp:extent cx="2787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407035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460" w:top="958" w:right="3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Dated: July 5, 2011</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Joshua Silverman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-130810</wp:posOffset>
            </wp:positionV>
            <wp:extent cx="2787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8</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Roman"/>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lowerRoman"/>
      <w:start w:val="1"/>
    </w:lvl>
    <w:lvl w:ilvl="1">
      <w:lvlJc w:val="left"/>
      <w:lvlText w:val="(%2)"/>
      <w:numFmt w:val="lowerRoman"/>
      <w:start w:val="1"/>
    </w:lvl>
  </w:abstractNum>
  <w:abstractNum w:abstractNumId="7">
    <w:nsid w:val="7545E146"/>
    <w:multiLevelType w:val="hybridMultilevel"/>
    <w:lvl w:ilvl="0">
      <w:lvlJc w:val="left"/>
      <w:lvlText w:val="(%1)"/>
      <w:numFmt w:val="lowerRoman"/>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2019-12-11T06:35:45Z</dcterms:created>
  <dcterms:modified xsi:type="dcterms:W3CDTF">2019-12-11T06:35:45Z</dcterms:modified>
</cp:coreProperties>
</file>