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3132d2_s3a.htm"/>
      <w:bookmarkStart w:id="1" w:name="kstm2513132d2_s3a"/>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3, 2025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333- 284768</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Amendment No. 2</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20-4988129</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750-9595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Ezra T. Ernst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750-9595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Rick A. Werner,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Alla Digilova,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Haynes and Boone,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Rockefeller Plaza, 26th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659-7300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righ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righ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4338"/>
          <w:sz w:val="20"/>
        </w:rPr>
      </w:pPr>
      <w:r>
        <w:rPr>
          <w:rFonts w:ascii="Times New Roman;Times;Serif" w:hAnsi="Times New Roman;Times;Serif"/>
          <w:b/>
          <w:i w:val="false"/>
          <w:caps w:val="false"/>
          <w:smallCaps w:val="false"/>
          <w:color w:val="FF4338"/>
          <w:sz w:val="20"/>
        </w:rPr>
        <w:t>Subject to Completion, dated June 3, 2025</w:t>
      </w:r>
      <w:r>
        <w:rPr>
          <w:rFonts w:ascii="Times New Roman;Times;Serif" w:hAnsi="Times New Roman;Times;Serif"/>
          <w:b w:val="false"/>
          <w:i w:val="false"/>
          <w:caps w:val="false"/>
          <w:smallCaps w:val="false"/>
          <w:color w:val="FF4338"/>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32,703,889 Shares of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including up to 3,404,200 Dividend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the resale by the selling stockholders named in this prospectus from time to time of up to an aggregate of 32,703,889 shares of our common stock, par value $0.01 per share (the “Common Stock”), issuable upon (i) the conversion of shares of our newly designated Series G convertible preferred stock (the “Preferred Shares”), (ii) exercise of certain warrants (the “Warrants”) and (iii) the issuance of Common Stock as dividends to the holders of the Preferred Shares (the “Dividend Shares”). The Preferred Shares were acquired by the applicable selling stockholders under the Securities Purchase Agreement (the “Purchase Agreement”), dated January 14, 2025, by and among the Company and the investors party thereto (the “Investors”). The Warrants were acquired by the selling stockholders under the Purchase Agreement. The shares of Common Stock issuable upon the conversion of the Preferred Shares are herein referred to as “Conversion Shares,” and the shares of Common Stock issuable upon the exercise of the Warrants are herein referred to as “Warrant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Shares and the Warrant Shares were issued in reliance upon the exemption from the registration requirements in Section 4(a)(2) of the Securities Act of 1933, as amended (the “Securities Act”) and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registering the resale of the Conversion Shares and Warrant Shares covered by this prospectus as required by the Registration Rights Agreement, dated January 14, 2025, by and among the Company and the Investors (as amended, the “Registration Rights Agreement”), as well as the Dividend Shares. 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covered by this prospectus could cause substantial dilution to our existing stockholders. The number of shares covered by this prospectus represents approximately 557% of the number of shares of Common Stock issued and outstanding as of the date of this prospectus. The actual number of shares of Common Stock that we issue to the selling stockholders may be less than the aggregate number of shares covered by this prospectus. Please refer to risk factor entitled “</w:t>
      </w:r>
      <w:r>
        <w:rPr>
          <w:rFonts w:ascii="Times New Roman;Times;Serif" w:hAnsi="Times New Roman;Times;Serif"/>
          <w:b w:val="false"/>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r>
        <w:rPr>
          <w:rFonts w:ascii="Times New Roman;Times;Serif" w:hAnsi="Times New Roman;Times;Serif"/>
          <w:b w:val="false"/>
          <w:i w:val="false"/>
          <w:caps w:val="false"/>
          <w:smallCaps w:val="false"/>
          <w:sz w:val="20"/>
        </w:rPr>
        <w:t xml:space="preserve">” on page 10 of this prospectus. For additional information on the terms of the Preferred Shares and the Warrants, including those terms which may affect the number of Conversion Shares, Dividend Shares or Warrant Shares that will be issued to the holders of the Preferred Shares and the Warrants, you should refer to the section of this prospectus entitled “Prospectus Summary—Private Placement of Preferred Shares and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Common Stock subject to resale hereunder will have been issued by us and acquired by the selling stockholders prior to any resale of such shares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(“Nasdaq”) under the symbol “XWEL.” On June 2, 2025, the last reported sales price for our Common Stock was $0.968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Investment in our Common Stock involves risk. See “</w:t>
      </w:r>
      <w:hyperlink w:anchor="a_004">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the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w:t>
        <w:tab/>
        <w: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olor w:val="0000EE"/>
                  <w:sz w:val="20"/>
                </w:rPr>
                <w:t>ABOUT THIS PROSPECTUS</w:t>
              </w:r>
            </w:hyperlink>
          </w:p>
        </w:tc>
        <w:tc>
          <w:tcPr>
            <w:tcW w:w="24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sz w:val="20"/>
                </w:rPr>
                <w:t>1</w:t>
              </w:r>
            </w:hyperlink>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color w:val="0000EE"/>
                  <w:sz w:val="20"/>
                </w:rPr>
                <w:t>PROSPECTUS SUMMARY</w:t>
              </w:r>
            </w:hyperlink>
          </w:p>
        </w:tc>
        <w:tc>
          <w:tcPr>
            <w:tcW w:w="245" w:type="dxa"/>
            <w:tcBorders/>
            <w:shd w:fill="FFFFFF" w:val="clear"/>
            <w:vAlign w:val="center"/>
          </w:tcPr>
          <w:p>
            <w:pPr>
              <w:pStyle w:val="TableContents"/>
              <w:bidi w:val="0"/>
              <w:spacing w:before="0" w:after="283"/>
              <w:jc w:val="right"/>
              <w:rPr/>
            </w:pPr>
            <w:hyperlink w:anchor="a_002">
              <w:r>
                <w:rPr>
                  <w:rStyle w:val="InternetLink"/>
                  <w:rFonts w:ascii="Times New Roman;Times;Serif" w:hAnsi="Times New Roman;Times;Serif"/>
                  <w:sz w:val="20"/>
                </w:rPr>
                <w:t>2</w:t>
              </w:r>
            </w:hyperlink>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olor w:val="0000EE"/>
                  <w:sz w:val="20"/>
                </w:rPr>
                <w:t>THE OFFERING</w:t>
              </w:r>
            </w:hyperlink>
          </w:p>
        </w:tc>
        <w:tc>
          <w:tcPr>
            <w:tcW w:w="24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9</w:t>
              </w:r>
            </w:hyperlink>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color w:val="0000EE"/>
                  <w:sz w:val="20"/>
                </w:rPr>
                <w:t>RISK FACTORS</w:t>
              </w:r>
            </w:hyperlink>
          </w:p>
        </w:tc>
        <w:tc>
          <w:tcPr>
            <w:tcW w:w="245"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10</w:t>
              </w:r>
            </w:hyperlink>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color w:val="0000EE"/>
                  <w:sz w:val="20"/>
                </w:rPr>
                <w:t>SPECIAL NOTE REGARDING FORWARD-LOOKING STATEMENTS</w:t>
              </w:r>
            </w:hyperlink>
          </w:p>
        </w:tc>
        <w:tc>
          <w:tcPr>
            <w:tcW w:w="24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12</w:t>
              </w:r>
            </w:hyperlink>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color w:val="0000EE"/>
                  <w:sz w:val="20"/>
                </w:rPr>
                <w:t>USE OF PROCEEDS</w:t>
              </w:r>
            </w:hyperlink>
          </w:p>
        </w:tc>
        <w:tc>
          <w:tcPr>
            <w:tcW w:w="24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13</w:t>
              </w:r>
            </w:hyperlink>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color w:val="0000EE"/>
                  <w:sz w:val="20"/>
                </w:rPr>
                <w:t>SELLING STOCKHOLDERS</w:t>
              </w:r>
            </w:hyperlink>
          </w:p>
        </w:tc>
        <w:tc>
          <w:tcPr>
            <w:tcW w:w="245"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14</w:t>
              </w:r>
            </w:hyperlink>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color w:val="0000EE"/>
                  <w:sz w:val="20"/>
                </w:rPr>
                <w:t>PLAN OF DISTRIBUTION</w:t>
              </w:r>
            </w:hyperlink>
          </w:p>
        </w:tc>
        <w:tc>
          <w:tcPr>
            <w:tcW w:w="245" w:type="dxa"/>
            <w:tcBorders/>
            <w:shd w:fill="FFFF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17</w:t>
              </w:r>
            </w:hyperlink>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olor w:val="0000EE"/>
                  <w:sz w:val="20"/>
                </w:rPr>
                <w:t>LEGAL MATTERS</w:t>
              </w:r>
            </w:hyperlink>
          </w:p>
        </w:tc>
        <w:tc>
          <w:tcPr>
            <w:tcW w:w="245"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19</w:t>
              </w:r>
            </w:hyperlink>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color w:val="0000EE"/>
                  <w:sz w:val="20"/>
                </w:rPr>
                <w:t>EXPERTS</w:t>
              </w:r>
            </w:hyperlink>
          </w:p>
        </w:tc>
        <w:tc>
          <w:tcPr>
            <w:tcW w:w="245" w:type="dxa"/>
            <w:tcBorders/>
            <w:shd w:fill="FFFF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19</w:t>
              </w:r>
            </w:hyperlink>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olor w:val="0000EE"/>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19</w:t>
              </w:r>
            </w:hyperlink>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color w:val="0000EE"/>
                  <w:sz w:val="20"/>
                </w:rPr>
                <w:t>INCORPORATION OF CERTAIN INFORMATION BY REFERENCE</w:t>
              </w:r>
            </w:hyperlink>
          </w:p>
        </w:tc>
        <w:tc>
          <w:tcPr>
            <w:tcW w:w="245" w:type="dxa"/>
            <w:tcBorders/>
            <w:shd w:fill="FFFFFF" w:val="clear"/>
            <w:vAlign w:val="center"/>
          </w:tcPr>
          <w:p>
            <w:pPr>
              <w:pStyle w:val="TableContents"/>
              <w:bidi w:val="0"/>
              <w:spacing w:before="0" w:after="283"/>
              <w:jc w:val="right"/>
              <w:rPr/>
            </w:pPr>
            <w:hyperlink w:anchor="a_012">
              <w:r>
                <w:rPr>
                  <w:rStyle w:val="InternetLink"/>
                  <w:rFonts w:ascii="Times New Roman;Times;Serif" w:hAnsi="Times New Roman;Times;Serif"/>
                  <w:sz w:val="20"/>
                </w:rPr>
                <w:t>20</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More Information” and “Incorporation of Certain Information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10 of this prospectus. These and other factors could cause our future performance to differ materially from our assumptions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 the “Company,” the “registrant,” “we,” “us,” “our,” or “ours” refer to XWELL, Inc.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changed its name to XWELL, Inc.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XpresSpa Holdings, LLC (“XpresSpa”) has been a global airport retailer of spa services through its XpresSpa spa locations, offering travelers premium spa services, including massage, nail and skin care, as well as spa and travel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2025, there were 17 domestic XpresSpa locations in total comprised of 16 Company-owned locations and one franchise. The Company also had 11 international locations operating as of March 31, 2025, including two XpresSpa locations in the Dubai International Airport in the United Arab Emirates, one XpresSpa location in the Zayad International Airport in Abu Dhabi, United Arab Emirates, four XpresSpa locations in the Schiphol Amsterdam Airport in the Netherlands and four XpresSpa locations in the Istanbul Airport in Turkey.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Following the conversion of the JFK Treat location, in mid-2025, we will no longer have any Treat locations.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Naples Wax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looking to further expand internationally. We believe a strategy for international expansion further advances our ability to expand our other brands including bio surveillance outside of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of Preferred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we entered into the Purchase Agreement with the Investors, pursuant to which we issued and sold on January 14, 2025 (the “Closing Date”), in a private placement (the “Private Placement”), (i) an aggregate of 4,000 shares of the Company’s newly-designated Series G Convertible Preferred Stock initially convertible into up to 2,673,797 Conversion Shares at a conversion price of $1.496 per share (the “Conversion Price”), (ii) Series A warrants (the “Series A Warrants”) to acquire up to an aggregate of 2,673,797 shares of Common Stock at an initial exercise price of $1.496 per share, and (iii) Series B warrants to acquire up to an aggregate of 2,673,797 shares of Common Stock (the “Series B Warrants,” and collectively with the Series A Warrants, the “Warrants”) at an initial exercise price of $1.7952 per share. Each Preferred Share and accompanying Warrants were sold together at a combined offering price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Preferred Shares are as set forth in the Certificate of Designations of the Series G Convertible Preferred Stock of XWELL, Inc. (the “Certificate of Designations”), which was filed and became effective with the Secretary of State of the State of Delaware on January 14, 2025. The Warrants are immediately exercisable and expire five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Each of the investors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Warrants were offered without any general solicitation by us or our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Private Placement, we entered into the Registration Rights Agreement, pursuant to which we are obligated, among other things, to (A) file a resale registration statement (the “Registration Statement”) with the SEC to register for resale promptly following the Closing Date, but in no event later than 30 calendar days after the Closing Date, the sum of (i) 100% of the maximum number of Conversion Shares issuable upon conversion of the Preferred Shares ((x) assuming for purposes hereof that the Preferred Shares are convertible at the Floor Price (as defined herein) and (y) any such conversion shall not take into account any limitations on the conversion of the Preferred Shares set forth in the Certificate of Designations) and (ii) 100% of the maximum number of Warrant Shares issuable upon exercise of the Warrants (x) assuming for purposes hereof that the Warrants will be exercised at the initial exercise price as set forth in the Warrants (as defined herein) and (y) any such exercise shall not take into account any limitations on the exercise of the Warrant Shares set forth in the Warrants, all subject to adjustment as provided in Registration Rights Agreement, (B) have such Registration Statement declared effective by the Effectiveness Deadline (as defined in the Registration Rights Agreement and as may be amended from time to time), and (C) maintain the registration until the earlier of (x) the date on which the selling stockholders may sell their Conversion Shares or Warrant Shares without restriction pursuant to Rule 144 under the Securities Act, (y) the date on which the selling stockholders no longer hold any Conversion Shares or Warrant Shares and (z) the five year anniversary of the Closing Date. The Company will be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capital stock of the Company rank junior to the Preferred Shares, with respect to the preferences as to dividends, distributions and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convertible into Common Stock at the election of the holder at any time the Conversion Price.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holders of at least a majority of the outstanding Preferred Shares, subject to the rules and regulations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redeem the Preferred Shares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$0.167, which was 20% of the “Minimum Price” (as defined in Nasdaq Stock Market Rule 5635) on the Stockholder Approval Date (as defined below), such lower amount as permitted, from time to time, by Nasdaq, and subject to adjustment for stock splits, stock dividends, stock combinations, recapitalizations or other similar events, which amortization amounts are subject to certain adjustments as set forth in the Certificate of Designations (the “Floor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Shares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including, among other things, our failure to pay any amounts due to the holders of the Preferred Shares when due, the Preferred Shares accrue dividends at the rate of 15% per annum. Upon conversion or redemption, the holders of the Preferred Shares are also entitled to receive a dividend make-whole payment, assuming, for calculation purposes, that the stated value of such Preferred Shares remained outstanding through and including the one-year anniversary of the applicable date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Shares are entitled to vote with holders of the Common Stock on as as-converted basis, with the number of votes to which each holder of Preferred Shares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ability to settle conversions and make amortization and dividend make-whole payments using shares of Common Stock is subject to certain limitations set forth in the Certificate of Designations. Prior to receiving approval from our stockholders in accordance with the Nasdaq listing standards, such limitations included a limit on the number of shares that may be issued until the time that our stockholders approved the issuance of more than 19.99% of our issued and outstanding shares of Common Stock in accordance with Nasdaq listing standards (the “Stockholder Approval”). We agreed to seek stockholder approval of these matters at a meeting to be held no later than June 1, 2025, and the Stockholder Approval was obtained on April 10, 2025 (the “Stockholder Approval Date”), at a special meeting of stockholders. Further, the Certificate of Designations contains a certain beneficial ownership limitation after giving effect to the issuance of shares of Common Stock issuable upon conversion of the Preferred Shares or as part of any amortization payment or dividend make-whole payment under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(as defined in the Certificate of Designations), including, among other things, the suspension from trading or the failure of our Common Stock to be trading or listed (as applicable) on an eligible market for a period of five (5) consecutive trading days and our failure to pay any amounts due to the holders of the Preferred Shares when due. In connection with a Triggering Event, each holder of Preferred Shares will be able to require us to redeem in cash any or all of the holder’s Preferred Shares at a premium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Warrant is subject to customary adjustments for stock dividends, stock splits, reclassifications, stock combinations and the like. Upon any such price-based adjustment to the exercise price, the number of Warrant Shares issuable upon exercise of the Warrants will be increased proportionately. The exercise price may also be voluntarily reduced by the Company to any amount and for any period of time with the prior written consent of the holders of at least a majority of the outstanding Warrants, subject to the rules and regulations of Nasdaq. The Warrants may be exercised for cash, provided that, if there is no effective registration statement available registering the exercise of the Warrants, the Warrants may be exercised on a cashless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we have received the Stockholder Approval, we cannot issue any Warrant Shares if the issuance of such Warrant Shares (taken together with the issuance of any Conversion Shares or other shares of Common Stock issuable pursuant to the terms of the Certificate of Designations) would exceed 19.99% of our issued and outstanding shares of Common Stock prior to the Private Placement, which amount is the aggregate number of shares of Common Stock which we may issue under the rules or regulations of Nasdaq. We received Stockholder Approval at a special meeting of stockholders held on April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incorporated in Delaware as a corporation on January 9, 2006, and completed an initial public offering in June 2010. Our Common Stock which was previously listed since January 8, 2018, under the trading symbol “XSPA” on Nasdaq, has been listed under the trading symbol “XWEL” since October 25, 2022. Our principal executive offices are located at 254 West 31st Street, 11th Floor, New York, New York 10001. Our telephone number is (212) 750-9595 and our website address is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 xml:space="preserve">. We also operate the websites </w:t>
      </w:r>
      <w:r>
        <w:rPr>
          <w:rFonts w:ascii="Times New Roman;Times;Serif" w:hAnsi="Times New Roman;Times;Serif"/>
          <w:b w:val="false"/>
          <w:i/>
          <w:caps w:val="false"/>
          <w:smallCaps w:val="false"/>
          <w:sz w:val="20"/>
        </w:rPr>
        <w:t>www.xpresspa.com, www.xprescheck.com, www.hyperpointe.com and www.napleswaxcenter.com</w:t>
      </w:r>
      <w:r>
        <w:rPr>
          <w:rFonts w:ascii="Times New Roman;Times;Serif" w:hAnsi="Times New Roman;Times;Serif"/>
          <w:b w:val="false"/>
          <w:i w:val="false"/>
          <w:caps w:val="false"/>
          <w:smallCaps w:val="false"/>
          <w:sz w:val="20"/>
        </w:rPr>
        <w:t xml:space="preserve">.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9"/>
        <w:gridCol w:w="65"/>
        <w:gridCol w:w="8731"/>
      </w:tblGrid>
      <w:tr>
        <w:trPr/>
        <w:tc>
          <w:tcPr>
            <w:tcW w:w="1409" w:type="dxa"/>
            <w:tcBorders/>
            <w:vAlign w:val="center"/>
          </w:tcPr>
          <w:p>
            <w:pPr>
              <w:pStyle w:val="TableContents"/>
              <w:bidi w:val="0"/>
              <w:spacing w:before="0" w:after="283"/>
              <w:jc w:val="left"/>
              <w:rPr/>
            </w:pPr>
            <w:r>
              <w:rPr>
                <w:rFonts w:ascii="Times New Roman;Times;Serif" w:hAnsi="Times New Roman;Times;Serif"/>
                <w:sz w:val="20"/>
              </w:rPr>
              <w:t>Common Stock to be Offered by the Selling Stockholders</w:t>
            </w:r>
            <w:r>
              <w:rPr/>
              <w:t xml:space="preserve"> </w:t>
            </w:r>
          </w:p>
        </w:tc>
        <w:tc>
          <w:tcPr>
            <w:tcW w:w="65" w:type="dxa"/>
            <w:tcBorders/>
            <w:vAlign w:val="center"/>
          </w:tcPr>
          <w:p>
            <w:pPr>
              <w:pStyle w:val="TableContents"/>
              <w:bidi w:val="0"/>
              <w:spacing w:before="0" w:after="283"/>
              <w:jc w:val="left"/>
              <w:rPr/>
            </w:pPr>
            <w:r>
              <w:rPr/>
              <w:t xml:space="preserve">  </w:t>
            </w:r>
          </w:p>
        </w:tc>
        <w:tc>
          <w:tcPr>
            <w:tcW w:w="873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an aggregate of 32,703,889 shares of Common Stock, which are issuable to such selling stockholders pursuant to the terms of the Preferred Shares and Warrants and which includes 3,404,200 Dividend Shares. </w:t>
            </w:r>
          </w:p>
          <w:p>
            <w:pPr>
              <w:pStyle w:val="TableContents"/>
              <w:bidi w:val="0"/>
              <w:spacing w:before="0" w:after="0"/>
              <w:ind w:left="0" w:right="0" w:hanging="0"/>
              <w:jc w:val="both"/>
              <w:rPr>
                <w:caps w:val="false"/>
                <w:smallCaps w:val="false"/>
              </w:rPr>
            </w:pPr>
            <w:r>
              <w:rPr>
                <w:caps w:val="false"/>
                <w:smallCaps w:val="false"/>
              </w:rPr>
              <w:t xml:space="preserve">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Registration Rights Agreement, as amended, require us to register the number of shares of Common Stock equal to the sum of (i) 100%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100% of the maximum number of Warrant Shares issuable upon exercise of the Warrants issued to the Investors (x) assuming for purposes hereof that the Warrants will be exercised at the initial exercise price as set forth in the Warrants (as defined herein) and (y) any such exercise shall not take into account any limitations on the exercise of the Warrant Shares set forth in the Warrants, in each case subject to the adjustments set forth in the Certificate of Designations and Warrants. </w:t>
            </w:r>
          </w:p>
          <w:p>
            <w:pPr>
              <w:pStyle w:val="TableContents"/>
              <w:bidi w:val="0"/>
              <w:spacing w:before="0" w:after="0"/>
              <w:ind w:left="0" w:right="0" w:hanging="0"/>
              <w:jc w:val="both"/>
              <w:rPr>
                <w:caps w:val="false"/>
                <w:smallCaps w:val="false"/>
              </w:rPr>
            </w:pPr>
            <w:r>
              <w:rPr>
                <w:caps w:val="false"/>
                <w:smallCaps w:val="false"/>
              </w:rPr>
              <w:t xml:space="preserv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also registering up to 3,404,200 Dividend Shares in connection with the payments of dividends in the form of shares of Common Stock, if any, to the holders of the Preferred Shares. </w:t>
            </w:r>
          </w:p>
        </w:tc>
      </w:tr>
      <w:tr>
        <w:trPr/>
        <w:tc>
          <w:tcPr>
            <w:tcW w:w="140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both"/>
              <w:rPr/>
            </w:pPr>
            <w:r>
              <w:rPr/>
              <w:t> </w:t>
            </w:r>
          </w:p>
        </w:tc>
      </w:tr>
      <w:tr>
        <w:trPr/>
        <w:tc>
          <w:tcPr>
            <w:tcW w:w="1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 of Proceeds </w:t>
            </w:r>
          </w:p>
        </w:tc>
        <w:tc>
          <w:tcPr>
            <w:tcW w:w="65"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proceeds from the sale of the Conversion Shares and Warrant Shares by the selling stockholders. However, we will receive proceeds from the exercise of the Warrants if such Warrants are exercised for cash. We currently intend to use such proceeds, if any, for general corporate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8"/>
        <w:gridCol w:w="60"/>
        <w:gridCol w:w="8867"/>
      </w:tblGrid>
      <w:tr>
        <w:trPr/>
        <w:tc>
          <w:tcPr>
            <w:tcW w:w="1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of Distribution</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named in this prospectus, or their pledgees, donees, transferees, distributees, beneficiaries or other successors-in-interest, may offer or sell the shares of Common Stock from time to time through public or private transactions at prevailing market prices, at prices related to prevailing market prices or at privately negotiated prices. The selling stockholders may also resell the shares of Common Stock to or through underwriters, broker-dealers or agents, who may receive compensation in the form of discounts, concessions or commissions.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“Plan of Distribution” beginning on page 17 of this prospectus for additional information on the methods of sale that may be used by the selling stockholders.</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pPr>
            <w:r>
              <w:rPr/>
              <w:t> </w:t>
            </w:r>
          </w:p>
        </w:tc>
      </w:tr>
      <w:tr>
        <w:trPr/>
        <w:tc>
          <w:tcPr>
            <w:tcW w:w="1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Capital Market Symbol</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Common Stock is listed on the Nasdaq Capital Market under the symbol “XWEL.” </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pPr>
            <w:r>
              <w:rPr/>
              <w:t> </w:t>
            </w:r>
          </w:p>
        </w:tc>
      </w:tr>
      <w:tr>
        <w:trPr/>
        <w:tc>
          <w:tcPr>
            <w:tcW w:w="1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Risk Factors </w:t>
            </w:r>
          </w:p>
        </w:tc>
        <w:tc>
          <w:tcPr>
            <w:tcW w:w="60"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Investing in our Common Stock involves significant risks. See “Risk Factors” beginning on page 10 of this prospectus and the documents incorporated by reference in this prospectus.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In addition to the other information contained in this prospectus and in the documents we incorporate by reference, you should carefully consider the risks discussed below and under the heading “Risk Factors” in our Annual Report on Form 10-K, as amended, for the fiscal year ended December 31, 2024,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failure to meet the continued listing requirements of Nasdaq could result in a delisting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continued listing standards of Nasdaq provide, among other things, that a company may be delisted if the bid price of its stock drops below $1.00 for a period of 30 consecutive business days or if stockholders’ equity is less than $2,500,000.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the Nasdaq pursuant to the Minimum Bid Price Rule. The letter also indicated that we will be provided with the Compliance Period (until November 10, 2025), in which to regain compliance pursuant to Nasdaq Listing Rule 5810(c)(3)(A).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regain compliance with Nasdaq’s Minimum Bid Price Rule, our Common Stock must maintain a minimum closing bid price of $1.00 for at least ten consecutive business days during the Compliance Period. In the event we do not regain compliance by the end of the Compliance Period, we may be eligible for additional time to regain compliance. To qualify, we will be required to meet the continued listing requirement for the market value of its publicly held shares and all other initial listing standards for Nasdaq, with the exception of the bid price requirement, and will need to provide written notice of our intention to cure the deficiency during the second compliance period, by effecting a reverse stock split if necessary. If we meet these requirements, we may be granted an additional 180 calendar days to regain compliance. However, if it appears to Nasdaq that we will be unable to cure the deficiency, or if we are not otherwise eligible for the additional cure period, Nasdaq will provide notice that our Common Stock will be subject to delisting. There can be no assurance that we will be eligible for the additional 180 calendar day compliance period, if applicable, or that the Nasdaq staff would grant our request for continued listing subsequent to any delisting notification. In the event of such a notification, we may appeal the Nasdaq staff’s determination to delist our securities. As of the date of this prospectus, we have not regained compliance with the Minimum Bid Price Rule.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 the future we seek to implement a reverse stock split to remain listed on Nasdaq, the announcement and/or implementation of a reverse stock split could significantly negatively affect the price of our Common Stock.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expect to take actions intended to restore our compliance with the listing requirements, we can provide no assurance that any action taken by us would be successful, that we would successfully maintain compliance with the minimum bid price requirement or any of Nasdaq’s other listing requirements or that any such action would stabilize the market price or improve the liquidity of our Common Stock. Should a delisting occur, an investor would likely find it significantly more difficult to dispose of, or to obtain accurate quotations as to the value of our shares, and our ability to raise future capital through the sale of our Common Stock could be severely limited.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of Common Stock being offered pursuant to this prospectus represent Conversion Shares issuable upon the conversion of our Preferred Shares and Warrant Shares issuable upon the exercise of the Warrants. As of May 15, 2025, there were 5,261,024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557%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Designations provides for amortization payments to be issued in the form of shares of Common Stock at a conversion price that varies with the trading price of our Common Stock. This feature may result in a greater number of shares of Common Stock being issued upon conversions than if the conversions were effected at the conversion price in effect as of the date of this prospectus. Sales of these shares will dilute the interests of other security holders and may depress the price of our Common Stock and make it difficult for us to raise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for our Preferred Shares provides for the payment of amortization payments to the holder of our Preferred Shares in cash or shares of Common Stock, or a combination thereof, at the Company’s option. If the Company elects to pay any dividends in shares of Common Stock, the conversion price used to calculate the number of shares issuable will equal to the greater of (A) 80% of the average of the three lowest closing prices of our Common Stock during the thirty consecutive trading day period ending and including the trading day immediately prior to the date the amortization payment is due or (B) $0.167, which was 20% of the Minimum Price on the Stockholder Approval Date or such lower amount as permitted, from time to time, by the Nasdaq Capital Market. The potential for such additional issuances below the Conversion Price as of the date of this prospectus may depress the price of our Common Stock regardless of our business performance. We may find it more difficult to raise additional equity capital while any of our Preferred Shares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Designations provides for the payment of dividends in cash or in shares of our Common Stock, or a combination thereof, and we may not be permitted to pay such dividends in cash, which will require us to have shares of Common Stock available to pay the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 Preferred Shares is entitled to receive cumulative dividends at the rate per share of 8% per annum of the stated value per share, compounded each calendar quarter. The dividends are payable in cash, out of any funds legally available for such purpose, or shares of Common Stock in the case of an Installment Conversion (as defined in the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Preferred Shares are entitled to certain payments under the applicable Certificate of Designations that may be paid in cash, in shares of Common Stock or in additional Preferred Shares depending on the circumstances. If we make these payments in cash, it may require the expenditure of a substantial portion of our cash resources. If we make these payments in Common Stock, it may result in substantial dilution to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Designations, we are required to redeem Preferred Shares in six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our Common Stock during the thirty consecutive trading day period ending and including the trading day immediately prior to the date the amortization payment is due or (B) the Floor Price, and in each case subject to adjustment for stock splits, stock dividends, stock combinations, recapitalizations or other similar events. Holders of our Preferred Shares are also entitled to receive dividends of 8% per annum, compounded each calendar quarter, which are payable in arrears monthly in cash or shares of our Common Stock, at our option, in accordance with the terms of the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due to the holders of our Preferred Shares using shares of Common Stock is subject to certain limitations set forth in the applicable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 or we may be forced to make such payments in cash. If we do not have sufficient cash resources to make these payments, we may need to raise additional equity or debt capital, and we cannot provide any assurance that we will be successful in doing so. If are unable to raise sufficient capital to meet our payment obligations, we may need to delay, reduce or eliminate certain research and development programs or other operations, sell some or all of our assets or merge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due to the holders of our Preferred Shares using cash is also limited by the amount of cash we have on hand at the time such payments are due as well as certain provisions of the Delaware General Corporation Law (the “DGCL”). Further, we intend to make the installment payments due to holders of Preferred Shares in the form of Common Stock to the extent allowed under the applicable Certificate of Designation and applicable law in order to preserve our cash resources. The issuance of shares of common stock to the holders of our Preferred Shares with increase the number of shares of Common Stock outstanding and could result in substantial dilution to the existing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Preferred Shares and the Warrants contain certain anti-dilution provisions, which may dilute the interests of our stockholders, depress the price of our Common Stock, and make it difficult for us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for example, a Stock Combination Event (as defined in the Certificate of Designations) may reduce the conversion price of the Preferred Shares, which in turn may lead to further dilution to the holders of our Common Stock. The Warrants additionally contain anti-dilution provisions applicable to the exercise price. If in the future, while any of the Warrants are outstanding, we may be required upon the occurrence of certain events, to adjust the exercise price of the Warrants, and simultaneously with any adjustment to the exercise price, the number of shares of Common Stock that may be purchased upon exercise of the Warrants shall be increased or decreased proportionately, so that after such adjustment the aggregate exercise price payable thereunder for the adjusted number of shares of common stock issuable upon exercise of the Warrants shall be the same as the aggregate exercise price in effect immediately prior to such adjustment. Such adjustments can dilute the book value per share of Common Stock and reduce any proceeds we may receive from the exercise of the Warrants. In addition, the perceived risk of dilution may cause our shareholders to be more inclined to sell their Common Stock, which may in turn depress the price of common shares regardless of our business performance. We may also find it more difficult to raise additional equity capital while any of the Warrants and the Preferred Shares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Designations contains restrictive covenants and terms that may make it difficult to procure additional financing and that may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contains certain restrictive covenants including but not limited to, maintaining a Cash Minimum (as defined in the Certificate of Designations), restrictions on incurring any indebtedness until the date on which at least 80% of the Preferred Shares have been converted to Common Stock and/or redeemed by us, subject to certain exceptions, restrictions on directly or indirectly, redeeming, repurchasing or declaring or paying any cash dividend or distribution on any of our capital stock (other than as required by the Certificate of Designations), and restrictions on directly or indirectly, permitting any of our indebtedness to mature or accelerate prior to the Maturity Date (as defined in the Certificate of Designations). Additionally, the Preferred Shares also contains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may limit our flexibility in raising capital or incurring any indebtedness, which may have an adverse effect on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Shares are entitled to dividends of 8%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Preferred Shares accrue dividends at the rate of 15% per annum (the “Default Rate”). In connection with a Triggering Event, each holder of the Preferred Shares will be able to require us to redeem in cash any or all of the holder’s Preferred Shares at a premium set forth in the Certificate of Designations. If such Triggering Event occurs, our financial condition and results of operations could be materially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Purchase Agreement, we are subject to certain restrictive covenants that may make it difficult to procure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among others, the following restrictive covenants: (A) until all of Preferred Shares are no longer outstanding (or until no Warrants remain outstanding if the stockholder approval for the issuance of the shares of Common Stock upon conversion or exercise of the Preferred Shares and Warrants, as applicable, is not obtained) we shall be prohibited from effecting or entering into an agreement to effect any subsequent placement involving a variable rate transaction and (B) until the earlier of (i) the second anniversary of the closing date of the Private Placement, and (ii) the date in which no Preferred Shares remain outstanding, the opportunity to participate in any subsequent securities offerings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investors party to the Purchase Agreement, which such investors are not obligated to grant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other issuances of our Common Stock could depress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prepared this prospectus to allow the selling stockholders or their successors, assignees or other permitted transferees to sell or otherwise dispose of, from time to time, up to 32,703,889 shares of our Common Stock, which includes up to 3,404,200 shares of Common Stock issuable as Dividend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stockholders are those issuable to the selling stockholders upon conversion of the Preferred Shares and exercise of the Warrants. For additional information regarding the issuance of the Preferred Shares and the Warrants, see “Private Placement of Preferred Shares and Warrants” above. We are registering the Conversion Shares and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ownership of the Preferred Shares and the Warrants issued pursuant to the Purchase Agreement and, except as disclosed in our periodic reports and current reports filed with the SEC from time to time, the selling stockholders have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Selling Stockholders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April 11, 2025, assuming conversion of the Preferred Shares and exercise of the Warrants and any other warrants held by each such selling stockholder on that date, and taking account of any beneficial ownership limitations on conversion and exercise set forth therein.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column (titled “Maximum Number of Shares of Common Stock to be Sold Pursuant to this Prospectus”) lists the shares of Common Stock being offered by this prospectus by the selling stockholders at the Floor Price and exercise price of the Preferred Shares and the Warrants, respectively, and does not take in account any beneficial ownership limitations on (i) conversion of the Preferred Shares as set forth in the Certificate of Designations or (ii) exercise of the Warrants as set forth in the Warrants.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fourth and fifth columns (titled “Number of Shares of Common Stock Owned After Offering” and “Percentage of Common Stock Owned After Offering”, respectively) assume the conversion of the Preferred Shares at the Floor Price and exercise of the Warrants at the initial exercise price and the sale of all of the shares offered by the selling stockholders pursuant to this prospectus, including the Dividend Shares apportioned to the selling stockholders on a pro rata basis based on the number of Preferred Shares held by the selling stockholder. Because the Conversion Price of the Preferred Shares and the exercise price of the Warrants may be adjusted, the number of shares that will actually be issued may be more or less than the number of shares being offered by this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Registration Rights Agreement require us to register the number of shares of Common Stock equal to the sum of (i) 100% of the maximum number of Conversion Shares issuable upon conversion of the Preferred Shares (assuming for purposes hereof that (x) the Preferred Shares are convertible at the Floor Price of $0.167, which was 20% of the “Minimum Price” (as defined in Nasdaq Stock Market Rule 5635) on the Stockholder Approval Date, and (y) any such conversion shall not take into account any limitations on the conversion of the Preferred Shares set forth in the Certificate of Designations, and (ii) 100% of the maximum number of Warrant Shares issuable upon exercise of the Warrants issued to the Investors (x) assuming for purposes hereof that the Warrants will be exercised at the initial exercise price as set forth in the Warrants (as defined herein) and (y) any such exercise shall not take into account any limitations on the exercise of the Warrant Shares set forth in the Warrants, in each case subject to the adjustments set forth in the Certificate of Designations and Warrants.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Certificate of Designations and the Warrants, a selling stockholder, may not convert the Preferred Shares or exercise the Warrants to the extent (but only to the extent) such selling stockholder or any of its affiliates would beneficially own a number of shares of our shares of Common Stock which would exceed 4.99%, of the outstanding shares of the Company. The number of shares in the second column (“Number of Shares of Common Stock Owned Prior to Offering”), reflects these limitations. The number of shares in the third column (“Maximum Number of Shares of Common Stock to be Sold Pursuant to this Prospectus”) does not take into account any limitations on the conversion of the Preferred Shares or the Warrants. The selling stockholders may sell all, some or none of their shares in this offering. See “Plan of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2"/>
        <w:gridCol w:w="105"/>
        <w:gridCol w:w="131"/>
        <w:gridCol w:w="1029"/>
        <w:gridCol w:w="131"/>
        <w:gridCol w:w="131"/>
        <w:gridCol w:w="152"/>
        <w:gridCol w:w="857"/>
        <w:gridCol w:w="230"/>
        <w:gridCol w:w="105"/>
        <w:gridCol w:w="116"/>
        <w:gridCol w:w="1086"/>
        <w:gridCol w:w="317"/>
        <w:gridCol w:w="105"/>
        <w:gridCol w:w="137"/>
        <w:gridCol w:w="731"/>
        <w:gridCol w:w="369"/>
        <w:gridCol w:w="122"/>
        <w:gridCol w:w="145"/>
        <w:gridCol w:w="864"/>
        <w:gridCol w:w="300"/>
      </w:tblGrid>
      <w:tr>
        <w:trPr/>
        <w:tc>
          <w:tcPr>
            <w:tcW w:w="3042" w:type="dxa"/>
            <w:tcBorders/>
            <w:vAlign w:val="center"/>
          </w:tcPr>
          <w:p>
            <w:pPr>
              <w:pStyle w:val="TableContents"/>
              <w:bidi w:val="0"/>
              <w:spacing w:before="0" w:after="283"/>
              <w:jc w:val="center"/>
              <w:rPr/>
            </w:pPr>
            <w:r>
              <w:rPr/>
              <w:t xml:space="preserve">  </w:t>
            </w:r>
          </w:p>
        </w:tc>
        <w:tc>
          <w:tcPr>
            <w:tcW w:w="105" w:type="dxa"/>
            <w:tcBorders/>
            <w:vAlign w:val="center"/>
          </w:tcPr>
          <w:p>
            <w:pPr>
              <w:pStyle w:val="TableContents"/>
              <w:bidi w:val="0"/>
              <w:spacing w:before="0" w:after="283"/>
              <w:jc w:val="left"/>
              <w:rPr/>
            </w:pPr>
            <w:r>
              <w:rPr/>
              <w:t xml:space="preserve">  </w:t>
            </w:r>
          </w:p>
        </w:tc>
        <w:tc>
          <w:tcPr>
            <w:tcW w:w="2431"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Shares of Common Stock</w:t>
              <w:br/>
              <w:t>Beneficially Owned Before</w:t>
              <w:br/>
              <w:t>Offering(1)</w:t>
            </w:r>
            <w:r>
              <w:rPr/>
              <w:t xml:space="preserve"> </w:t>
            </w:r>
          </w:p>
        </w:tc>
        <w:tc>
          <w:tcPr>
            <w:tcW w:w="230" w:type="dxa"/>
            <w:tcBorders/>
            <w:vAlign w:val="center"/>
          </w:tcPr>
          <w:p>
            <w:pPr>
              <w:pStyle w:val="TableContents"/>
              <w:bidi w:val="0"/>
              <w:spacing w:before="0" w:after="283"/>
              <w:jc w:val="left"/>
              <w:rPr/>
            </w:pPr>
            <w:r>
              <w:rPr/>
              <w:t xml:space="preserve">  </w:t>
            </w:r>
          </w:p>
        </w:tc>
        <w:tc>
          <w:tcPr>
            <w:tcW w:w="105" w:type="dxa"/>
            <w:tcBorders/>
            <w:vAlign w:val="center"/>
          </w:tcPr>
          <w:p>
            <w:pPr>
              <w:pStyle w:val="TableContents"/>
              <w:bidi w:val="0"/>
              <w:spacing w:before="0" w:after="283"/>
              <w:jc w:val="left"/>
              <w:rPr/>
            </w:pPr>
            <w:r>
              <w:rPr/>
              <w:t xml:space="preserve">  </w:t>
            </w:r>
          </w:p>
        </w:tc>
        <w:tc>
          <w:tcPr>
            <w:tcW w:w="1202"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Maximum</w:t>
              <w:br/>
              <w:t>Number of</w:t>
              <w:br/>
              <w:t>Shares of</w:t>
              <w:br/>
              <w:t>Common</w:t>
              <w:br/>
              <w:t>Stock to be</w:t>
              <w:br/>
              <w:t>Sold Pursuant</w:t>
              <w:br/>
              <w:t>to this</w:t>
              <w:br/>
              <w:t>Prospectus (2)</w:t>
            </w:r>
            <w:r>
              <w:rPr/>
              <w:t xml:space="preserve"> </w:t>
            </w:r>
          </w:p>
        </w:tc>
        <w:tc>
          <w:tcPr>
            <w:tcW w:w="317" w:type="dxa"/>
            <w:tcBorders/>
            <w:vAlign w:val="center"/>
          </w:tcPr>
          <w:p>
            <w:pPr>
              <w:pStyle w:val="TableContents"/>
              <w:bidi w:val="0"/>
              <w:spacing w:before="0" w:after="283"/>
              <w:jc w:val="left"/>
              <w:rPr/>
            </w:pPr>
            <w:r>
              <w:rPr/>
              <w:t xml:space="preserve">  </w:t>
            </w:r>
          </w:p>
        </w:tc>
        <w:tc>
          <w:tcPr>
            <w:tcW w:w="105" w:type="dxa"/>
            <w:tcBorders/>
            <w:vAlign w:val="center"/>
          </w:tcPr>
          <w:p>
            <w:pPr>
              <w:pStyle w:val="TableContents"/>
              <w:bidi w:val="0"/>
              <w:spacing w:before="0" w:after="283"/>
              <w:jc w:val="left"/>
              <w:rPr/>
            </w:pPr>
            <w:r>
              <w:rPr/>
              <w:t xml:space="preserve">  </w:t>
            </w:r>
          </w:p>
        </w:tc>
        <w:tc>
          <w:tcPr>
            <w:tcW w:w="2368"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Shares of Common Stock</w:t>
              <w:br/>
              <w:t>Beneficially Owned After</w:t>
              <w:br/>
              <w:t>Offering</w:t>
            </w:r>
            <w:r>
              <w:rPr/>
              <w:t xml:space="preserve"> </w:t>
            </w:r>
          </w:p>
        </w:tc>
        <w:tc>
          <w:tcPr>
            <w:tcW w:w="300" w:type="dxa"/>
            <w:tcBorders/>
            <w:vAlign w:val="center"/>
          </w:tcPr>
          <w:p>
            <w:pPr>
              <w:pStyle w:val="TableContents"/>
              <w:bidi w:val="0"/>
              <w:spacing w:before="0" w:after="283"/>
              <w:jc w:val="left"/>
              <w:rPr/>
            </w:pPr>
            <w:r>
              <w:rPr/>
              <w:t xml:space="preserve">  </w:t>
            </w:r>
          </w:p>
        </w:tc>
      </w:tr>
      <w:tr>
        <w:trPr/>
        <w:tc>
          <w:tcPr>
            <w:tcW w:w="3042"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b/>
                <w:sz w:val="20"/>
              </w:rPr>
              <w:t>Selling Stockholders</w:t>
            </w:r>
            <w:r>
              <w:rPr/>
              <w:t xml:space="preserve"> </w:t>
            </w:r>
          </w:p>
        </w:tc>
        <w:tc>
          <w:tcPr>
            <w:tcW w:w="105" w:type="dxa"/>
            <w:tcBorders/>
            <w:vAlign w:val="center"/>
          </w:tcPr>
          <w:p>
            <w:pPr>
              <w:pStyle w:val="TableContents"/>
              <w:bidi w:val="0"/>
              <w:spacing w:before="0" w:after="283"/>
              <w:jc w:val="left"/>
              <w:rPr/>
            </w:pPr>
            <w:r>
              <w:rPr/>
              <w:t xml:space="preserve">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Number</w:t>
            </w:r>
            <w:r>
              <w:rPr/>
              <w:t xml:space="preserve"> </w:t>
            </w:r>
          </w:p>
        </w:tc>
        <w:tc>
          <w:tcPr>
            <w:tcW w:w="131" w:type="dxa"/>
            <w:tcBorders/>
            <w:vAlign w:val="center"/>
          </w:tcPr>
          <w:p>
            <w:pPr>
              <w:pStyle w:val="TableContents"/>
              <w:bidi w:val="0"/>
              <w:spacing w:before="0" w:after="283"/>
              <w:jc w:val="left"/>
              <w:rPr/>
            </w:pPr>
            <w:r>
              <w:rPr/>
              <w:t xml:space="preserve">  </w:t>
            </w:r>
          </w:p>
        </w:tc>
        <w:tc>
          <w:tcPr>
            <w:tcW w:w="131" w:type="dxa"/>
            <w:tcBorders/>
            <w:vAlign w:val="center"/>
          </w:tcPr>
          <w:p>
            <w:pPr>
              <w:pStyle w:val="TableContents"/>
              <w:bidi w:val="0"/>
              <w:spacing w:before="0" w:after="283"/>
              <w:jc w:val="left"/>
              <w:rPr/>
            </w:pPr>
            <w:r>
              <w:rPr/>
              <w:t xml:space="preserve">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Percentage</w:t>
            </w:r>
            <w:r>
              <w:rPr/>
              <w:t xml:space="preserve"> </w:t>
            </w:r>
          </w:p>
        </w:tc>
        <w:tc>
          <w:tcPr>
            <w:tcW w:w="230" w:type="dxa"/>
            <w:tcBorders/>
            <w:vAlign w:val="center"/>
          </w:tcPr>
          <w:p>
            <w:pPr>
              <w:pStyle w:val="TableContents"/>
              <w:bidi w:val="0"/>
              <w:spacing w:before="0" w:after="283"/>
              <w:jc w:val="left"/>
              <w:rPr/>
            </w:pPr>
            <w:r>
              <w:rPr/>
              <w:t xml:space="preserve">  </w:t>
            </w:r>
          </w:p>
        </w:tc>
        <w:tc>
          <w:tcPr>
            <w:tcW w:w="105" w:type="dxa"/>
            <w:tcBorders/>
            <w:vAlign w:val="center"/>
          </w:tcPr>
          <w:p>
            <w:pPr>
              <w:pStyle w:val="TableContents"/>
              <w:bidi w:val="0"/>
              <w:spacing w:before="0" w:after="283"/>
              <w:jc w:val="left"/>
              <w:rPr/>
            </w:pPr>
            <w:r>
              <w:rPr/>
              <w:t xml:space="preserve">  </w:t>
            </w:r>
          </w:p>
        </w:tc>
        <w:tc>
          <w:tcPr>
            <w:tcW w:w="1202"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Offered</w:t>
            </w:r>
            <w:r>
              <w:rPr/>
              <w:t xml:space="preserve"> </w:t>
            </w:r>
          </w:p>
        </w:tc>
        <w:tc>
          <w:tcPr>
            <w:tcW w:w="317" w:type="dxa"/>
            <w:tcBorders/>
            <w:vAlign w:val="center"/>
          </w:tcPr>
          <w:p>
            <w:pPr>
              <w:pStyle w:val="TableContents"/>
              <w:bidi w:val="0"/>
              <w:spacing w:before="0" w:after="283"/>
              <w:jc w:val="left"/>
              <w:rPr/>
            </w:pPr>
            <w:r>
              <w:rPr/>
              <w:t xml:space="preserve">  </w:t>
            </w:r>
          </w:p>
        </w:tc>
        <w:tc>
          <w:tcPr>
            <w:tcW w:w="105" w:type="dxa"/>
            <w:tcBorders/>
            <w:vAlign w:val="center"/>
          </w:tcPr>
          <w:p>
            <w:pPr>
              <w:pStyle w:val="TableContents"/>
              <w:bidi w:val="0"/>
              <w:spacing w:before="0" w:after="283"/>
              <w:jc w:val="left"/>
              <w:rPr/>
            </w:pPr>
            <w:r>
              <w:rPr/>
              <w:t xml:space="preserve">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Number</w:t>
            </w:r>
            <w:r>
              <w:rPr/>
              <w:t xml:space="preserve"> </w:t>
            </w:r>
          </w:p>
        </w:tc>
        <w:tc>
          <w:tcPr>
            <w:tcW w:w="369" w:type="dxa"/>
            <w:tcBorders/>
            <w:vAlign w:val="center"/>
          </w:tcPr>
          <w:p>
            <w:pPr>
              <w:pStyle w:val="TableContents"/>
              <w:bidi w:val="0"/>
              <w:spacing w:before="0" w:after="283"/>
              <w:jc w:val="left"/>
              <w:rPr/>
            </w:pPr>
            <w:r>
              <w:rPr/>
              <w:t xml:space="preserve">  </w:t>
            </w:r>
          </w:p>
        </w:tc>
        <w:tc>
          <w:tcPr>
            <w:tcW w:w="122" w:type="dxa"/>
            <w:tcBorders/>
            <w:vAlign w:val="center"/>
          </w:tcPr>
          <w:p>
            <w:pPr>
              <w:pStyle w:val="TableContents"/>
              <w:bidi w:val="0"/>
              <w:spacing w:before="0" w:after="283"/>
              <w:jc w:val="left"/>
              <w:rPr/>
            </w:pPr>
            <w:r>
              <w:rPr/>
              <w:t xml:space="preserve">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Percentage</w:t>
            </w:r>
            <w:r>
              <w:rPr/>
              <w:t xml:space="preserve"> </w:t>
            </w:r>
          </w:p>
        </w:tc>
        <w:tc>
          <w:tcPr>
            <w:tcW w:w="300" w:type="dxa"/>
            <w:tcBorders/>
            <w:vAlign w:val="center"/>
          </w:tcPr>
          <w:p>
            <w:pPr>
              <w:pStyle w:val="TableContents"/>
              <w:bidi w:val="0"/>
              <w:spacing w:before="0" w:after="283"/>
              <w:jc w:val="left"/>
              <w:rPr/>
            </w:pPr>
            <w:r>
              <w:rPr/>
              <w:t xml:space="preserve">  </w:t>
            </w:r>
          </w:p>
        </w:tc>
      </w:tr>
      <w:tr>
        <w:trPr/>
        <w:tc>
          <w:tcPr>
            <w:tcW w:w="3042" w:type="dxa"/>
            <w:tcBorders/>
            <w:shd w:fill="CCEEFF" w:val="clear"/>
            <w:vAlign w:val="center"/>
          </w:tcPr>
          <w:p>
            <w:pPr>
              <w:pStyle w:val="TableContents"/>
              <w:bidi w:val="0"/>
              <w:spacing w:before="0" w:after="283"/>
              <w:jc w:val="left"/>
              <w:rPr/>
            </w:pPr>
            <w:r>
              <w:rPr>
                <w:rFonts w:ascii="Times New Roman;Times;Serif" w:hAnsi="Times New Roman;Times;Serif"/>
                <w:sz w:val="20"/>
              </w:rPr>
              <w:t>Iroquois Capital Investment Group, LLC (3)</w:t>
            </w:r>
            <w:r>
              <w:rPr/>
              <w:t xml:space="preserve"> </w:t>
            </w:r>
          </w:p>
        </w:tc>
        <w:tc>
          <w:tcPr>
            <w:tcW w:w="105" w:type="dxa"/>
            <w:tcBorders/>
            <w:shd w:fill="CCEEFF" w:val="clear"/>
            <w:vAlign w:val="center"/>
          </w:tcPr>
          <w:p>
            <w:pPr>
              <w:pStyle w:val="TableContents"/>
              <w:bidi w:val="0"/>
              <w:spacing w:before="0" w:after="283"/>
              <w:jc w:val="lef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1029" w:type="dxa"/>
            <w:tcBorders/>
            <w:shd w:fill="CCEEFF" w:val="clear"/>
            <w:vAlign w:val="center"/>
          </w:tcPr>
          <w:p>
            <w:pPr>
              <w:pStyle w:val="TableContents"/>
              <w:bidi w:val="0"/>
              <w:spacing w:before="0" w:after="283"/>
              <w:jc w:val="right"/>
              <w:rPr/>
            </w:pPr>
            <w:r>
              <w:rPr/>
              <w:t xml:space="preserve">191,692 </w:t>
            </w:r>
          </w:p>
        </w:tc>
        <w:tc>
          <w:tcPr>
            <w:tcW w:w="131" w:type="dxa"/>
            <w:tcBorders/>
            <w:shd w:fill="CCEEFF" w:val="clear"/>
            <w:vAlign w:val="center"/>
          </w:tcPr>
          <w:p>
            <w:pPr>
              <w:pStyle w:val="TableContents"/>
              <w:bidi w:val="0"/>
              <w:spacing w:before="0" w:after="283"/>
              <w:jc w:val="lef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857" w:type="dxa"/>
            <w:tcBorders/>
            <w:shd w:fill="CCEEFF" w:val="clear"/>
            <w:vAlign w:val="center"/>
          </w:tcPr>
          <w:p>
            <w:pPr>
              <w:pStyle w:val="TableContents"/>
              <w:bidi w:val="0"/>
              <w:spacing w:before="0" w:after="283"/>
              <w:jc w:val="right"/>
              <w:rPr/>
            </w:pPr>
            <w:r>
              <w:rPr>
                <w:sz w:val="20"/>
              </w:rPr>
              <w:t>4.99</w:t>
            </w:r>
            <w:r>
              <w:rPr/>
              <w:t xml:space="preserve"> </w:t>
            </w:r>
          </w:p>
        </w:tc>
        <w:tc>
          <w:tcPr>
            <w:tcW w:w="230" w:type="dxa"/>
            <w:tcBorders/>
            <w:shd w:fill="CCEEFF" w:val="clear"/>
            <w:vAlign w:val="center"/>
          </w:tcPr>
          <w:p>
            <w:pPr>
              <w:pStyle w:val="TableContents"/>
              <w:bidi w:val="0"/>
              <w:spacing w:before="0" w:after="283"/>
              <w:jc w:val="left"/>
              <w:rPr/>
            </w:pPr>
            <w:r>
              <w:rPr>
                <w:sz w:val="20"/>
              </w:rPr>
              <w:t>%</w:t>
            </w:r>
            <w:r>
              <w:rPr/>
              <w:t xml:space="preserve"> </w:t>
            </w:r>
          </w:p>
        </w:tc>
        <w:tc>
          <w:tcPr>
            <w:tcW w:w="105"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1086" w:type="dxa"/>
            <w:tcBorders/>
            <w:shd w:fill="CCEEFF" w:val="clear"/>
            <w:vAlign w:val="center"/>
          </w:tcPr>
          <w:p>
            <w:pPr>
              <w:pStyle w:val="TableContents"/>
              <w:bidi w:val="0"/>
              <w:spacing w:before="0" w:after="283"/>
              <w:jc w:val="right"/>
              <w:rPr>
                <w:sz w:val="20"/>
              </w:rPr>
            </w:pPr>
            <w:r>
              <w:rPr>
                <w:sz w:val="20"/>
              </w:rPr>
              <w:t xml:space="preserve">22,688,324 </w:t>
            </w:r>
          </w:p>
        </w:tc>
        <w:tc>
          <w:tcPr>
            <w:tcW w:w="317" w:type="dxa"/>
            <w:tcBorders/>
            <w:shd w:fill="CCEEFF" w:val="clear"/>
            <w:vAlign w:val="center"/>
          </w:tcPr>
          <w:p>
            <w:pPr>
              <w:pStyle w:val="TableContents"/>
              <w:bidi w:val="0"/>
              <w:spacing w:before="0" w:after="283"/>
              <w:jc w:val="left"/>
              <w:rPr/>
            </w:pPr>
            <w:r>
              <w:rPr/>
              <w:t xml:space="preserve">(5) </w:t>
            </w:r>
          </w:p>
        </w:tc>
        <w:tc>
          <w:tcPr>
            <w:tcW w:w="105"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731" w:type="dxa"/>
            <w:tcBorders/>
            <w:shd w:fill="CCEEFF" w:val="clear"/>
            <w:vAlign w:val="center"/>
          </w:tcPr>
          <w:p>
            <w:pPr>
              <w:pStyle w:val="TableContents"/>
              <w:bidi w:val="0"/>
              <w:spacing w:before="0" w:after="283"/>
              <w:jc w:val="right"/>
              <w:rPr/>
            </w:pPr>
            <w:r>
              <w:rPr>
                <w:sz w:val="20"/>
              </w:rPr>
              <w:t>0</w:t>
            </w:r>
            <w:r>
              <w:rPr/>
              <w:t xml:space="preserve"> </w:t>
            </w:r>
          </w:p>
        </w:tc>
        <w:tc>
          <w:tcPr>
            <w:tcW w:w="369" w:type="dxa"/>
            <w:tcBorders/>
            <w:shd w:fill="CCEEFF" w:val="clear"/>
            <w:vAlign w:val="center"/>
          </w:tcPr>
          <w:p>
            <w:pPr>
              <w:pStyle w:val="TableContents"/>
              <w:bidi w:val="0"/>
              <w:spacing w:before="0" w:after="283"/>
              <w:jc w:val="left"/>
              <w:rPr/>
            </w:pPr>
            <w:r>
              <w:rPr/>
              <w:t xml:space="preserve">  </w:t>
            </w:r>
          </w:p>
        </w:tc>
        <w:tc>
          <w:tcPr>
            <w:tcW w:w="122" w:type="dxa"/>
            <w:tcBorders/>
            <w:shd w:fill="CCEEFF" w:val="clear"/>
            <w:vAlign w:val="center"/>
          </w:tcPr>
          <w:p>
            <w:pPr>
              <w:pStyle w:val="TableContents"/>
              <w:bidi w:val="0"/>
              <w:spacing w:before="0" w:after="283"/>
              <w:jc w:val="left"/>
              <w:rPr/>
            </w:pPr>
            <w:r>
              <w:rPr/>
              <w:t xml:space="preserve">  </w:t>
            </w:r>
          </w:p>
        </w:tc>
        <w:tc>
          <w:tcPr>
            <w:tcW w:w="145" w:type="dxa"/>
            <w:tcBorders/>
            <w:shd w:fill="CCEEFF" w:val="clear"/>
            <w:vAlign w:val="center"/>
          </w:tcPr>
          <w:p>
            <w:pPr>
              <w:pStyle w:val="TableContents"/>
              <w:bidi w:val="0"/>
              <w:spacing w:before="0" w:after="283"/>
              <w:jc w:val="left"/>
              <w:rPr/>
            </w:pPr>
            <w:r>
              <w:rPr/>
              <w:t xml:space="preserve">  </w:t>
            </w:r>
          </w:p>
        </w:tc>
        <w:tc>
          <w:tcPr>
            <w:tcW w:w="864" w:type="dxa"/>
            <w:tcBorders/>
            <w:shd w:fill="CCEEFF" w:val="clear"/>
            <w:vAlign w:val="center"/>
          </w:tcPr>
          <w:p>
            <w:pPr>
              <w:pStyle w:val="TableContents"/>
              <w:bidi w:val="0"/>
              <w:spacing w:before="0" w:after="283"/>
              <w:jc w:val="right"/>
              <w:rPr/>
            </w:pPr>
            <w:r>
              <w:rPr>
                <w:sz w:val="20"/>
              </w:rPr>
              <w:t>0.00</w:t>
            </w:r>
            <w:r>
              <w:rPr/>
              <w:t xml:space="preserve"> </w:t>
            </w:r>
          </w:p>
        </w:tc>
        <w:tc>
          <w:tcPr>
            <w:tcW w:w="300" w:type="dxa"/>
            <w:tcBorders/>
            <w:shd w:fill="CCEEFF" w:val="clear"/>
            <w:vAlign w:val="center"/>
          </w:tcPr>
          <w:p>
            <w:pPr>
              <w:pStyle w:val="TableContents"/>
              <w:bidi w:val="0"/>
              <w:spacing w:before="0" w:after="283"/>
              <w:jc w:val="left"/>
              <w:rPr/>
            </w:pPr>
            <w:r>
              <w:rPr>
                <w:sz w:val="20"/>
              </w:rPr>
              <w:t>% </w:t>
            </w:r>
            <w:r>
              <w:rPr/>
              <w:t xml:space="preserve"> </w:t>
            </w:r>
          </w:p>
        </w:tc>
      </w:tr>
      <w:tr>
        <w:trPr/>
        <w:tc>
          <w:tcPr>
            <w:tcW w:w="3042" w:type="dxa"/>
            <w:tcBorders/>
            <w:shd w:fill="FFFFFF" w:val="clear"/>
            <w:vAlign w:val="center"/>
          </w:tcPr>
          <w:p>
            <w:pPr>
              <w:pStyle w:val="TableContents"/>
              <w:bidi w:val="0"/>
              <w:spacing w:before="0" w:after="283"/>
              <w:jc w:val="left"/>
              <w:rPr/>
            </w:pPr>
            <w:r>
              <w:rPr>
                <w:rFonts w:ascii="Times New Roman;Times;Serif" w:hAnsi="Times New Roman;Times;Serif"/>
                <w:sz w:val="20"/>
              </w:rPr>
              <w:t>Iroquois Master Fund Ltd. (4)</w:t>
            </w:r>
            <w:r>
              <w:rPr/>
              <w:t xml:space="preserve"> </w:t>
            </w:r>
          </w:p>
        </w:tc>
        <w:tc>
          <w:tcPr>
            <w:tcW w:w="105" w:type="dxa"/>
            <w:tcBorders/>
            <w:shd w:fill="FFFFFF" w:val="clear"/>
            <w:vAlign w:val="center"/>
          </w:tcPr>
          <w:p>
            <w:pPr>
              <w:pStyle w:val="TableContents"/>
              <w:bidi w:val="0"/>
              <w:spacing w:before="0" w:after="283"/>
              <w:jc w:val="lef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1029" w:type="dxa"/>
            <w:tcBorders/>
            <w:shd w:fill="FFFFFF" w:val="clear"/>
            <w:vAlign w:val="center"/>
          </w:tcPr>
          <w:p>
            <w:pPr>
              <w:pStyle w:val="TableContents"/>
              <w:bidi w:val="0"/>
              <w:spacing w:before="0" w:after="283"/>
              <w:jc w:val="right"/>
              <w:rPr/>
            </w:pPr>
            <w:r>
              <w:rPr/>
              <w:t xml:space="preserve">84,621 </w:t>
            </w:r>
          </w:p>
        </w:tc>
        <w:tc>
          <w:tcPr>
            <w:tcW w:w="131" w:type="dxa"/>
            <w:tcBorders/>
            <w:shd w:fill="FFFFFF" w:val="clear"/>
            <w:vAlign w:val="center"/>
          </w:tcPr>
          <w:p>
            <w:pPr>
              <w:pStyle w:val="TableContents"/>
              <w:bidi w:val="0"/>
              <w:spacing w:before="0" w:after="283"/>
              <w:jc w:val="lef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857" w:type="dxa"/>
            <w:tcBorders/>
            <w:shd w:fill="FFFFFF" w:val="clear"/>
            <w:vAlign w:val="center"/>
          </w:tcPr>
          <w:p>
            <w:pPr>
              <w:pStyle w:val="TableContents"/>
              <w:bidi w:val="0"/>
              <w:spacing w:before="0" w:after="283"/>
              <w:jc w:val="right"/>
              <w:rPr/>
            </w:pPr>
            <w:r>
              <w:rPr>
                <w:sz w:val="20"/>
              </w:rPr>
              <w:t>4.99</w:t>
            </w:r>
            <w:r>
              <w:rPr/>
              <w:t xml:space="preserve"> </w:t>
            </w:r>
          </w:p>
        </w:tc>
        <w:tc>
          <w:tcPr>
            <w:tcW w:w="230" w:type="dxa"/>
            <w:tcBorders/>
            <w:shd w:fill="FFFFFF" w:val="clear"/>
            <w:vAlign w:val="center"/>
          </w:tcPr>
          <w:p>
            <w:pPr>
              <w:pStyle w:val="TableContents"/>
              <w:bidi w:val="0"/>
              <w:spacing w:before="0" w:after="283"/>
              <w:jc w:val="left"/>
              <w:rPr/>
            </w:pPr>
            <w:r>
              <w:rPr>
                <w:sz w:val="20"/>
              </w:rPr>
              <w:t>%</w:t>
            </w:r>
            <w:r>
              <w:rPr/>
              <w:t xml:space="preserve"> </w:t>
            </w:r>
          </w:p>
        </w:tc>
        <w:tc>
          <w:tcPr>
            <w:tcW w:w="105"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1086" w:type="dxa"/>
            <w:tcBorders/>
            <w:shd w:fill="FFFFFF" w:val="clear"/>
            <w:vAlign w:val="center"/>
          </w:tcPr>
          <w:p>
            <w:pPr>
              <w:pStyle w:val="TableContents"/>
              <w:bidi w:val="0"/>
              <w:spacing w:before="0" w:after="283"/>
              <w:jc w:val="right"/>
              <w:rPr/>
            </w:pPr>
            <w:r>
              <w:rPr>
                <w:sz w:val="20"/>
              </w:rPr>
              <w:t>10,015,565</w:t>
            </w:r>
            <w:r>
              <w:rPr/>
              <w:t xml:space="preserve"> </w:t>
            </w:r>
          </w:p>
        </w:tc>
        <w:tc>
          <w:tcPr>
            <w:tcW w:w="317" w:type="dxa"/>
            <w:tcBorders/>
            <w:shd w:fill="FFFFFF" w:val="clear"/>
            <w:vAlign w:val="center"/>
          </w:tcPr>
          <w:p>
            <w:pPr>
              <w:pStyle w:val="TableContents"/>
              <w:bidi w:val="0"/>
              <w:spacing w:before="0" w:after="283"/>
              <w:jc w:val="left"/>
              <w:rPr/>
            </w:pPr>
            <w:r>
              <w:rPr/>
              <w:t xml:space="preserve">(6) </w:t>
            </w:r>
          </w:p>
        </w:tc>
        <w:tc>
          <w:tcPr>
            <w:tcW w:w="105"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731" w:type="dxa"/>
            <w:tcBorders/>
            <w:shd w:fill="FFFFFF" w:val="clear"/>
            <w:vAlign w:val="center"/>
          </w:tcPr>
          <w:p>
            <w:pPr>
              <w:pStyle w:val="TableContents"/>
              <w:bidi w:val="0"/>
              <w:spacing w:before="0" w:after="283"/>
              <w:jc w:val="right"/>
              <w:rPr/>
            </w:pPr>
            <w:r>
              <w:rPr>
                <w:sz w:val="20"/>
              </w:rPr>
              <w:t>28,791</w:t>
            </w:r>
            <w:r>
              <w:rPr/>
              <w:t xml:space="preserve"> </w:t>
            </w:r>
          </w:p>
        </w:tc>
        <w:tc>
          <w:tcPr>
            <w:tcW w:w="369" w:type="dxa"/>
            <w:tcBorders/>
            <w:shd w:fill="FFFFFF" w:val="clear"/>
            <w:vAlign w:val="center"/>
          </w:tcPr>
          <w:p>
            <w:pPr>
              <w:pStyle w:val="TableContents"/>
              <w:bidi w:val="0"/>
              <w:spacing w:before="0" w:after="283"/>
              <w:jc w:val="left"/>
              <w:rPr/>
            </w:pPr>
            <w:r>
              <w:rPr/>
              <w:t xml:space="preserve">(6) </w:t>
            </w:r>
          </w:p>
        </w:tc>
        <w:tc>
          <w:tcPr>
            <w:tcW w:w="122" w:type="dxa"/>
            <w:tcBorders/>
            <w:shd w:fill="FFFFFF" w:val="clear"/>
            <w:vAlign w:val="center"/>
          </w:tcPr>
          <w:p>
            <w:pPr>
              <w:pStyle w:val="TableContents"/>
              <w:bidi w:val="0"/>
              <w:spacing w:before="0" w:after="283"/>
              <w:jc w:val="left"/>
              <w:rPr/>
            </w:pPr>
            <w:r>
              <w:rPr/>
              <w:t xml:space="preserve">  </w:t>
            </w:r>
          </w:p>
        </w:tc>
        <w:tc>
          <w:tcPr>
            <w:tcW w:w="145" w:type="dxa"/>
            <w:tcBorders/>
            <w:shd w:fill="FFFFFF" w:val="clear"/>
            <w:vAlign w:val="center"/>
          </w:tcPr>
          <w:p>
            <w:pPr>
              <w:pStyle w:val="TableContents"/>
              <w:bidi w:val="0"/>
              <w:spacing w:before="0" w:after="283"/>
              <w:jc w:val="left"/>
              <w:rPr/>
            </w:pPr>
            <w:r>
              <w:rPr/>
              <w:t xml:space="preserve">  </w:t>
            </w:r>
          </w:p>
        </w:tc>
        <w:tc>
          <w:tcPr>
            <w:tcW w:w="864" w:type="dxa"/>
            <w:tcBorders/>
            <w:shd w:fill="FFFFFF" w:val="clear"/>
            <w:vAlign w:val="center"/>
          </w:tcPr>
          <w:p>
            <w:pPr>
              <w:pStyle w:val="TableContents"/>
              <w:bidi w:val="0"/>
              <w:spacing w:before="0" w:after="283"/>
              <w:jc w:val="right"/>
              <w:rPr/>
            </w:pPr>
            <w:r>
              <w:rPr>
                <w:sz w:val="20"/>
              </w:rPr>
              <w:t>*</w:t>
            </w:r>
            <w:r>
              <w:rPr/>
              <w:t xml:space="preserve"> </w:t>
            </w:r>
          </w:p>
        </w:tc>
        <w:tc>
          <w:tcPr>
            <w:tcW w:w="30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xml:space="preserve">(1) </w:t>
            </w:r>
          </w:p>
        </w:tc>
        <w:tc>
          <w:tcPr>
            <w:tcW w:w="9935" w:type="dxa"/>
            <w:tcBorders/>
            <w:vAlign w:val="center"/>
          </w:tcPr>
          <w:p>
            <w:pPr>
              <w:pStyle w:val="TableContents"/>
              <w:bidi w:val="0"/>
              <w:spacing w:before="0" w:after="283"/>
              <w:jc w:val="both"/>
              <w:rPr/>
            </w:pPr>
            <w:r>
              <w:rPr/>
              <w:t xml:space="preserve">This table and the information in the notes below are based upon information available to the Company and upon 5,261,024 shares of Common Stock issued and outstanding as of May 15, 2025 (prior to any deemed issuance of any Conversion Shares or Warrant Shares).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certain beneficial ownership limitations and limitations under the rules or regulations of Nasdaq.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
        <w:gridCol w:w="241"/>
        <w:gridCol w:w="9878"/>
      </w:tblGrid>
      <w:tr>
        <w:trPr/>
        <w:tc>
          <w:tcPr>
            <w:tcW w:w="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xml:space="preserve">(2) </w:t>
            </w:r>
          </w:p>
        </w:tc>
        <w:tc>
          <w:tcPr>
            <w:tcW w:w="9878" w:type="dxa"/>
            <w:tcBorders/>
            <w:vAlign w:val="center"/>
          </w:tcPr>
          <w:p>
            <w:pPr>
              <w:pStyle w:val="TableContents"/>
              <w:bidi w:val="0"/>
              <w:spacing w:before="0" w:after="283"/>
              <w:jc w:val="both"/>
              <w:rPr/>
            </w:pPr>
            <w:r>
              <w:rPr/>
              <w:t xml:space="preserve">Shares of Common Stock to be sold pursuant to this prospectus represent the number of shares of Common Stock that may be issued, in the aggregate, upon conversion or exercise (as the case may be) of any Preferred Shares or any Warrants beneficially owned by the selling stockholder without </w:t>
            </w:r>
            <w:r>
              <w:rPr>
                <w:rFonts w:ascii="Times New Roman;Times;Serif" w:hAnsi="Times New Roman;Times;Serif"/>
                <w:sz w:val="20"/>
              </w:rPr>
              <w:t>taking in account any limitations on beneficial limitation as related to the (i) conversion of the Preferred Shares as set forth in the Certificate of Designations or (ii) exercise of the Warrants as set forth in the Warrants</w:t>
            </w:r>
            <w:r>
              <w:rPr/>
              <w:t xml:space="preserve">. </w:t>
            </w:r>
          </w:p>
        </w:tc>
      </w:tr>
      <w:tr>
        <w:trPr/>
        <w:tc>
          <w:tcPr>
            <w:tcW w:w="8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878" w:type="dxa"/>
            <w:tcBorders/>
            <w:vAlign w:val="center"/>
          </w:tcPr>
          <w:p>
            <w:pPr>
              <w:pStyle w:val="TableContents"/>
              <w:bidi w:val="0"/>
              <w:spacing w:before="0" w:after="283"/>
              <w:jc w:val="both"/>
              <w:rPr/>
            </w:pPr>
            <w:r>
              <w:rPr/>
              <w:t> </w:t>
            </w:r>
          </w:p>
        </w:tc>
      </w:tr>
      <w:tr>
        <w:trPr/>
        <w:tc>
          <w:tcPr>
            <w:tcW w:w="86" w:type="dxa"/>
            <w:tcBorders/>
            <w:vAlign w:val="center"/>
          </w:tcPr>
          <w:p>
            <w:pPr>
              <w:pStyle w:val="TableContents"/>
              <w:bidi w:val="0"/>
              <w:spacing w:before="0" w:after="283"/>
              <w:jc w:val="left"/>
              <w:rPr/>
            </w:pPr>
            <w:r>
              <w:rPr/>
              <w:t xml:space="preserve">  </w:t>
            </w:r>
          </w:p>
        </w:tc>
        <w:tc>
          <w:tcPr>
            <w:tcW w:w="241" w:type="dxa"/>
            <w:tcBorders/>
            <w:vAlign w:val="center"/>
          </w:tcPr>
          <w:p>
            <w:pPr>
              <w:pStyle w:val="TableContents"/>
              <w:bidi w:val="0"/>
              <w:spacing w:before="0" w:after="283"/>
              <w:jc w:val="left"/>
              <w:rPr/>
            </w:pPr>
            <w:r>
              <w:rPr/>
              <w:t xml:space="preserve">  </w:t>
            </w:r>
          </w:p>
        </w:tc>
        <w:tc>
          <w:tcPr>
            <w:tcW w:w="9878" w:type="dxa"/>
            <w:tcBorders/>
            <w:vAlign w:val="center"/>
          </w:tcPr>
          <w:p>
            <w:pPr>
              <w:pStyle w:val="TableContents"/>
              <w:bidi w:val="0"/>
              <w:spacing w:before="0" w:after="283"/>
              <w:jc w:val="both"/>
              <w:rPr/>
            </w:pPr>
            <w:r>
              <w:rPr/>
              <w:t xml:space="preserve">The number of shares of Common Stock in this column additionally includes up to an aggregate of 3,404,200 Dividend Shares issuable as dividends to the holders of the Preferred Shares, calculated on a pro-rata basis for each selling stockholder based on the number of Preferred Shares held by the selling stockholder prior to this offering.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 xml:space="preserve">(3) </w:t>
            </w:r>
          </w:p>
        </w:tc>
        <w:tc>
          <w:tcPr>
            <w:tcW w:w="9930" w:type="dxa"/>
            <w:tcBorders/>
            <w:vAlign w:val="center"/>
          </w:tcPr>
          <w:p>
            <w:pPr>
              <w:pStyle w:val="TableContents"/>
              <w:bidi w:val="0"/>
              <w:spacing w:before="0" w:after="283"/>
              <w:jc w:val="both"/>
              <w:rPr/>
            </w:pPr>
            <w:r>
              <w:rPr/>
              <w:t xml:space="preserve">The shares are held directly by Iroquois Capital Investment Group, LLC, a limited liability company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1010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7" w:type="dxa"/>
            <w:tcBorders/>
            <w:vAlign w:val="center"/>
          </w:tcPr>
          <w:p>
            <w:pPr>
              <w:pStyle w:val="TableContents"/>
              <w:bidi w:val="0"/>
              <w:spacing w:before="0" w:after="283"/>
              <w:jc w:val="both"/>
              <w:rPr/>
            </w:pPr>
            <w:r>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Other shares of Common Stock beneficially owned prior to this offering consist of 28,791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 xml:space="preserve">(4) </w:t>
            </w:r>
          </w:p>
        </w:tc>
        <w:tc>
          <w:tcPr>
            <w:tcW w:w="9940" w:type="dxa"/>
            <w:tcBorders/>
            <w:vAlign w:val="center"/>
          </w:tcPr>
          <w:p>
            <w:pPr>
              <w:pStyle w:val="TableContents"/>
              <w:bidi w:val="0"/>
              <w:spacing w:before="0" w:after="283"/>
              <w:jc w:val="both"/>
              <w:rPr/>
            </w:pPr>
            <w:r>
              <w:rPr/>
              <w:t xml:space="preserve">The shares are held directly by Iroquois Master Fund Ltd.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 xml:space="preserve">(5) </w:t>
            </w:r>
          </w:p>
        </w:tc>
        <w:tc>
          <w:tcPr>
            <w:tcW w:w="9916" w:type="dxa"/>
            <w:tcBorders/>
            <w:vAlign w:val="center"/>
          </w:tcPr>
          <w:p>
            <w:pPr>
              <w:pStyle w:val="TableContents"/>
              <w:bidi w:val="0"/>
              <w:spacing w:before="0" w:after="283"/>
              <w:jc w:val="both"/>
              <w:rPr/>
            </w:pPr>
            <w:r>
              <w:rPr/>
              <w:t xml:space="preserve">Consists of (i) 16,616,766 Conversion Shares converted at the Floor Price, (ii) 1,854,947 shares of Common Stock issuable upon exercise of the Series A Warrants at the initial exercise price, (iii) 1,854,947 shares of Common Stock issuable upon exercise of the Series B Warrants at the initial exercise price, and (iv) 2,361,664 Dividend Shares.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 xml:space="preserve">(6) </w:t>
            </w:r>
          </w:p>
        </w:tc>
        <w:tc>
          <w:tcPr>
            <w:tcW w:w="9925" w:type="dxa"/>
            <w:tcBorders/>
            <w:vAlign w:val="center"/>
          </w:tcPr>
          <w:p>
            <w:pPr>
              <w:pStyle w:val="TableContents"/>
              <w:bidi w:val="0"/>
              <w:spacing w:before="0" w:after="283"/>
              <w:jc w:val="both"/>
              <w:rPr/>
            </w:pPr>
            <w:r>
              <w:rPr/>
              <w:t xml:space="preserve">Consists of (i) 7,335,329 Conversion Shares converted at the Floor Price, (ii) 818,850 shares of Common Stock issuable upon exercise of the Series A Warrants at the initial exercise price, (iii) 818,850 shares of Common Stock issuable upon exercise of the Series B Warrants at the initial exercise price, and (iv) 1,042,536 Dividend Shares. Does not include an aggregate of 28,791 shares of Common Stock beneficially owned by the selling stockholder prior to the offering.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whether such options are listed on an options exchange or otherwise;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made after the date the Registration Statement is declared effective by the SEC;</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a selling security holder to sell a specified number of such shares at a stipulated price per share;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securities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securities pursuant to the Registration Rights Agreements, estimated to be $49,120.98 in total,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securities will be freely tradable in the hands of persons other than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will be passed upon for us by Haynes and Boone,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XWELL, Inc. and subsidiaries as of and for the years December 31, 2024 and 2023, incorporated by reference in this registration statement and accompanying prospectus have been audited by Marcum LLP, and independent registered public accounting firm, as stated in their report (the report on the consolidated financial statements contains an explanatory paragraph regarding the Company’s ability to continue as a going concern). Such consolidated financial statements have been incorporated herein by reference in reliance 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Securities Exchange Act of 1934, as amended, subsequent to the date of this prospectus and prior to the termination of 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5"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2">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December 31, 2024, filed with the SEC on April 15, 2025, as amended by our report on </w:t>
            </w:r>
            <w:hyperlink r:id="rId3">
              <w:r>
                <w:rPr>
                  <w:rStyle w:val="InternetLink"/>
                  <w:rFonts w:ascii="Times New Roman;Times;Serif" w:hAnsi="Times New Roman;Times;Serif"/>
                  <w:sz w:val="20"/>
                </w:rPr>
                <w:t>Form 10-K/A</w:t>
              </w:r>
            </w:hyperlink>
            <w:r>
              <w:rPr>
                <w:rFonts w:ascii="Times New Roman;Times;Serif" w:hAnsi="Times New Roman;Times;Serif"/>
                <w:sz w:val="20"/>
              </w:rPr>
              <w:t>, filed with the SEC on April 28, 2025;</w:t>
            </w:r>
          </w:p>
        </w:tc>
      </w:tr>
      <w:tr>
        <w:trPr/>
        <w:tc>
          <w:tcPr>
            <w:tcW w:w="130" w:type="dxa"/>
            <w:tcBorders/>
            <w:vAlign w:val="center"/>
          </w:tcPr>
          <w:p>
            <w:pPr>
              <w:pStyle w:val="TableContents"/>
              <w:bidi w:val="0"/>
              <w:spacing w:before="0" w:after="283"/>
              <w:jc w:val="both"/>
              <w:rPr/>
            </w:pPr>
            <w:r>
              <w:rPr/>
              <w:t> </w:t>
            </w:r>
          </w:p>
        </w:tc>
        <w:tc>
          <w:tcPr>
            <w:tcW w:w="10075" w:type="dxa"/>
            <w:tcBorders/>
            <w:vAlign w:val="center"/>
          </w:tcPr>
          <w:p>
            <w:pPr>
              <w:pStyle w:val="TableContents"/>
              <w:bidi w:val="0"/>
              <w:spacing w:before="0" w:after="283"/>
              <w:jc w:val="both"/>
              <w:rPr/>
            </w:pPr>
            <w:r>
              <w:rPr/>
              <w:t> </w:t>
            </w:r>
          </w:p>
        </w:tc>
      </w:tr>
      <w:tr>
        <w:trPr/>
        <w:tc>
          <w:tcPr>
            <w:tcW w:w="130" w:type="dxa"/>
            <w:tcBorders/>
            <w:vAlign w:val="center"/>
          </w:tcPr>
          <w:p>
            <w:pPr>
              <w:pStyle w:val="TableContents"/>
              <w:bidi w:val="0"/>
              <w:spacing w:before="0" w:after="283"/>
              <w:jc w:val="both"/>
              <w:rPr/>
            </w:pPr>
            <w:r>
              <w:rPr>
                <w:rFonts w:ascii="Symbol" w:hAnsi="Symbol"/>
                <w:sz w:val="20"/>
              </w:rPr>
              <w:t>·</w:t>
            </w:r>
            <w:r>
              <w:rPr/>
              <w:t xml:space="preserve"> </w:t>
            </w:r>
          </w:p>
        </w:tc>
        <w:tc>
          <w:tcPr>
            <w:tcW w:w="10075" w:type="dxa"/>
            <w:tcBorders/>
            <w:vAlign w:val="center"/>
          </w:tcPr>
          <w:p>
            <w:pPr>
              <w:pStyle w:val="TableContents"/>
              <w:bidi w:val="0"/>
              <w:spacing w:before="0" w:after="283"/>
              <w:jc w:val="both"/>
              <w:rPr/>
            </w:pPr>
            <w:r>
              <w:rPr/>
              <w:t xml:space="preserve">our Quarterly Report on </w:t>
            </w:r>
            <w:hyperlink r:id="rId4">
              <w:r>
                <w:rPr>
                  <w:rStyle w:val="InternetLink"/>
                </w:rPr>
                <w:t>Form 10-Q</w:t>
              </w:r>
            </w:hyperlink>
            <w:r>
              <w:rPr/>
              <w:t xml:space="preserve"> for the period ended March 31, 2025, filed with the SEC on May 20, 2025;  </w:t>
            </w:r>
          </w:p>
        </w:tc>
      </w:tr>
      <w:tr>
        <w:trPr/>
        <w:tc>
          <w:tcPr>
            <w:tcW w:w="130" w:type="dxa"/>
            <w:tcBorders/>
            <w:vAlign w:val="center"/>
          </w:tcPr>
          <w:p>
            <w:pPr>
              <w:pStyle w:val="TableContents"/>
              <w:bidi w:val="0"/>
              <w:spacing w:before="0" w:after="283"/>
              <w:jc w:val="both"/>
              <w:rPr/>
            </w:pPr>
            <w:r>
              <w:rPr/>
              <w:t> </w:t>
            </w:r>
          </w:p>
        </w:tc>
        <w:tc>
          <w:tcPr>
            <w:tcW w:w="10075" w:type="dxa"/>
            <w:tcBorders/>
            <w:vAlign w:val="center"/>
          </w:tcPr>
          <w:p>
            <w:pPr>
              <w:pStyle w:val="TableContents"/>
              <w:bidi w:val="0"/>
              <w:spacing w:before="0" w:after="283"/>
              <w:jc w:val="both"/>
              <w:rPr/>
            </w:pPr>
            <w:r>
              <w:rPr/>
              <w:t> </w:t>
            </w:r>
          </w:p>
        </w:tc>
      </w:tr>
      <w:tr>
        <w:trPr/>
        <w:tc>
          <w:tcPr>
            <w:tcW w:w="130" w:type="dxa"/>
            <w:tcBorders/>
            <w:vAlign w:val="center"/>
          </w:tcPr>
          <w:p>
            <w:pPr>
              <w:pStyle w:val="TableContents"/>
              <w:bidi w:val="0"/>
              <w:spacing w:before="0" w:after="283"/>
              <w:jc w:val="both"/>
              <w:rPr/>
            </w:pPr>
            <w:r>
              <w:rPr>
                <w:rFonts w:ascii="Symbol" w:hAnsi="Symbol"/>
                <w:sz w:val="20"/>
              </w:rPr>
              <w:t>·</w:t>
            </w:r>
            <w:r>
              <w:rPr/>
              <w:t xml:space="preserve"> </w:t>
            </w:r>
          </w:p>
        </w:tc>
        <w:tc>
          <w:tcPr>
            <w:tcW w:w="10075"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5">
              <w:r>
                <w:rPr>
                  <w:rStyle w:val="InternetLink"/>
                  <w:rFonts w:ascii="Times New Roman;Times;Serif" w:hAnsi="Times New Roman;Times;Serif"/>
                  <w:sz w:val="20"/>
                </w:rPr>
                <w:t>January 7, 2025</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January 15, 2025,</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March 5,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11,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April 21, 2025</w:t>
              </w:r>
            </w:hyperlink>
            <w:r>
              <w:rPr>
                <w:rFonts w:ascii="Times New Roman;Times;Serif" w:hAnsi="Times New Roman;Times;Serif"/>
                <w:sz w:val="20"/>
              </w:rPr>
              <w:t xml:space="preserve">, and </w:t>
            </w:r>
            <w:hyperlink r:id="rId10">
              <w:r>
                <w:rPr>
                  <w:rStyle w:val="InternetLink"/>
                  <w:rFonts w:ascii="Times New Roman;Times;Serif" w:hAnsi="Times New Roman;Times;Serif"/>
                  <w:sz w:val="20"/>
                </w:rPr>
                <w:t>May 19, 2025</w:t>
              </w:r>
            </w:hyperlink>
            <w:r>
              <w:rPr>
                <w:rFonts w:ascii="Times New Roman;Times;Serif" w:hAnsi="Times New Roman;Times;Serif"/>
                <w:sz w:val="20"/>
              </w:rPr>
              <w:t>; and</w:t>
            </w:r>
            <w:r>
              <w:rPr/>
              <w:t xml:space="preserve"> </w:t>
            </w:r>
          </w:p>
        </w:tc>
      </w:tr>
      <w:tr>
        <w:trPr/>
        <w:tc>
          <w:tcPr>
            <w:tcW w:w="130" w:type="dxa"/>
            <w:tcBorders/>
            <w:vAlign w:val="center"/>
          </w:tcPr>
          <w:p>
            <w:pPr>
              <w:pStyle w:val="TableContents"/>
              <w:bidi w:val="0"/>
              <w:spacing w:before="0" w:after="283"/>
              <w:jc w:val="both"/>
              <w:rPr/>
            </w:pPr>
            <w:r>
              <w:rPr/>
              <w:t> </w:t>
            </w:r>
          </w:p>
        </w:tc>
        <w:tc>
          <w:tcPr>
            <w:tcW w:w="10075" w:type="dxa"/>
            <w:tcBorders/>
            <w:vAlign w:val="center"/>
          </w:tcPr>
          <w:p>
            <w:pPr>
              <w:pStyle w:val="TableContents"/>
              <w:bidi w:val="0"/>
              <w:spacing w:before="0" w:after="283"/>
              <w:jc w:val="both"/>
              <w:rPr/>
            </w:pPr>
            <w:r>
              <w:rPr/>
              <w:t> </w:t>
            </w:r>
          </w:p>
        </w:tc>
      </w:tr>
      <w:tr>
        <w:trPr/>
        <w:tc>
          <w:tcPr>
            <w:tcW w:w="13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5"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stock contained in our </w:t>
            </w:r>
            <w:hyperlink r:id="rId11">
              <w:r>
                <w:rPr>
                  <w:rStyle w:val="InternetLink"/>
                  <w:rFonts w:ascii="Times New Roman;Times;Serif" w:hAnsi="Times New Roman;Times;Serif"/>
                  <w:sz w:val="20"/>
                </w:rPr>
                <w:t>Form 8-A</w:t>
              </w:r>
            </w:hyperlink>
            <w:r>
              <w:rPr>
                <w:rFonts w:ascii="Times New Roman;Times;Serif" w:hAnsi="Times New Roman;Times;Serif"/>
                <w:sz w:val="20"/>
              </w:rPr>
              <w:t xml:space="preserve"> filed with the SEC on June 16, 2010, as amended by </w:t>
            </w:r>
            <w:hyperlink r:id="rId12">
              <w:r>
                <w:rPr>
                  <w:rStyle w:val="InternetLink"/>
                  <w:rFonts w:ascii="Times New Roman;Times;Serif" w:hAnsi="Times New Roman;Times;Serif"/>
                  <w:sz w:val="20"/>
                </w:rPr>
                <w:t>Exhibit 4.22</w:t>
              </w:r>
            </w:hyperlink>
            <w:r>
              <w:rPr>
                <w:rFonts w:ascii="Times New Roman;Times;Serif" w:hAnsi="Times New Roman;Times;Serif"/>
                <w:sz w:val="20"/>
              </w:rPr>
              <w:t xml:space="preserve"> to our Annual Report on Form 10-K for the year ended December 31, 2019, filed with the SEC on April 20, 2020, including any amendments thereto or reports filed for the purposes of updating this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filings filed by us pursuant to the Securities Exchange Act of 1934, as amended, after the date of the initial filing of this registration statement and prior to the effectiveness of such registration statement (excluding information furnished pursuant to Items 2.02 and 7.01 of Form 8-K) shall also be deemed to be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750-9595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32,703,889 Shares of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including up to 3,404,200 Dividend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costs and expenses payable by us in connection with the sale of the securities being registered. All such costs and expenses shall be borne by us. Except for the Securities and Exchange Commission registration fee, all the amounts shown are estimates.</w:t>
      </w:r>
    </w:p>
    <w:p>
      <w:pPr>
        <w:pStyle w:val="TextBody"/>
        <w:bidi w:val="0"/>
        <w:spacing w:before="0" w:after="0"/>
        <w:ind w:left="0" w:right="0" w:hanging="0"/>
        <w:jc w:val="both"/>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4535"/>
        <w:gridCol w:w="60"/>
        <w:gridCol w:w="60"/>
        <w:gridCol w:w="185"/>
        <w:gridCol w:w="890"/>
        <w:gridCol w:w="75"/>
      </w:tblGrid>
      <w:tr>
        <w:trPr/>
        <w:tc>
          <w:tcPr>
            <w:tcW w:w="4535" w:type="dxa"/>
            <w:tcBorders/>
            <w:shd w:fill="CCEEFF" w:val="clear"/>
            <w:vAlign w:val="center"/>
          </w:tcPr>
          <w:p>
            <w:pPr>
              <w:pStyle w:val="TableContents"/>
              <w:bidi w:val="0"/>
              <w:spacing w:before="0" w:after="283"/>
              <w:jc w:val="left"/>
              <w:rPr/>
            </w:pPr>
            <w:r>
              <w:rPr>
                <w:sz w:val="20"/>
              </w:rPr>
              <w:t>Securities and Exchange Commission Registration Fee</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sz w:val="20"/>
              </w:rPr>
              <w:t>$</w:t>
            </w:r>
            <w:r>
              <w:rPr/>
              <w:t xml:space="preserve"> </w:t>
            </w:r>
          </w:p>
        </w:tc>
        <w:tc>
          <w:tcPr>
            <w:tcW w:w="890" w:type="dxa"/>
            <w:tcBorders/>
            <w:shd w:fill="CCEEFF" w:val="clear"/>
            <w:vAlign w:val="center"/>
          </w:tcPr>
          <w:p>
            <w:pPr>
              <w:pStyle w:val="TableContents"/>
              <w:bidi w:val="0"/>
              <w:spacing w:before="0" w:after="283"/>
              <w:jc w:val="right"/>
              <w:rPr/>
            </w:pPr>
            <w:r>
              <w:rPr>
                <w:sz w:val="20"/>
              </w:rPr>
              <w:t>4,456.20</w:t>
            </w: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sz w:val="20"/>
              </w:rPr>
              <w:t>Printing and engraving costs</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xml:space="preserve">  </w:t>
            </w:r>
          </w:p>
        </w:tc>
        <w:tc>
          <w:tcPr>
            <w:tcW w:w="890" w:type="dxa"/>
            <w:tcBorders/>
            <w:shd w:fill="FFFFFF" w:val="clear"/>
            <w:vAlign w:val="center"/>
          </w:tcPr>
          <w:p>
            <w:pPr>
              <w:pStyle w:val="TableContents"/>
              <w:bidi w:val="0"/>
              <w:spacing w:before="0" w:after="283"/>
              <w:jc w:val="right"/>
              <w:rPr/>
            </w:pPr>
            <w:r>
              <w:rPr>
                <w:sz w:val="20"/>
              </w:rPr>
              <w:t>-</w:t>
            </w: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sz w:val="20"/>
              </w:rPr>
              <w:t>Legal fees and expenses</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xml:space="preserve">  </w:t>
            </w:r>
          </w:p>
        </w:tc>
        <w:tc>
          <w:tcPr>
            <w:tcW w:w="890" w:type="dxa"/>
            <w:tcBorders/>
            <w:shd w:fill="CCEEFF" w:val="clear"/>
            <w:vAlign w:val="center"/>
          </w:tcPr>
          <w:p>
            <w:pPr>
              <w:pStyle w:val="TableContents"/>
              <w:bidi w:val="0"/>
              <w:spacing w:before="0" w:after="283"/>
              <w:jc w:val="right"/>
              <w:rPr/>
            </w:pPr>
            <w:r>
              <w:rPr>
                <w:sz w:val="20"/>
              </w:rPr>
              <w:t>25,000</w:t>
            </w: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sz w:val="20"/>
              </w:rPr>
              <w:t>Accounting fees and expenses</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xml:space="preserve">  </w:t>
            </w:r>
          </w:p>
        </w:tc>
        <w:tc>
          <w:tcPr>
            <w:tcW w:w="890" w:type="dxa"/>
            <w:tcBorders/>
            <w:shd w:fill="FFFFFF" w:val="clear"/>
            <w:vAlign w:val="center"/>
          </w:tcPr>
          <w:p>
            <w:pPr>
              <w:pStyle w:val="TableContents"/>
              <w:bidi w:val="0"/>
              <w:spacing w:before="0" w:after="283"/>
              <w:jc w:val="right"/>
              <w:rPr/>
            </w:pPr>
            <w:r>
              <w:rPr>
                <w:sz w:val="20"/>
              </w:rPr>
              <w:t>15,000</w:t>
            </w: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sz w:val="20"/>
              </w:rPr>
              <w:t>Miscellaneous Fees and Expenses</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sz w:val="20"/>
              </w:rPr>
              <w:t>2,000</w:t>
            </w: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sz w:val="20"/>
              </w:rPr>
              <w:t>Total</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sz w:val="20"/>
              </w:rPr>
              <w:t>$</w:t>
            </w:r>
            <w:r>
              <w:rPr/>
              <w:t xml:space="preserve"> </w:t>
            </w:r>
          </w:p>
        </w:tc>
        <w:tc>
          <w:tcPr>
            <w:tcW w:w="8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46,456.20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Delaware General Corporation Law (“DCGL”)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DCGL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any breach of the director’s duty of loyalty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unlawful payments of dividends or unlawful stock repurchases or redemptions as provided in Section 174 of the DGCL; or</w:t>
            </w:r>
          </w:p>
        </w:tc>
      </w:tr>
    </w:tbl>
    <w:p>
      <w:pPr>
        <w:pStyle w:val="TextBody"/>
        <w:bidi w:val="0"/>
        <w:spacing w:before="0" w:after="0"/>
        <w:ind w:left="0" w:right="0" w:hanging="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1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
        <w:gridCol w:w="69"/>
        <w:gridCol w:w="9116"/>
      </w:tblGrid>
      <w:tr>
        <w:trPr/>
        <w:tc>
          <w:tcPr>
            <w:tcW w:w="1020" w:type="dxa"/>
            <w:tcBorders>
              <w:bottom w:val="single" w:sz="8" w:space="0" w:color="000000"/>
            </w:tcBorders>
            <w:vAlign w:val="center"/>
          </w:tcPr>
          <w:p>
            <w:pPr>
              <w:pStyle w:val="TableContents"/>
              <w:bidi w:val="0"/>
              <w:spacing w:before="0" w:after="283"/>
              <w:jc w:val="left"/>
              <w:rPr>
                <w:b/>
              </w:rPr>
            </w:pPr>
            <w:r>
              <w:rPr>
                <w:b/>
              </w:rPr>
              <w:t>Exhibit Number</w:t>
            </w:r>
          </w:p>
        </w:tc>
        <w:tc>
          <w:tcPr>
            <w:tcW w:w="69" w:type="dxa"/>
            <w:tcBorders/>
            <w:tcMar>
              <w:bottom w:w="0" w:type="dxa"/>
            </w:tcMar>
            <w:vAlign w:val="center"/>
          </w:tcPr>
          <w:p>
            <w:pPr>
              <w:pStyle w:val="TableContents"/>
              <w:bidi w:val="0"/>
              <w:spacing w:before="0" w:after="283"/>
              <w:jc w:val="left"/>
              <w:rPr/>
            </w:pPr>
            <w:r>
              <w:rPr/>
              <w:t> </w:t>
            </w:r>
          </w:p>
        </w:tc>
        <w:tc>
          <w:tcPr>
            <w:tcW w:w="9116" w:type="dxa"/>
            <w:tcBorders>
              <w:bottom w:val="single" w:sz="8" w:space="0" w:color="000000"/>
            </w:tcBorders>
            <w:vAlign w:val="center"/>
          </w:tcPr>
          <w:p>
            <w:pPr>
              <w:pStyle w:val="TableContents"/>
              <w:bidi w:val="0"/>
              <w:spacing w:before="0" w:after="283"/>
              <w:jc w:val="center"/>
              <w:rPr>
                <w:b/>
              </w:rPr>
            </w:pPr>
            <w:r>
              <w:rPr>
                <w:b/>
              </w:rPr>
              <w:t>Exhibit Description</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center"/>
              <w:rPr/>
            </w:pPr>
            <w:r>
              <w:rPr/>
              <w:t> </w:t>
            </w:r>
          </w:p>
        </w:tc>
      </w:tr>
      <w:tr>
        <w:trPr/>
        <w:tc>
          <w:tcPr>
            <w:tcW w:w="1020" w:type="dxa"/>
            <w:tcBorders/>
            <w:tcMar>
              <w:bottom w:w="0" w:type="dxa"/>
            </w:tcMar>
            <w:vAlign w:val="center"/>
          </w:tcPr>
          <w:p>
            <w:pPr>
              <w:pStyle w:val="TableContents"/>
              <w:bidi w:val="0"/>
              <w:spacing w:before="0" w:after="283"/>
              <w:jc w:val="both"/>
              <w:rPr/>
            </w:pPr>
            <w:hyperlink r:id="rId13">
              <w:r>
                <w:rPr>
                  <w:rStyle w:val="InternetLink"/>
                </w:rPr>
                <w:t>2.1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14">
              <w:r>
                <w:rPr>
                  <w:rStyle w:val="InternetLink"/>
                </w:rPr>
                <w:t>Agreement and Plan of Merger by and among FORM Holdings Corp., FHXMS, LLC, XpresSpa Holdings, LLC, the unitholders of XpresSpa who are parties thereto and Mistral XH Representative, LLC, as representative of the unitholders, dated as of August 8, 2016 (incorporated by reference to Exhibit 2.1 to our Current Report on Form 8-K filed with the SEC on August 8, 2016).</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15">
              <w:r>
                <w:rPr>
                  <w:rStyle w:val="InternetLink"/>
                </w:rPr>
                <w:t>2.2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16">
              <w:r>
                <w:rPr>
                  <w:rStyle w:val="InternetLink"/>
                </w:rPr>
                <w:t>Amendment No. 1 to Agreement and Plan of Merger by and among FORM Holdings Corp., FHXMS, LLC, XpresSpa Holdings, LLC and Mistral XH Representative, LLC, as representative of the unitholders, dated September 8, 2016 (incorporated by reference to Exhibit 2.1 to our Current Report on Form 8-K filed with the SEC on September 9, 2016).</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both"/>
              <w:rPr/>
            </w:pPr>
            <w:hyperlink r:id="rId17">
              <w:r>
                <w:rPr>
                  <w:rStyle w:val="InternetLink"/>
                </w:rPr>
                <w:t>2.3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18">
              <w:r>
                <w:rPr>
                  <w:rStyle w:val="InternetLink"/>
                </w:rPr>
                <w:t>Amendment No. 2 to Agreement and Plan of Merger by and among FORM Holdings Corp., FHXMS, LLC, XpresSpa Holdings, LLC and Mistral XH Representative, LLC, as representative of the unitholders, dated October 25, 2016 (incorporated by reference to Exhibit 2.1 to our Current Report on Form 8-K filed with the SEC on October 25, 2016).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19">
              <w:r>
                <w:rPr>
                  <w:rStyle w:val="InternetLink"/>
                </w:rPr>
                <w:t>3.1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0">
              <w:r>
                <w:rPr>
                  <w:rStyle w:val="InternetLink"/>
                </w:rPr>
                <w:t>Certificate of Elimination of Series A Convertible Preferred Stock, Series D Convertible Preferred Stock, Series E Convertible Preferred Stock and Series F Convertible Preferred Stock, as filed with Secretary of State of Delaware, effective on October 24, 2022 (incorporated by reference to Exhibit 3.1 to our Current Report on Form 8-K filed with the SEC on October 24, 2022).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1">
              <w:r>
                <w:rPr>
                  <w:rStyle w:val="InternetLink"/>
                </w:rPr>
                <w:t>3.2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2">
              <w:r>
                <w:rPr>
                  <w:rStyle w:val="InternetLink"/>
                </w:rPr>
                <w:t>Amended and Restated Certificate of Incorporation of XWELL, Inc., effective on October 25, 2022 (incorporated by reference to Exhibit 3.2 to our Current Report on Form 8-K filed with the SEC on October 24, 2022.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3">
              <w:r>
                <w:rPr>
                  <w:rStyle w:val="InternetLink"/>
                </w:rPr>
                <w:t>3.3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4">
              <w:r>
                <w:rPr>
                  <w:rStyle w:val="InternetLink"/>
                </w:rPr>
                <w:t>Third Amended and Restated Bylaws of XWELL, Inc. (incorporated by reference to Exhibit 3.1 to our Current Report on Form 8-K filed with the SEC on May 21, 2024).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5">
              <w:r>
                <w:rPr>
                  <w:rStyle w:val="InternetLink"/>
                </w:rPr>
                <w:t>3.4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6">
              <w:r>
                <w:rPr>
                  <w:rStyle w:val="InternetLink"/>
                </w:rPr>
                <w:t>Certificate of Amendment to the Amended and Restated Certificate of Incorporation, effective as of September 27, 2023 (incorporated by reference to Exhibit 3.1 to our Current Report on Form 8-K filed with the SEC on September 27, 2023).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7">
              <w:r>
                <w:rPr>
                  <w:rStyle w:val="InternetLink"/>
                </w:rPr>
                <w:t>3.5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28">
              <w:r>
                <w:rPr>
                  <w:rStyle w:val="InternetLink"/>
                </w:rPr>
                <w:t>Certificate of Designation of Series A Junior Participating Preferred Stock, filed with the Secretary of State of the State of Delaware on August 16, 2024 (incorporated by reference to Exhibit 3.1 to our Current Report on Form 8-K filed with the SEC on August 16, 2024).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29">
              <w:r>
                <w:rPr>
                  <w:rStyle w:val="InternetLink"/>
                </w:rPr>
                <w:t>3.6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0">
              <w:r>
                <w:rPr>
                  <w:rStyle w:val="InternetLink"/>
                </w:rPr>
                <w:t>Form of Certificate of Designations of Series G Convertible Preferred Stock (incorporated by reference to Exhibit 3.1 to our Current Report on Form 8-K filed with the SEC on January 15, 2025).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1">
              <w:r>
                <w:rPr>
                  <w:rStyle w:val="InternetLink"/>
                </w:rPr>
                <w:t>4.1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2">
              <w:r>
                <w:rPr>
                  <w:rStyle w:val="InternetLink"/>
                </w:rPr>
                <w:t>Section 382 Rights Agreement, dated as of March 18, 2016, between Vringo, Inc. and American Stock Transfer &amp; Trust Company, LLC, which includes the Form of Certificate of Designation of Series C Junior Participating Preferred Stock as Exhibit A, the Form of Right Certificate as Exhibit B and the Summary of Rights to Purchase Preferred Stock as Exhibit C (incorporated by reference from Exhibit 4.1 to our Current Report on Form 8-K filed with the SEC on March 21, 2016).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3">
              <w:r>
                <w:rPr>
                  <w:rStyle w:val="InternetLink"/>
                </w:rPr>
                <w:t>4.2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4">
              <w:r>
                <w:rPr>
                  <w:rStyle w:val="InternetLink"/>
                </w:rPr>
                <w:t>Amendment to Section 382 Rights Agreement, dated March 18, 2019, between the Company and American Stock Transfer &amp; Trust Company, LLC (incorporated by reference from Exhibit 10.1 to our Current Report on Form 8-K filed with the SEC on March 22,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5">
              <w:r>
                <w:rPr>
                  <w:rStyle w:val="InternetLink"/>
                </w:rPr>
                <w:t>4.3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6">
              <w:r>
                <w:rPr>
                  <w:rStyle w:val="InternetLink"/>
                </w:rPr>
                <w:t>Form of Warrant to Purchase Shares of Common Stock of FORM Holdings Corp. (incorporated by reference from Annex F to our Registration Statement on Form S-4 filed with the SEC on October 26, 2016).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7">
              <w:r>
                <w:rPr>
                  <w:rStyle w:val="InternetLink"/>
                </w:rPr>
                <w:t>4.4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38">
              <w:r>
                <w:rPr>
                  <w:rStyle w:val="InternetLink"/>
                </w:rPr>
                <w:t>Form of Secured Convertible Note (incorporated by reference from Exhibit 4.1 to our Quarterly Report on Form 10-Q filed with the SEC on May 15, 2018).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39">
              <w:r>
                <w:rPr>
                  <w:rStyle w:val="InternetLink"/>
                </w:rPr>
                <w:t>4.5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0">
              <w:r>
                <w:rPr>
                  <w:rStyle w:val="InternetLink"/>
                </w:rPr>
                <w:t>Amendment to Secured Convertible Note (incorporated by reference from Exhibit 4.1 to our Current Report on Form 8-K filed with the SEC on June 27,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1">
              <w:r>
                <w:rPr>
                  <w:rStyle w:val="InternetLink"/>
                </w:rPr>
                <w:t>4.6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2">
              <w:r>
                <w:rPr>
                  <w:rStyle w:val="InternetLink"/>
                </w:rPr>
                <w:t>Second Amended and Restated Convertible Promissory Note, dated as of July 8, 2019 (incorporated by reference from Exhibit 4.3 to our Current Report on Form 8-K filed with the SEC on July 8,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3">
              <w:r>
                <w:rPr>
                  <w:rStyle w:val="InternetLink"/>
                </w:rPr>
                <w:t>4.7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4">
              <w:r>
                <w:rPr>
                  <w:rStyle w:val="InternetLink"/>
                </w:rPr>
                <w:t>Third Amended and Restated Convertible Promissory Note, dated as of January 9, 2020 (incorporated by reference from Exhibit 4.1 to our Current Report on Form 8-K filed with the SEC on January 14,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5">
              <w:r>
                <w:rPr>
                  <w:rStyle w:val="InternetLink"/>
                </w:rPr>
                <w:t>4.8</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6">
              <w:r>
                <w:rPr>
                  <w:rStyle w:val="InternetLink"/>
                </w:rPr>
                <w:t>Fourth Amended and Restated Convertible Promissory Note, dated as of March 6, 2020 (incorporated by reference from Exhibit 4.1 to our Current Report on Form 8-K filed with the SEC on March 6,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7">
              <w:r>
                <w:rPr>
                  <w:rStyle w:val="InternetLink"/>
                </w:rPr>
                <w:t>4.9</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48">
              <w:r>
                <w:rPr>
                  <w:rStyle w:val="InternetLink"/>
                </w:rPr>
                <w:t>Unsecured Convertible Note due May 31, 2022 (incorporated by reference to Exhibit 4.1 to our Current Report on Form 8-K filed with the SEC on July 8,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49">
              <w:r>
                <w:rPr>
                  <w:rStyle w:val="InternetLink"/>
                </w:rPr>
                <w:t>4.10</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0">
              <w:r>
                <w:rPr>
                  <w:rStyle w:val="InternetLink"/>
                </w:rPr>
                <w:t>Warrant to Purchase Common Stock in favor of Calm.com, Inc., dated as of July 8, 2019 (incorporated by reference to Exhibit 4.2 to our Current Report on Form 8-K filed with the SEC on July 8, 2019).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1">
              <w:r>
                <w:rPr>
                  <w:rStyle w:val="InternetLink"/>
                </w:rPr>
                <w:t>4.11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2">
              <w:r>
                <w:rPr>
                  <w:rStyle w:val="InternetLink"/>
                </w:rPr>
                <w:t>Form of Pre-Funded Warrant to Purchase Common Stock, dated March 19, 2020 (incorporated by reference from Exhibit 4.1 to our Current Report on Form 8-K filed with the SEC on March 19,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3">
              <w:r>
                <w:rPr>
                  <w:rStyle w:val="InternetLink"/>
                </w:rPr>
                <w:t>4.12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4">
              <w:r>
                <w:rPr>
                  <w:rStyle w:val="InternetLink"/>
                </w:rPr>
                <w:t>Form of Pre-Funded Warrant to Purchase Common Stock, dated March 25, 2020 (incorporated by reference from Exhibit 4.1 to our Current Report on Form 8-K filed with the SEC on March 25,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5">
              <w:r>
                <w:rPr>
                  <w:rStyle w:val="InternetLink"/>
                </w:rPr>
                <w:t>4.13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56">
              <w:r>
                <w:rPr>
                  <w:rStyle w:val="InternetLink"/>
                </w:rPr>
                <w:t>Form of Pre-Funded Warrant to Purchase Common Stock, dated March 27, 2020 (incorporated by reference from Exhibit 4.1 to our Current Report on Form 8-K filed with the SEC on March 27,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57">
              <w:r>
                <w:rPr>
                  <w:rStyle w:val="InternetLink"/>
                </w:rPr>
                <w:t>4.14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58">
              <w:r>
                <w:rPr>
                  <w:rStyle w:val="InternetLink"/>
                </w:rPr>
                <w:t>Form of Pre-Funded Warrant to Purchase Common Stock, dated April 6, 2020 (incorporated by reference from Exhibit 4.1 to our Current Report on Form 8-K filed with the SEC on April 7, 2020).</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both"/>
              <w:rPr/>
            </w:pPr>
            <w:hyperlink r:id="rId59">
              <w:r>
                <w:rPr>
                  <w:rStyle w:val="InternetLink"/>
                </w:rPr>
                <w:t>4.15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0">
              <w:r>
                <w:rPr>
                  <w:rStyle w:val="InternetLink"/>
                </w:rPr>
                <w:t>Description of the Registrant’s Securities (incorporated by reference from Exhibit 4.22 to our Annual Report on Form 10-K filed with the SEC on April 20,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1">
              <w:r>
                <w:rPr>
                  <w:rStyle w:val="InternetLink"/>
                </w:rPr>
                <w:t>4.16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2">
              <w:r>
                <w:rPr>
                  <w:rStyle w:val="InternetLink"/>
                </w:rPr>
                <w:t>Amended and Restated Calm Note, dated as of April 17, 2020 (incorporated by reference from Exhibit 4.1 to our Current Report on Form 8-K filed with the SEC on April 17,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3">
              <w:r>
                <w:rPr>
                  <w:rStyle w:val="InternetLink"/>
                </w:rPr>
                <w:t>4.17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4">
              <w:r>
                <w:rPr>
                  <w:rStyle w:val="InternetLink"/>
                </w:rPr>
                <w:t>Amended and Restated Calm Note, dated as of April 22, 2020 (incorporated by reference from Exhibit 4.1 to our Current Report on Form 8-K filed with the SEC on April 24,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5">
              <w:r>
                <w:rPr>
                  <w:rStyle w:val="InternetLink"/>
                </w:rPr>
                <w:t>4.18</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6">
              <w:r>
                <w:rPr>
                  <w:rStyle w:val="InternetLink"/>
                </w:rPr>
                <w:t>Form of Warrant to Purchase Common Stock, dated June 17, 2020 (incorporated by reference from Exhibit 4.1 to our Current Report on Form 8-K filed with the SEC on June 17,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7">
              <w:r>
                <w:rPr>
                  <w:rStyle w:val="InternetLink"/>
                </w:rPr>
                <w:t>4.19</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68">
              <w:r>
                <w:rPr>
                  <w:rStyle w:val="InternetLink"/>
                </w:rPr>
                <w:t>Form of Placement Agent Warrant to Purchase Common Stock, dated June 17, 2020 (incorporated by reference from Exhibit 4.2 to our Current Report on Form 8-K filed with the SEC on June 17,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69">
              <w:r>
                <w:rPr>
                  <w:rStyle w:val="InternetLink"/>
                </w:rPr>
                <w:t>4.20</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0">
              <w:r>
                <w:rPr>
                  <w:rStyle w:val="InternetLink"/>
                </w:rPr>
                <w:t>Form of Warrant to Purchase Common Stock, dated August 25, 2020 (incorporated by reference from Exhibit 4.1 to our Current Report on Form 8-K filed with the SEC on August 28,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1">
              <w:r>
                <w:rPr>
                  <w:rStyle w:val="InternetLink"/>
                </w:rPr>
                <w:t>4.21</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2">
              <w:r>
                <w:rPr>
                  <w:rStyle w:val="InternetLink"/>
                </w:rPr>
                <w:t>Form of Pre-Funded Warrant to Purchase Common Stock, dated August 25, 2020 (incorporated by reference from Exhibit 4.2 to our Current Report on Form 8-K filed with the SEC on August 28,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3">
              <w:r>
                <w:rPr>
                  <w:rStyle w:val="InternetLink"/>
                </w:rPr>
                <w:t>4.22</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4">
              <w:r>
                <w:rPr>
                  <w:rStyle w:val="InternetLink"/>
                </w:rPr>
                <w:t>Form of Placement Agent Warrant to Purchase Common Stock, dated August 25, 2020 (incorporated by reference from Exhibit 4.3 to our Current Report on Form 8-K filed with the SEC on August 28,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5">
              <w:r>
                <w:rPr>
                  <w:rStyle w:val="InternetLink"/>
                </w:rPr>
                <w:t>4.23</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6">
              <w:r>
                <w:rPr>
                  <w:rStyle w:val="InternetLink"/>
                </w:rPr>
                <w:t>Form of Warrant to Purchase Common Stock, dated December 17, 2020 (incorporated by reference from Exhibit 4.1 to our Current Report on Form 8-K filed with the SEC on December 21,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7">
              <w:r>
                <w:rPr>
                  <w:rStyle w:val="InternetLink"/>
                </w:rPr>
                <w:t>4.24</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78">
              <w:r>
                <w:rPr>
                  <w:rStyle w:val="InternetLink"/>
                </w:rPr>
                <w:t>Form of Placement Agent Warrant to Purchase Common Stock, dated December 17, 2020 (incorporated by reference from Exhibit 4.2 to our Current Report on Form 8-K filed with the SEC on December 21, 2020).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79">
              <w:r>
                <w:rPr>
                  <w:rStyle w:val="InternetLink"/>
                </w:rPr>
                <w:t>4.25</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80">
              <w:r>
                <w:rPr>
                  <w:rStyle w:val="InternetLink"/>
                </w:rPr>
                <w:t>Tax Benefits Preservation Plan, dated as of August 16, 2024, between XWELL, Inc. and Equiniti Trust Company, LLC, as Rights Agent, together with the following exhibits thereto: Exhibit A - Form of Certificate of Designation of Series A Junior Participating Preferred Stock of XWELL, Inc.; Exhibit B - Form of Right Certificate (incorporated by reference from Exhibit 4.1 to our Current Report on Form 8-K filed with the SEC on August 16, 2024).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81">
              <w:r>
                <w:rPr>
                  <w:rStyle w:val="InternetLink"/>
                </w:rPr>
                <w:t>4.26</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hyperlink r:id="rId82">
              <w:r>
                <w:rPr>
                  <w:rStyle w:val="InternetLink"/>
                </w:rPr>
                <w:t>Form of Series A Warrant (incorporated by reference from Exhibit 4.1 to our Current Report on Form 8-K filed with the SEC on January 15, 2025).  </w:t>
              </w:r>
            </w:hyperlink>
          </w:p>
        </w:tc>
      </w:tr>
      <w:tr>
        <w:trPr/>
        <w:tc>
          <w:tcPr>
            <w:tcW w:w="1020" w:type="dxa"/>
            <w:tcBorders/>
            <w:tcMar>
              <w:bottom w:w="0" w:type="dxa"/>
            </w:tcMar>
            <w:vAlign w:val="center"/>
          </w:tcPr>
          <w:p>
            <w:pPr>
              <w:pStyle w:val="TableContents"/>
              <w:bidi w:val="0"/>
              <w:spacing w:before="0" w:after="283"/>
              <w:jc w:val="both"/>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both"/>
              <w:rPr/>
            </w:pPr>
            <w:hyperlink r:id="rId83">
              <w:r>
                <w:rPr>
                  <w:rStyle w:val="InternetLink"/>
                </w:rPr>
                <w:t>4.27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r:id="rId84">
              <w:r>
                <w:rPr>
                  <w:rStyle w:val="InternetLink"/>
                </w:rPr>
                <w:t>Form of Series B Warrant (incorporated by reference from Exhibit 4.2 to our Current Report on Form 8-K filed with the SEC on January 15, 2025).</w:t>
              </w:r>
            </w:hyperlink>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2_ex5-1.htm">
              <w:r>
                <w:rPr>
                  <w:rStyle w:val="InternetLink"/>
                </w:rPr>
                <w:t>5.1*</w:t>
              </w:r>
            </w:hyperlink>
            <w:r>
              <w:rPr/>
              <w:t xml:space="preserve"> </w:t>
            </w:r>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tm2513132d2_ex5-1.htm">
              <w:r>
                <w:rPr>
                  <w:rStyle w:val="InternetLink"/>
                </w:rPr>
                <w:t>Opinion of Haynes and Boone, LLP.</w:t>
              </w:r>
            </w:hyperlink>
            <w:r>
              <w:rPr/>
              <w:t xml:space="preserve"> </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2_ex23-1.htm">
              <w:r>
                <w:rPr>
                  <w:rStyle w:val="InternetLink"/>
                </w:rPr>
                <w:t>23.1*</w:t>
              </w:r>
            </w:hyperlink>
            <w:r>
              <w:rPr/>
              <w:t xml:space="preserve"> </w:t>
            </w:r>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tm2513132d2_ex23-1.htm">
              <w:r>
                <w:rPr>
                  <w:rStyle w:val="InternetLink"/>
                </w:rPr>
                <w:t>Consent of Marcum LLP.</w:t>
              </w:r>
            </w:hyperlink>
            <w:r>
              <w:rPr/>
              <w:t xml:space="preserve"> </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2_ex5-1.htm">
              <w:r>
                <w:rPr>
                  <w:rStyle w:val="InternetLink"/>
                </w:rPr>
                <w:t>23.2*</w:t>
              </w:r>
            </w:hyperlink>
            <w:r>
              <w:rPr/>
              <w:t xml:space="preserve"> </w:t>
            </w:r>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hyperlink w:anchor="tm2513132d2_ex5-1.htm">
              <w:r>
                <w:rPr>
                  <w:rStyle w:val="InternetLink"/>
                </w:rPr>
                <w:t>Consent of Haynes and Boone, LLP (included in Exhibit 5.1).</w:t>
              </w:r>
            </w:hyperlink>
            <w:r>
              <w:rPr/>
              <w:t xml:space="preserve"> </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"https://www.sec.gov/Archives/edgar/data/1410428/000110465925041208/tm2513132d1_s3a.htm" \l "p_001"</w:instrText>
            </w:r>
            <w:r>
              <w:rPr>
                <w:rStyle w:val="InternetLink"/>
              </w:rPr>
              <w:fldChar w:fldCharType="separate"/>
            </w:r>
            <w:r>
              <w:rPr>
                <w:rStyle w:val="InternetLink"/>
              </w:rPr>
              <w:t>24.1**</w:t>
            </w:r>
            <w:r>
              <w:rPr>
                <w:rStyle w:val="InternetLink"/>
              </w:rPr>
              <w:fldChar w:fldCharType="end"/>
            </w:r>
            <w:r>
              <w:rPr/>
              <w:t xml:space="preserve"> </w:t>
            </w:r>
          </w:p>
        </w:tc>
        <w:tc>
          <w:tcPr>
            <w:tcW w:w="69" w:type="dxa"/>
            <w:tcBorders/>
            <w:tcMar>
              <w:bottom w:w="0" w:type="dxa"/>
            </w:tcMar>
            <w:vAlign w:val="center"/>
          </w:tcPr>
          <w:p>
            <w:pPr>
              <w:pStyle w:val="TableContents"/>
              <w:bidi w:val="0"/>
              <w:spacing w:before="0" w:after="283"/>
              <w:jc w:val="left"/>
              <w:rPr/>
            </w:pPr>
            <w:r>
              <w:rPr/>
              <w:t xml:space="preserve">  </w:t>
            </w:r>
          </w:p>
        </w:tc>
        <w:tc>
          <w:tcPr>
            <w:tcW w:w="9116" w:type="dxa"/>
            <w:tcBorders/>
            <w:tcMar>
              <w:bottom w:w="0" w:type="dxa"/>
            </w:tcMar>
            <w:vAlign w:val="center"/>
          </w:tcPr>
          <w:p>
            <w:pPr>
              <w:pStyle w:val="TableContents"/>
              <w:bidi w:val="0"/>
              <w:spacing w:before="0" w:after="283"/>
              <w:jc w:val="both"/>
              <w:rPr/>
            </w:pPr>
            <w:r>
              <w:fldChar w:fldCharType="begin"/>
            </w:r>
            <w:r>
              <w:rPr>
                <w:rStyle w:val="InternetLink"/>
              </w:rPr>
              <w:instrText xml:space="preserve"> HYPERLINK "https://www.sec.gov/Archives/edgar/data/1410428/000110465925041208/tm2513132d1_s3a.htm" \l "p_001"</w:instrText>
            </w:r>
            <w:r>
              <w:rPr>
                <w:rStyle w:val="InternetLink"/>
              </w:rPr>
              <w:fldChar w:fldCharType="separate"/>
            </w:r>
            <w:r>
              <w:rPr>
                <w:rStyle w:val="InternetLink"/>
              </w:rPr>
              <w:t>Power of Attorney (previously included on the signature page hereto).</w:t>
            </w:r>
            <w:r>
              <w:rPr>
                <w:rStyle w:val="InternetLink"/>
              </w:rPr>
              <w:fldChar w:fldCharType="end"/>
            </w:r>
            <w:r>
              <w:rPr/>
              <w:t xml:space="preserve"> </w:t>
            </w:r>
          </w:p>
        </w:tc>
      </w:tr>
      <w:tr>
        <w:trPr/>
        <w:tc>
          <w:tcPr>
            <w:tcW w:w="102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r>
              <w:rPr/>
              <w:t> </w:t>
            </w:r>
          </w:p>
        </w:tc>
      </w:tr>
      <w:tr>
        <w:trPr/>
        <w:tc>
          <w:tcPr>
            <w:tcW w:w="1020" w:type="dxa"/>
            <w:tcBorders/>
            <w:tcMar>
              <w:bottom w:w="0" w:type="dxa"/>
            </w:tcMar>
            <w:vAlign w:val="center"/>
          </w:tcPr>
          <w:p>
            <w:pPr>
              <w:pStyle w:val="TableContents"/>
              <w:bidi w:val="0"/>
              <w:spacing w:before="0" w:after="283"/>
              <w:jc w:val="left"/>
              <w:rPr/>
            </w:pPr>
            <w:hyperlink w:anchor="tm2513132d2_ex-filingfees.htm">
              <w:r>
                <w:rPr>
                  <w:rStyle w:val="InternetLink"/>
                </w:rPr>
                <w:t>107*</w:t>
              </w:r>
            </w:hyperlink>
          </w:p>
        </w:tc>
        <w:tc>
          <w:tcPr>
            <w:tcW w:w="69" w:type="dxa"/>
            <w:tcBorders/>
            <w:tcMar>
              <w:bottom w:w="0" w:type="dxa"/>
            </w:tcMar>
            <w:vAlign w:val="center"/>
          </w:tcPr>
          <w:p>
            <w:pPr>
              <w:pStyle w:val="TableContents"/>
              <w:bidi w:val="0"/>
              <w:spacing w:before="0" w:after="283"/>
              <w:jc w:val="left"/>
              <w:rPr/>
            </w:pPr>
            <w:r>
              <w:rPr/>
              <w:t> </w:t>
            </w:r>
          </w:p>
        </w:tc>
        <w:tc>
          <w:tcPr>
            <w:tcW w:w="9116" w:type="dxa"/>
            <w:tcBorders/>
            <w:tcMar>
              <w:bottom w:w="0" w:type="dxa"/>
            </w:tcMar>
            <w:vAlign w:val="center"/>
          </w:tcPr>
          <w:p>
            <w:pPr>
              <w:pStyle w:val="TableContents"/>
              <w:bidi w:val="0"/>
              <w:spacing w:before="0" w:after="283"/>
              <w:jc w:val="both"/>
              <w:rPr/>
            </w:pPr>
            <w:hyperlink w:anchor="tm2513132d2_ex-filingfees.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290"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 xml:space="preserve"> </w:t>
            </w:r>
          </w:p>
        </w:tc>
        <w:tc>
          <w:tcPr>
            <w:tcW w:w="1415" w:type="dxa"/>
            <w:tcBorders/>
            <w:vAlign w:val="center"/>
          </w:tcPr>
          <w:p>
            <w:pPr>
              <w:pStyle w:val="TableContents"/>
              <w:bidi w:val="0"/>
              <w:spacing w:before="0" w:after="283"/>
              <w:jc w:val="left"/>
              <w:rPr>
                <w:sz w:val="20"/>
              </w:rPr>
            </w:pPr>
            <w:r>
              <w:rPr>
                <w:rFonts w:ascii="Times New Roman;Times;Serif" w:hAnsi="Times New Roman;Times;Serif"/>
                <w:sz w:val="20"/>
              </w:rPr>
              <w:t>Previously filed.</w:t>
            </w:r>
            <w:r>
              <w:rPr>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Provided, however,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registrant is relying on Rule 430B (§230.430B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S-3 and has duly caused this Amendment No. 2 to the registration statement to be signed on its behalf by the undersigned, thereunto duly authorized, in the City of New York, State of New York, on June 3, 2025. </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5"/>
        <w:gridCol w:w="3080"/>
        <w:gridCol w:w="75"/>
      </w:tblGrid>
      <w:tr>
        <w:trPr/>
        <w:tc>
          <w:tcPr>
            <w:tcW w:w="36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XWELL, Inc.</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Ezra T. Ernst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this Amendment No. 2 to the registration statement has been signed by the following persons in the capacities and on the dates indicated. </w:t>
      </w:r>
    </w:p>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28" w:type="dxa"/>
          <w:right w:w="0" w:type="dxa"/>
        </w:tblCellMar>
      </w:tblPr>
      <w:tblGrid>
        <w:gridCol w:w="1625"/>
        <w:gridCol w:w="120"/>
        <w:gridCol w:w="3575"/>
        <w:gridCol w:w="120"/>
        <w:gridCol w:w="1115"/>
      </w:tblGrid>
      <w:tr>
        <w:trPr/>
        <w:tc>
          <w:tcPr>
            <w:tcW w:w="162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357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11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1625"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i/>
                <w:sz w:val="20"/>
              </w:rPr>
              <w:t xml:space="preserve">/s/ </w:t>
            </w:r>
            <w:r>
              <w:rPr/>
              <w:t xml:space="preserve">Ezra T. Ernst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President and Chief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sz w:val="20"/>
              </w:rPr>
              <w:t>Ezra T. Ernst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bottom w:val="single" w:sz="8" w:space="0" w:color="000000"/>
            </w:tcBorders>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Chief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sz w:val="20"/>
              </w:rPr>
              <w:t>Thomas Ian Brown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financial and accounting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bottom w:val="single" w:sz="8" w:space="0" w:color="000000"/>
            </w:tcBorders>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Chairman of the Board</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sz w:val="20"/>
              </w:rPr>
              <w:t>Bruce T. Bernstein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bottom w:val="single" w:sz="8" w:space="0" w:color="000000"/>
            </w:tcBorders>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sz w:val="20"/>
              </w:rPr>
              <w:t>Robert Weinstein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bottom w:val="single" w:sz="8" w:space="0" w:color="000000"/>
            </w:tcBorders>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sz w:val="20"/>
              </w:rPr>
              <w:t>Michael Lebowitz</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r>
        <w:trPr/>
        <w:tc>
          <w:tcPr>
            <w:tcW w:w="1625" w:type="dxa"/>
            <w:tcBorders>
              <w:bottom w:val="single" w:sz="8" w:space="0" w:color="000000"/>
            </w:tcBorders>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tc>
      </w:tr>
      <w:tr>
        <w:trPr/>
        <w:tc>
          <w:tcPr>
            <w:tcW w:w="1625" w:type="dxa"/>
            <w:tcBorders/>
            <w:tcMar>
              <w:bottom w:w="0" w:type="dxa"/>
            </w:tcMar>
            <w:vAlign w:val="center"/>
          </w:tcPr>
          <w:p>
            <w:pPr>
              <w:pStyle w:val="TableContents"/>
              <w:bidi w:val="0"/>
              <w:spacing w:before="0" w:after="283"/>
              <w:jc w:val="left"/>
              <w:rPr/>
            </w:pPr>
            <w:r>
              <w:rPr>
                <w:rFonts w:ascii="Times New Roman;Times;Serif" w:hAnsi="Times New Roman;Times;Serif"/>
                <w:sz w:val="20"/>
              </w:rPr>
              <w:t>Gaëlle Wizenberg</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5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115"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380"/>
        <w:gridCol w:w="1370"/>
        <w:gridCol w:w="13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370" w:type="dxa"/>
            <w:tcBorders>
              <w:bottom w:val="single" w:sz="8" w:space="0" w:color="000000"/>
            </w:tcBorders>
            <w:tcMar>
              <w:bottom w:w="28" w:type="dxa"/>
            </w:tcMar>
            <w:vAlign w:val="center"/>
          </w:tcPr>
          <w:p>
            <w:pPr>
              <w:pStyle w:val="TableContents"/>
              <w:bidi w:val="0"/>
              <w:spacing w:before="0" w:after="283"/>
              <w:jc w:val="left"/>
              <w:rPr>
                <w:sz w:val="20"/>
              </w:rPr>
            </w:pPr>
            <w:r>
              <w:rPr>
                <w:rFonts w:ascii="Times New Roman;Times;Serif" w:hAnsi="Times New Roman;Times;Serif"/>
                <w:i/>
                <w:sz w:val="20"/>
              </w:rPr>
              <w:t>/s/ Ezra T. Ernst</w:t>
            </w:r>
            <w:r>
              <w:rPr>
                <w:sz w:val="20"/>
              </w:rPr>
              <w:t xml:space="preserve"> </w:t>
            </w:r>
          </w:p>
        </w:tc>
        <w:tc>
          <w:tcPr>
            <w:tcW w:w="135" w:type="dxa"/>
            <w:tcBorders/>
            <w:vAlign w:val="center"/>
          </w:tcPr>
          <w:p>
            <w:pPr>
              <w:pStyle w:val="TableContents"/>
              <w:bidi w:val="0"/>
              <w:spacing w:before="0" w:after="283"/>
              <w:jc w:val="left"/>
              <w:rPr/>
            </w:pPr>
            <w:r>
              <w:rPr/>
              <w:t xml:space="preserve">  </w:t>
            </w:r>
          </w:p>
        </w:tc>
      </w:tr>
      <w:tr>
        <w:trPr/>
        <w:tc>
          <w:tcPr>
            <w:tcW w:w="380" w:type="dxa"/>
            <w:tcBorders/>
            <w:vAlign w:val="center"/>
          </w:tcPr>
          <w:p>
            <w:pPr>
              <w:pStyle w:val="TableContents"/>
              <w:bidi w:val="0"/>
              <w:spacing w:before="0" w:after="283"/>
              <w:jc w:val="left"/>
              <w:rPr/>
            </w:pPr>
            <w:r>
              <w:rPr/>
              <w:t xml:space="preserve">  </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Ezra T. Ernst </w:t>
            </w:r>
          </w:p>
        </w:tc>
        <w:tc>
          <w:tcPr>
            <w:tcW w:w="135" w:type="dxa"/>
            <w:tcBorders/>
            <w:vAlign w:val="center"/>
          </w:tcPr>
          <w:p>
            <w:pPr>
              <w:pStyle w:val="TableContents"/>
              <w:bidi w:val="0"/>
              <w:spacing w:before="0" w:after="283"/>
              <w:jc w:val="left"/>
              <w:rPr/>
            </w:pPr>
            <w:r>
              <w:rPr/>
              <w:t xml:space="preserve">  </w:t>
            </w:r>
          </w:p>
        </w:tc>
      </w:tr>
      <w:tr>
        <w:trPr/>
        <w:tc>
          <w:tcPr>
            <w:tcW w:w="380" w:type="dxa"/>
            <w:tcBorders/>
            <w:vAlign w:val="center"/>
          </w:tcPr>
          <w:p>
            <w:pPr>
              <w:pStyle w:val="TableContents"/>
              <w:bidi w:val="0"/>
              <w:spacing w:before="0" w:after="283"/>
              <w:jc w:val="left"/>
              <w:rPr/>
            </w:pPr>
            <w:r>
              <w:rPr/>
              <w:t xml:space="preserve">  </w:t>
            </w:r>
          </w:p>
        </w:tc>
        <w:tc>
          <w:tcPr>
            <w:tcW w:w="1370" w:type="dxa"/>
            <w:tcBorders/>
            <w:vAlign w:val="center"/>
          </w:tcPr>
          <w:p>
            <w:pPr>
              <w:pStyle w:val="TableContents"/>
              <w:bidi w:val="0"/>
              <w:spacing w:before="0" w:after="283"/>
              <w:jc w:val="left"/>
              <w:rPr>
                <w:sz w:val="20"/>
              </w:rPr>
            </w:pPr>
            <w:r>
              <w:rPr>
                <w:rFonts w:ascii="Times New Roman;Times;Serif" w:hAnsi="Times New Roman;Times;Serif"/>
                <w:sz w:val="20"/>
              </w:rPr>
              <w:t>Attorney-in-fact</w:t>
            </w:r>
            <w:r>
              <w:rPr>
                <w:sz w:val="20"/>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14" w:name="tm2513132d2_ex5-1.htm"/>
      <w:bookmarkStart w:id="15" w:name="kstm2513132d2_ex51"/>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XWELL,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the date hereof,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an amendment to its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by the Company which registers the resale by the holders thereof of an aggregate of 32,703,889 shares of common stock of the Company,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(i) upon the conversion of shares of the Company’s newly designated Series G convertible preferred stock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(ii) as shares of Common Stock issuable as dividends to the holders of the Preferred Shares, if any (the “</w:t>
      </w:r>
      <w:r>
        <w:rPr>
          <w:rFonts w:ascii="Times New Roman;Times;Serif" w:hAnsi="Times New Roman;Times;Serif"/>
          <w:b w:val="false"/>
          <w:i w:val="false"/>
          <w:caps w:val="false"/>
          <w:smallCaps w:val="false"/>
          <w:sz w:val="20"/>
          <w:u w:val="single"/>
        </w:rPr>
        <w:t>Dividend Shares</w:t>
      </w:r>
      <w:r>
        <w:rPr>
          <w:rFonts w:ascii="Times New Roman;Times;Serif" w:hAnsi="Times New Roman;Times;Serif"/>
          <w:b w:val="false"/>
          <w:i w:val="false"/>
          <w:caps w:val="false"/>
          <w:smallCaps w:val="false"/>
          <w:sz w:val="20"/>
        </w:rPr>
        <w:t>”) and (iii) upon exercise of certain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herein collectively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herein, we have examined and relied upon the originals, or copies certified to our satisfaction, of (i) the Amended and Restated Certificate of Incorporation and Fourth Amended and Restated Bylaws of the Company, as of the date hereof (“</w:t>
      </w:r>
      <w:r>
        <w:rPr>
          <w:rFonts w:ascii="Times New Roman;Times;Serif" w:hAnsi="Times New Roman;Times;Serif"/>
          <w:b w:val="false"/>
          <w:i w:val="false"/>
          <w:caps w:val="false"/>
          <w:smallCaps w:val="false"/>
          <w:sz w:val="20"/>
          <w:u w:val="single"/>
        </w:rPr>
        <w:t>Company Charter Documents</w:t>
      </w:r>
      <w:r>
        <w:rPr>
          <w:rFonts w:ascii="Times New Roman;Times;Serif" w:hAnsi="Times New Roman;Times;Serif"/>
          <w:b w:val="false"/>
          <w:i w:val="false"/>
          <w:caps w:val="false"/>
          <w:smallCaps w:val="false"/>
          <w:sz w:val="20"/>
        </w:rPr>
        <w:t>”); (ii) the Registration Statement and all exhibits thereto; (iii) Certificate of Designations of Series G Convertible Preferred Stock of XWELL, Inc. (the “</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(iv) the Warrants; (v) a specimen of the Company’s Common Stock certificate; (vi) a certificate executed by an officer of the Company, dated as of the date hereof, and (vii) such other corporate records of the Company as we have deemed necessary or appropriate for purposes of the opinions hereafter expressed.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examinations,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Securities offered thereby will have been delivered to the purchaser(s) of the Securities as required in accordance with applicable law; (v) all Securities will be offered, issued and sold in compliance with applicable federal and state securities laws and in the manner stated in the Registration Statement and the prospectus and any prospectus supplement; (vi) any definitive purchase, underwriting or similar agreement with respect to any Securities offered will have been duly authorized and validly executed and delivered by the Company and the other parties thereto and will be an enforceable obligation of the parties thereto; (vii) upon effectiveness of the Registration Statement, there will be sufficient shares of Common Stock authorized under the Company Charter Documents and not otherwise reserved for issuance; and (viii) there will not have occurred any change in law or in the Company Charter Documents of the Company adversely affecting the Securities or the rights of the holders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and qualifications stated herein, we are of the opinion that (i) the Common Stock issuable upon conversion of the Preferred Shares, when issued in accordance with the terms of the Certificate of Designations, will be validly issued, fully paid and non-assessable, (ii) the Dividend Shares, when issued in accordance with the terms of the Certificate of Designations, will be validly issued, fully paid and non-assessable, and (iii) the Common Stock underlying the Warrants, when issued in accordance with the terms of the Warrants,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exclusively to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applicable provisions of the Delaware Constitution and reported judicial decisions interpreting the DGCL and such provisions of the Delaware Constitution and we have not considered, and express no opinion on, any other laws or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2225"/>
        <w:gridCol w:w="75"/>
      </w:tblGrid>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Haynes and Boone, LLP</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Haynes and Boone,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6" w:name="tm2513132d2_ex23-1.htm"/>
      <w:bookmarkStart w:id="17" w:name="kstm2513132d2_ex231"/>
      <w:bookmarkEnd w:id="16"/>
      <w:bookmarkEnd w:id="17"/>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April 15, 2025 relating to the consolidated financial statements appearing in the Annual Report on Form 10-K of XWELL, Inc. for the year ended December 31, 2024.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18" w:name="tm2513132d2_ex-filingfees.htm"/>
      <w:bookmarkStart w:id="19" w:name="kstm2513132d2_exfilingfees"/>
      <w:bookmarkEnd w:id="18"/>
      <w:bookmarkEnd w:id="19"/>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Table 1: Newly Registered and Carry Forward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4945" w:type="dxa"/>
        <w:jc w:val="left"/>
        <w:tblInd w:w="0" w:type="dxa"/>
        <w:tblLayout w:type="fixed"/>
        <w:tblCellMar>
          <w:top w:w="0" w:type="dxa"/>
          <w:left w:w="0" w:type="dxa"/>
          <w:bottom w:w="0" w:type="dxa"/>
          <w:right w:w="0" w:type="dxa"/>
        </w:tblCellMar>
      </w:tblPr>
      <w:tblGrid>
        <w:gridCol w:w="1025"/>
        <w:gridCol w:w="60"/>
        <w:gridCol w:w="860"/>
        <w:gridCol w:w="60"/>
        <w:gridCol w:w="905"/>
        <w:gridCol w:w="60"/>
        <w:gridCol w:w="1190"/>
        <w:gridCol w:w="60"/>
        <w:gridCol w:w="60"/>
        <w:gridCol w:w="1175"/>
        <w:gridCol w:w="60"/>
        <w:gridCol w:w="60"/>
        <w:gridCol w:w="1070"/>
        <w:gridCol w:w="60"/>
        <w:gridCol w:w="60"/>
        <w:gridCol w:w="1520"/>
        <w:gridCol w:w="60"/>
        <w:gridCol w:w="60"/>
        <w:gridCol w:w="1160"/>
        <w:gridCol w:w="60"/>
        <w:gridCol w:w="60"/>
        <w:gridCol w:w="1265"/>
        <w:gridCol w:w="935"/>
        <w:gridCol w:w="935"/>
        <w:gridCol w:w="935"/>
        <w:gridCol w:w="1190"/>
      </w:tblGrid>
      <w:tr>
        <w:trPr/>
        <w:tc>
          <w:tcPr>
            <w:tcW w:w="10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jc w:val="center"/>
              <w:rPr>
                <w:b/>
              </w:rPr>
            </w:pPr>
            <w:r>
              <w:rPr>
                <w:b/>
              </w:rPr>
              <w:t>Security</w:t>
            </w:r>
          </w:p>
          <w:p>
            <w:pPr>
              <w:pStyle w:val="TableContents"/>
              <w:bidi w:val="0"/>
              <w:spacing w:before="0" w:after="283"/>
              <w:jc w:val="center"/>
              <w:rPr>
                <w:b/>
              </w:rPr>
            </w:pPr>
            <w:r>
              <w:rPr>
                <w:b/>
              </w:rPr>
              <w:t>Type</w:t>
            </w:r>
          </w:p>
        </w:tc>
        <w:tc>
          <w:tcPr>
            <w:tcW w:w="60" w:type="dxa"/>
            <w:tcBorders/>
            <w:shd w:fill="FFFFFF" w:val="cle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jc w:val="center"/>
              <w:rPr>
                <w:b/>
              </w:rPr>
            </w:pPr>
            <w:r>
              <w:rPr>
                <w:b/>
              </w:rPr>
              <w:t>Security</w:t>
            </w:r>
          </w:p>
          <w:p>
            <w:pPr>
              <w:pStyle w:val="TableContents"/>
              <w:bidi w:val="0"/>
              <w:jc w:val="center"/>
              <w:rPr>
                <w:b/>
              </w:rPr>
            </w:pPr>
            <w:r>
              <w:rPr>
                <w:b/>
              </w:rPr>
              <w:t>Class</w:t>
            </w:r>
          </w:p>
          <w:p>
            <w:pPr>
              <w:pStyle w:val="TableContents"/>
              <w:bidi w:val="0"/>
              <w:spacing w:before="0" w:after="283"/>
              <w:jc w:val="center"/>
              <w:rPr>
                <w:b/>
              </w:rPr>
            </w:pPr>
            <w:r>
              <w:rPr>
                <w:b/>
              </w:rPr>
              <w:t>Title</w:t>
            </w:r>
          </w:p>
        </w:tc>
        <w:tc>
          <w:tcPr>
            <w:tcW w:w="60" w:type="dxa"/>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jc w:val="center"/>
              <w:rPr>
                <w:b/>
              </w:rPr>
            </w:pPr>
            <w:r>
              <w:rPr>
                <w:b/>
              </w:rPr>
              <w:t>Fee</w:t>
            </w:r>
          </w:p>
          <w:p>
            <w:pPr>
              <w:pStyle w:val="TableContents"/>
              <w:bidi w:val="0"/>
              <w:jc w:val="center"/>
              <w:rPr>
                <w:b/>
              </w:rPr>
            </w:pPr>
            <w:r>
              <w:rPr>
                <w:b/>
              </w:rPr>
              <w:t>Calculation or</w:t>
            </w:r>
          </w:p>
          <w:p>
            <w:pPr>
              <w:pStyle w:val="TableContents"/>
              <w:bidi w:val="0"/>
              <w:jc w:val="center"/>
              <w:rPr>
                <w:b/>
              </w:rPr>
            </w:pPr>
            <w:r>
              <w:rPr>
                <w:b/>
              </w:rPr>
              <w:t>Carry</w:t>
            </w:r>
          </w:p>
          <w:p>
            <w:pPr>
              <w:pStyle w:val="TableContents"/>
              <w:bidi w:val="0"/>
              <w:jc w:val="center"/>
              <w:rPr>
                <w:b/>
              </w:rPr>
            </w:pPr>
            <w:r>
              <w:rPr>
                <w:b/>
              </w:rPr>
              <w:t>Forward</w:t>
            </w:r>
          </w:p>
          <w:p>
            <w:pPr>
              <w:pStyle w:val="TableContents"/>
              <w:bidi w:val="0"/>
              <w:spacing w:before="0" w:after="283"/>
              <w:jc w:val="center"/>
              <w:rPr>
                <w:b/>
              </w:rPr>
            </w:pPr>
            <w:r>
              <w:rPr>
                <w:b/>
              </w:rPr>
              <w:t>Rule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jc w:val="center"/>
              <w:rPr>
                <w:b/>
              </w:rPr>
            </w:pPr>
            <w:r>
              <w:rPr>
                <w:b/>
              </w:rPr>
              <w:t>Amount</w:t>
            </w:r>
          </w:p>
          <w:p>
            <w:pPr>
              <w:pStyle w:val="TableContents"/>
              <w:bidi w:val="0"/>
              <w:spacing w:before="0" w:after="283"/>
              <w:jc w:val="center"/>
              <w:rPr>
                <w:b/>
              </w:rPr>
            </w:pPr>
            <w:r>
              <w:rPr>
                <w:b/>
              </w:rPr>
              <w:t>Registered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bottom w:val="single" w:sz="8" w:space="0" w:color="000000"/>
            </w:tcBorders>
            <w:shd w:fill="FFFFFF" w:val="clear"/>
            <w:tcMar>
              <w:bottom w:w="28" w:type="dxa"/>
            </w:tcMar>
            <w:vAlign w:val="center"/>
          </w:tcPr>
          <w:p>
            <w:pPr>
              <w:pStyle w:val="TableContents"/>
              <w:bidi w:val="0"/>
              <w:jc w:val="center"/>
              <w:rPr>
                <w:b/>
              </w:rPr>
            </w:pPr>
            <w:r>
              <w:rPr>
                <w:b/>
              </w:rPr>
              <w:t>Proposed</w:t>
            </w:r>
          </w:p>
          <w:p>
            <w:pPr>
              <w:pStyle w:val="TableContents"/>
              <w:bidi w:val="0"/>
              <w:jc w:val="center"/>
              <w:rPr>
                <w:b/>
              </w:rPr>
            </w:pPr>
            <w:r>
              <w:rPr>
                <w:b/>
              </w:rPr>
              <w:t>Maximum</w:t>
            </w:r>
          </w:p>
          <w:p>
            <w:pPr>
              <w:pStyle w:val="TableContents"/>
              <w:bidi w:val="0"/>
              <w:jc w:val="center"/>
              <w:rPr>
                <w:b/>
              </w:rPr>
            </w:pPr>
            <w:r>
              <w:rPr>
                <w:b/>
              </w:rPr>
              <w:t>Offering</w:t>
            </w:r>
          </w:p>
          <w:p>
            <w:pPr>
              <w:pStyle w:val="TableContents"/>
              <w:bidi w:val="0"/>
              <w:jc w:val="center"/>
              <w:rPr>
                <w:b/>
              </w:rPr>
            </w:pPr>
            <w:r>
              <w:rPr>
                <w:b/>
              </w:rPr>
              <w:t>Price Per  </w:t>
            </w:r>
          </w:p>
          <w:p>
            <w:pPr>
              <w:pStyle w:val="TableContents"/>
              <w:bidi w:val="0"/>
              <w:spacing w:before="0" w:after="283"/>
              <w:jc w:val="center"/>
              <w:rPr>
                <w:b/>
              </w:rPr>
            </w:pPr>
            <w:r>
              <w:rPr>
                <w:b/>
              </w:rPr>
              <w:t>Unit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520" w:type="dxa"/>
            <w:tcBorders>
              <w:bottom w:val="single" w:sz="8" w:space="0" w:color="000000"/>
            </w:tcBorders>
            <w:shd w:fill="FFFFFF" w:val="clear"/>
            <w:tcMar>
              <w:bottom w:w="28" w:type="dxa"/>
            </w:tcMar>
            <w:vAlign w:val="center"/>
          </w:tcPr>
          <w:p>
            <w:pPr>
              <w:pStyle w:val="TableContents"/>
              <w:bidi w:val="0"/>
              <w:jc w:val="center"/>
              <w:rPr>
                <w:b/>
              </w:rPr>
            </w:pPr>
            <w:r>
              <w:rPr>
                <w:b/>
              </w:rPr>
              <w:t>Maximum</w:t>
            </w:r>
          </w:p>
          <w:p>
            <w:pPr>
              <w:pStyle w:val="TableContents"/>
              <w:bidi w:val="0"/>
              <w:jc w:val="center"/>
              <w:rPr>
                <w:b/>
              </w:rPr>
            </w:pPr>
            <w:r>
              <w:rPr>
                <w:b/>
              </w:rPr>
              <w:t>Aggregate</w:t>
            </w:r>
          </w:p>
          <w:p>
            <w:pPr>
              <w:pStyle w:val="TableContents"/>
              <w:bidi w:val="0"/>
              <w:jc w:val="center"/>
              <w:rPr>
                <w:b/>
              </w:rPr>
            </w:pPr>
            <w:r>
              <w:rPr>
                <w:b/>
              </w:rPr>
              <w:t>Offering</w:t>
            </w:r>
          </w:p>
          <w:p>
            <w:pPr>
              <w:pStyle w:val="TableContents"/>
              <w:bidi w:val="0"/>
              <w:spacing w:before="0" w:after="283"/>
              <w:jc w:val="center"/>
              <w:rPr>
                <w:b/>
              </w:rPr>
            </w:pPr>
            <w:r>
              <w:rPr>
                <w:b/>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265" w:type="dxa"/>
            <w:tcBorders>
              <w:bottom w:val="single" w:sz="8" w:space="0" w:color="000000"/>
            </w:tcBorders>
            <w:shd w:fill="FFFFFF" w:val="clear"/>
            <w:tcMar>
              <w:bottom w:w="28" w:type="dxa"/>
            </w:tcMar>
            <w:vAlign w:val="center"/>
          </w:tcPr>
          <w:p>
            <w:pPr>
              <w:pStyle w:val="TableContents"/>
              <w:bidi w:val="0"/>
              <w:jc w:val="center"/>
              <w:rPr>
                <w:b/>
              </w:rPr>
            </w:pPr>
            <w:r>
              <w:rPr>
                <w:b/>
              </w:rPr>
              <w:t>Amount of</w:t>
            </w:r>
          </w:p>
          <w:p>
            <w:pPr>
              <w:pStyle w:val="TableContents"/>
              <w:bidi w:val="0"/>
              <w:jc w:val="center"/>
              <w:rPr>
                <w:b/>
              </w:rPr>
            </w:pPr>
            <w:r>
              <w:rPr>
                <w:b/>
              </w:rPr>
              <w:t>Registration</w:t>
            </w:r>
          </w:p>
          <w:p>
            <w:pPr>
              <w:pStyle w:val="TableContents"/>
              <w:bidi w:val="0"/>
              <w:spacing w:before="0" w:after="283"/>
              <w:jc w:val="center"/>
              <w:rPr>
                <w:b/>
              </w:rPr>
            </w:pPr>
            <w:r>
              <w:rPr>
                <w:b/>
              </w:rPr>
              <w:t>Fee</w:t>
            </w:r>
          </w:p>
        </w:tc>
        <w:tc>
          <w:tcPr>
            <w:tcW w:w="935" w:type="dxa"/>
            <w:tcBorders>
              <w:bottom w:val="single" w:sz="8" w:space="0" w:color="000000"/>
            </w:tcBorders>
            <w:shd w:fill="FFFFFF" w:val="clear"/>
            <w:tcMar>
              <w:bottom w:w="28" w:type="dxa"/>
            </w:tcMar>
            <w:vAlign w:val="center"/>
          </w:tcPr>
          <w:p>
            <w:pPr>
              <w:pStyle w:val="TableContents"/>
              <w:bidi w:val="0"/>
              <w:jc w:val="center"/>
              <w:rPr>
                <w:b/>
              </w:rPr>
            </w:pPr>
            <w:r>
              <w:rPr>
                <w:b/>
              </w:rPr>
              <w:t>Carry</w:t>
            </w:r>
          </w:p>
          <w:p>
            <w:pPr>
              <w:pStyle w:val="TableContents"/>
              <w:bidi w:val="0"/>
              <w:jc w:val="center"/>
              <w:rPr>
                <w:b/>
              </w:rPr>
            </w:pPr>
            <w:r>
              <w:rPr>
                <w:b/>
              </w:rPr>
              <w:t>Forward</w:t>
            </w:r>
          </w:p>
          <w:p>
            <w:pPr>
              <w:pStyle w:val="TableContents"/>
              <w:bidi w:val="0"/>
              <w:jc w:val="center"/>
              <w:rPr>
                <w:b/>
              </w:rPr>
            </w:pPr>
            <w:r>
              <w:rPr>
                <w:b/>
              </w:rPr>
              <w:t>Form</w:t>
            </w:r>
          </w:p>
          <w:p>
            <w:pPr>
              <w:pStyle w:val="TableContents"/>
              <w:bidi w:val="0"/>
              <w:spacing w:before="0" w:after="283"/>
              <w:jc w:val="center"/>
              <w:rPr>
                <w:b/>
              </w:rPr>
            </w:pPr>
            <w:r>
              <w:rPr>
                <w:b/>
              </w:rPr>
              <w:t>Type</w:t>
            </w:r>
          </w:p>
        </w:tc>
        <w:tc>
          <w:tcPr>
            <w:tcW w:w="935" w:type="dxa"/>
            <w:tcBorders>
              <w:bottom w:val="single" w:sz="8" w:space="0" w:color="000000"/>
            </w:tcBorders>
            <w:shd w:fill="FFFFFF" w:val="clear"/>
            <w:tcMar>
              <w:bottom w:w="28" w:type="dxa"/>
            </w:tcMar>
            <w:vAlign w:val="center"/>
          </w:tcPr>
          <w:p>
            <w:pPr>
              <w:pStyle w:val="TableContents"/>
              <w:bidi w:val="0"/>
              <w:jc w:val="center"/>
              <w:rPr>
                <w:b/>
              </w:rPr>
            </w:pPr>
            <w:r>
              <w:rPr>
                <w:b/>
              </w:rPr>
              <w:t>Carry</w:t>
            </w:r>
          </w:p>
          <w:p>
            <w:pPr>
              <w:pStyle w:val="TableContents"/>
              <w:bidi w:val="0"/>
              <w:jc w:val="center"/>
              <w:rPr>
                <w:b/>
              </w:rPr>
            </w:pPr>
            <w:r>
              <w:rPr>
                <w:b/>
              </w:rPr>
              <w:t>Forward</w:t>
            </w:r>
          </w:p>
          <w:p>
            <w:pPr>
              <w:pStyle w:val="TableContents"/>
              <w:bidi w:val="0"/>
              <w:jc w:val="center"/>
              <w:rPr>
                <w:b/>
              </w:rPr>
            </w:pPr>
            <w:r>
              <w:rPr>
                <w:b/>
              </w:rPr>
              <w:t>File</w:t>
            </w:r>
          </w:p>
          <w:p>
            <w:pPr>
              <w:pStyle w:val="TableContents"/>
              <w:bidi w:val="0"/>
              <w:spacing w:before="0" w:after="283"/>
              <w:jc w:val="center"/>
              <w:rPr>
                <w:b/>
              </w:rPr>
            </w:pPr>
            <w:r>
              <w:rPr>
                <w:b/>
              </w:rPr>
              <w:t>Number</w:t>
            </w:r>
          </w:p>
        </w:tc>
        <w:tc>
          <w:tcPr>
            <w:tcW w:w="935" w:type="dxa"/>
            <w:tcBorders>
              <w:bottom w:val="single" w:sz="8" w:space="0" w:color="000000"/>
            </w:tcBorders>
            <w:shd w:fill="FFFFFF" w:val="clear"/>
            <w:tcMar>
              <w:bottom w:w="28" w:type="dxa"/>
            </w:tcMar>
            <w:vAlign w:val="center"/>
          </w:tcPr>
          <w:p>
            <w:pPr>
              <w:pStyle w:val="TableContents"/>
              <w:bidi w:val="0"/>
              <w:jc w:val="center"/>
              <w:rPr>
                <w:b/>
              </w:rPr>
            </w:pPr>
            <w:r>
              <w:rPr>
                <w:b/>
              </w:rPr>
              <w:t>Carry</w:t>
            </w:r>
          </w:p>
          <w:p>
            <w:pPr>
              <w:pStyle w:val="TableContents"/>
              <w:bidi w:val="0"/>
              <w:jc w:val="center"/>
              <w:rPr>
                <w:b/>
              </w:rPr>
            </w:pPr>
            <w:r>
              <w:rPr>
                <w:b/>
              </w:rPr>
              <w:t>Forward</w:t>
            </w:r>
          </w:p>
          <w:p>
            <w:pPr>
              <w:pStyle w:val="TableContents"/>
              <w:bidi w:val="0"/>
              <w:spacing w:before="0" w:after="283"/>
              <w:jc w:val="center"/>
              <w:rPr>
                <w:b/>
              </w:rPr>
            </w:pPr>
            <w:r>
              <w:rPr>
                <w:b/>
              </w:rPr>
              <w:t>Initial effective date</w:t>
            </w:r>
          </w:p>
        </w:tc>
        <w:tc>
          <w:tcPr>
            <w:tcW w:w="1190" w:type="dxa"/>
            <w:tcBorders>
              <w:bottom w:val="single" w:sz="8" w:space="0" w:color="000000"/>
            </w:tcBorders>
            <w:shd w:fill="FFFFFF" w:val="clear"/>
            <w:tcMar>
              <w:bottom w:w="28" w:type="dxa"/>
            </w:tcMar>
            <w:vAlign w:val="center"/>
          </w:tcPr>
          <w:p>
            <w:pPr>
              <w:pStyle w:val="TableContents"/>
              <w:bidi w:val="0"/>
              <w:jc w:val="center"/>
              <w:rPr>
                <w:b/>
              </w:rPr>
            </w:pPr>
            <w:r>
              <w:rPr>
                <w:b/>
              </w:rPr>
              <w:t>Previously Paid In</w:t>
            </w:r>
          </w:p>
          <w:p>
            <w:pPr>
              <w:pStyle w:val="TableContents"/>
              <w:bidi w:val="0"/>
              <w:jc w:val="center"/>
              <w:rPr>
                <w:b/>
              </w:rPr>
            </w:pPr>
            <w:r>
              <w:rPr>
                <w:b/>
              </w:rPr>
              <w:t>Connection</w:t>
            </w:r>
          </w:p>
          <w:p>
            <w:pPr>
              <w:pStyle w:val="TableContents"/>
              <w:bidi w:val="0"/>
              <w:jc w:val="center"/>
              <w:rPr>
                <w:b/>
              </w:rPr>
            </w:pPr>
            <w:r>
              <w:rPr>
                <w:b/>
              </w:rPr>
              <w:t>with Unsold</w:t>
            </w:r>
          </w:p>
          <w:p>
            <w:pPr>
              <w:pStyle w:val="TableContents"/>
              <w:bidi w:val="0"/>
              <w:jc w:val="center"/>
              <w:rPr>
                <w:b/>
              </w:rPr>
            </w:pPr>
            <w:r>
              <w:rPr>
                <w:b/>
              </w:rPr>
              <w:t>Securities to be</w:t>
            </w:r>
          </w:p>
          <w:p>
            <w:pPr>
              <w:pStyle w:val="TableContents"/>
              <w:bidi w:val="0"/>
              <w:spacing w:before="0" w:after="283"/>
              <w:jc w:val="center"/>
              <w:rPr>
                <w:b/>
              </w:rPr>
            </w:pPr>
            <w:r>
              <w:rPr>
                <w:b/>
              </w:rPr>
              <w:t>Carried Forward</w:t>
            </w:r>
          </w:p>
        </w:tc>
      </w:tr>
      <w:tr>
        <w:trPr/>
        <w:tc>
          <w:tcPr>
            <w:tcW w:w="10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990" w:type="dxa"/>
            <w:gridSpan w:val="7"/>
            <w:tcBorders/>
            <w:shd w:fill="CCEEFF" w:val="clear"/>
            <w:vAlign w:val="center"/>
          </w:tcPr>
          <w:p>
            <w:pPr>
              <w:pStyle w:val="TableContents"/>
              <w:bidi w:val="0"/>
              <w:spacing w:before="0" w:after="283"/>
              <w:jc w:val="center"/>
              <w:rPr>
                <w:b/>
              </w:rPr>
            </w:pPr>
            <w:r>
              <w:rPr>
                <w:b/>
              </w:rPr>
              <w:t>Newly Registered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6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center"/>
              <w:rPr/>
            </w:pPr>
            <w:r>
              <w:rPr/>
              <w:t>Fees to be Paid</w:t>
            </w:r>
          </w:p>
        </w:tc>
        <w:tc>
          <w:tcPr>
            <w:tcW w:w="60" w:type="dxa"/>
            <w:tcBorders/>
            <w:shd w:fill="FFFFFF" w:val="clear"/>
            <w:vAlign w:val="center"/>
          </w:tcPr>
          <w:p>
            <w:pPr>
              <w:pStyle w:val="TableContents"/>
              <w:bidi w:val="0"/>
              <w:spacing w:before="0" w:after="283"/>
              <w:jc w:val="center"/>
              <w:rPr/>
            </w:pPr>
            <w:r>
              <w:rPr/>
              <w:t> </w:t>
            </w:r>
          </w:p>
        </w:tc>
        <w:tc>
          <w:tcPr>
            <w:tcW w:w="860" w:type="dxa"/>
            <w:tcBorders/>
            <w:shd w:fill="FFFFFF" w:val="clear"/>
            <w:vAlign w:val="center"/>
          </w:tcPr>
          <w:p>
            <w:pPr>
              <w:pStyle w:val="TableContents"/>
              <w:bidi w:val="0"/>
              <w:spacing w:before="0" w:after="283"/>
              <w:jc w:val="center"/>
              <w:rPr/>
            </w:pPr>
            <w:r>
              <w:rPr/>
              <w:t>Equity</w:t>
            </w:r>
          </w:p>
        </w:tc>
        <w:tc>
          <w:tcPr>
            <w:tcW w:w="60"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Common Stock, par value $0.01 per share</w:t>
            </w:r>
          </w:p>
        </w:tc>
        <w:tc>
          <w:tcPr>
            <w:tcW w:w="60"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Rule 457(c)</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75" w:type="dxa"/>
            <w:tcBorders/>
            <w:shd w:fill="FFFFFF" w:val="clear"/>
            <w:vAlign w:val="center"/>
          </w:tcPr>
          <w:p>
            <w:pPr>
              <w:pStyle w:val="TableContents"/>
              <w:bidi w:val="0"/>
              <w:spacing w:before="0" w:after="283"/>
              <w:jc w:val="center"/>
              <w:rPr/>
            </w:pPr>
            <w:r>
              <w:rPr/>
              <w:t>32,703,889(2)</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center"/>
              <w:rPr/>
            </w:pPr>
            <w:r>
              <w:rPr/>
              <w:t>$0.89(3)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right"/>
              <w:rPr/>
            </w:pPr>
            <w:r>
              <w:rPr/>
              <w:t> </w:t>
            </w:r>
          </w:p>
        </w:tc>
        <w:tc>
          <w:tcPr>
            <w:tcW w:w="1520" w:type="dxa"/>
            <w:tcBorders/>
            <w:shd w:fill="FFFFFF" w:val="clear"/>
            <w:vAlign w:val="center"/>
          </w:tcPr>
          <w:p>
            <w:pPr>
              <w:pStyle w:val="TableContents"/>
              <w:bidi w:val="0"/>
              <w:spacing w:before="0" w:after="283"/>
              <w:jc w:val="center"/>
              <w:rPr/>
            </w:pPr>
            <w:r>
              <w:rPr/>
              <w:t>$29,106,461.21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right"/>
              <w:rPr/>
            </w:pPr>
            <w:r>
              <w:rPr/>
              <w:t> </w:t>
            </w:r>
          </w:p>
        </w:tc>
        <w:tc>
          <w:tcPr>
            <w:tcW w:w="1160" w:type="dxa"/>
            <w:tcBorders/>
            <w:shd w:fill="FFFFFF" w:val="clear"/>
            <w:vAlign w:val="center"/>
          </w:tcPr>
          <w:p>
            <w:pPr>
              <w:pStyle w:val="TableContents"/>
              <w:bidi w:val="0"/>
              <w:spacing w:before="0" w:after="283"/>
              <w:jc w:val="center"/>
              <w:rPr/>
            </w:pPr>
            <w:r>
              <w:rPr/>
              <w:t>$0.0001531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right"/>
              <w:rPr/>
            </w:pPr>
            <w:r>
              <w:rPr/>
              <w:t> </w:t>
            </w:r>
          </w:p>
        </w:tc>
        <w:tc>
          <w:tcPr>
            <w:tcW w:w="1265" w:type="dxa"/>
            <w:tcBorders/>
            <w:shd w:fill="FFFFFF" w:val="clear"/>
            <w:vAlign w:val="center"/>
          </w:tcPr>
          <w:p>
            <w:pPr>
              <w:pStyle w:val="TableContents"/>
              <w:bidi w:val="0"/>
              <w:spacing w:before="0" w:after="283"/>
              <w:jc w:val="center"/>
              <w:rPr/>
            </w:pPr>
            <w:r>
              <w:rPr/>
              <w:t>$4,456.20</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jc w:val="center"/>
              <w:rPr/>
            </w:pPr>
            <w:r>
              <w:rPr/>
              <w:t>Fees Previously</w:t>
            </w:r>
          </w:p>
          <w:p>
            <w:pPr>
              <w:pStyle w:val="TableContents"/>
              <w:bidi w:val="0"/>
              <w:spacing w:before="0" w:after="283"/>
              <w:jc w:val="center"/>
              <w:rPr/>
            </w:pPr>
            <w:r>
              <w:rPr/>
              <w:t>Paid</w:t>
            </w:r>
          </w:p>
        </w:tc>
        <w:tc>
          <w:tcPr>
            <w:tcW w:w="60" w:type="dxa"/>
            <w:tcBorders/>
            <w:shd w:fill="CCEEFF" w:val="clear"/>
            <w:vAlign w:val="center"/>
          </w:tcPr>
          <w:p>
            <w:pPr>
              <w:pStyle w:val="TableContents"/>
              <w:bidi w:val="0"/>
              <w:spacing w:before="0" w:after="283"/>
              <w:jc w:val="center"/>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center"/>
              <w:rPr/>
            </w:pPr>
            <w:r>
              <w:rPr/>
              <w:t> </w:t>
            </w:r>
          </w:p>
        </w:tc>
        <w:tc>
          <w:tcPr>
            <w:tcW w:w="905" w:type="dxa"/>
            <w:tcBorders/>
            <w:shd w:fill="CCEEFF" w:val="clear"/>
            <w:vAlign w:val="center"/>
          </w:tcPr>
          <w:p>
            <w:pPr>
              <w:pStyle w:val="TableContents"/>
              <w:bidi w:val="0"/>
              <w:spacing w:before="0" w:after="283"/>
              <w:jc w:val="center"/>
              <w:rPr/>
            </w:pPr>
            <w:r>
              <w:rPr/>
              <w:t>Common Stock, par value $0.01 per share</w:t>
            </w:r>
          </w:p>
        </w:tc>
        <w:tc>
          <w:tcPr>
            <w:tcW w:w="60"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Rule 457(c)</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175" w:type="dxa"/>
            <w:tcBorders/>
            <w:shd w:fill="CCEEFF" w:val="clear"/>
            <w:vAlign w:val="center"/>
          </w:tcPr>
          <w:p>
            <w:pPr>
              <w:pStyle w:val="TableContents"/>
              <w:bidi w:val="0"/>
              <w:spacing w:before="0" w:after="283"/>
              <w:jc w:val="center"/>
              <w:rPr/>
            </w:pPr>
            <w:r>
              <w:rPr/>
              <w:t>62,003,579</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right"/>
              <w:rPr/>
            </w:pPr>
            <w:r>
              <w:rPr/>
              <w:t> </w:t>
            </w:r>
          </w:p>
        </w:tc>
        <w:tc>
          <w:tcPr>
            <w:tcW w:w="1070" w:type="dxa"/>
            <w:tcBorders/>
            <w:shd w:fill="CCEEFF" w:val="clear"/>
            <w:vAlign w:val="center"/>
          </w:tcPr>
          <w:p>
            <w:pPr>
              <w:pStyle w:val="TableContents"/>
              <w:bidi w:val="0"/>
              <w:spacing w:before="0" w:after="283"/>
              <w:jc w:val="center"/>
              <w:rPr/>
            </w:pPr>
            <w:r>
              <w:rPr/>
              <w:t>$0.7502(4)</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right"/>
              <w:rPr/>
            </w:pPr>
            <w:r>
              <w:rPr/>
              <w:t> </w:t>
            </w:r>
          </w:p>
        </w:tc>
        <w:tc>
          <w:tcPr>
            <w:tcW w:w="1520" w:type="dxa"/>
            <w:tcBorders/>
            <w:shd w:fill="CCEEFF" w:val="clear"/>
            <w:vAlign w:val="center"/>
          </w:tcPr>
          <w:p>
            <w:pPr>
              <w:pStyle w:val="TableContents"/>
              <w:bidi w:val="0"/>
              <w:spacing w:before="0" w:after="283"/>
              <w:jc w:val="center"/>
              <w:rPr/>
            </w:pPr>
            <w:r>
              <w:rPr/>
              <w:t>$46,511,984.62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right"/>
              <w:rPr/>
            </w:pPr>
            <w:r>
              <w:rPr/>
              <w:t> </w:t>
            </w:r>
          </w:p>
        </w:tc>
        <w:tc>
          <w:tcPr>
            <w:tcW w:w="1160" w:type="dxa"/>
            <w:tcBorders/>
            <w:shd w:fill="CCEEFF" w:val="clear"/>
            <w:vAlign w:val="center"/>
          </w:tcPr>
          <w:p>
            <w:pPr>
              <w:pStyle w:val="TableContents"/>
              <w:bidi w:val="0"/>
              <w:spacing w:before="0" w:after="283"/>
              <w:jc w:val="center"/>
              <w:rPr/>
            </w:pPr>
            <w:r>
              <w:rPr/>
              <w:t>$0.0001531</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right"/>
              <w:rPr/>
            </w:pPr>
            <w:r>
              <w:rPr/>
              <w:t> </w:t>
            </w:r>
          </w:p>
        </w:tc>
        <w:tc>
          <w:tcPr>
            <w:tcW w:w="1265" w:type="dxa"/>
            <w:tcBorders/>
            <w:shd w:fill="CCEEFF" w:val="clear"/>
            <w:vAlign w:val="center"/>
          </w:tcPr>
          <w:p>
            <w:pPr>
              <w:pStyle w:val="TableContents"/>
              <w:bidi w:val="0"/>
              <w:spacing w:before="0" w:after="283"/>
              <w:jc w:val="center"/>
              <w:rPr/>
            </w:pPr>
            <w:r>
              <w:rPr/>
              <w:t>$7,120.98</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5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1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26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990" w:type="dxa"/>
            <w:gridSpan w:val="7"/>
            <w:tcBorders/>
            <w:shd w:fill="CCEEFF" w:val="clear"/>
            <w:vAlign w:val="center"/>
          </w:tcPr>
          <w:p>
            <w:pPr>
              <w:pStyle w:val="TableContents"/>
              <w:bidi w:val="0"/>
              <w:spacing w:before="0" w:after="283"/>
              <w:jc w:val="center"/>
              <w:rPr>
                <w:b/>
              </w:rPr>
            </w:pPr>
            <w:r>
              <w:rPr>
                <w:b/>
              </w:rPr>
              <w:t>Carry Forward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6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jc w:val="center"/>
              <w:rPr/>
            </w:pPr>
            <w:r>
              <w:rPr/>
              <w:t>Carry</w:t>
            </w:r>
          </w:p>
          <w:p>
            <w:pPr>
              <w:pStyle w:val="TableContents"/>
              <w:bidi w:val="0"/>
              <w:spacing w:before="0" w:after="283"/>
              <w:jc w:val="center"/>
              <w:rPr/>
            </w:pPr>
            <w:r>
              <w:rPr/>
              <w:t>Forward Securities</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5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1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26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0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5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1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6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450" w:type="dxa"/>
            <w:gridSpan w:val="6"/>
            <w:tcBorders/>
            <w:shd w:fill="FFFFFF" w:val="clear"/>
            <w:vAlign w:val="center"/>
          </w:tcPr>
          <w:p>
            <w:pPr>
              <w:pStyle w:val="TableContents"/>
              <w:bidi w:val="0"/>
              <w:spacing w:before="0" w:after="283"/>
              <w:jc w:val="center"/>
              <w:rPr>
                <w:b/>
              </w:rPr>
            </w:pPr>
            <w:r>
              <w:rPr>
                <w:b/>
              </w:rPr>
              <w:t>Total Offering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520" w:type="dxa"/>
            <w:tcBorders/>
            <w:shd w:fill="FFFFFF" w:val="clear"/>
            <w:vAlign w:val="center"/>
          </w:tcPr>
          <w:p>
            <w:pPr>
              <w:pStyle w:val="TableContents"/>
              <w:bidi w:val="0"/>
              <w:spacing w:before="0" w:after="283"/>
              <w:jc w:val="center"/>
              <w:rPr/>
            </w:pPr>
            <w:r>
              <w:rPr/>
              <w:t>$29,106,461.21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1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265" w:type="dxa"/>
            <w:tcBorders/>
            <w:shd w:fill="FFFFFF" w:val="clear"/>
            <w:vAlign w:val="center"/>
          </w:tcPr>
          <w:p>
            <w:pPr>
              <w:pStyle w:val="TableContents"/>
              <w:bidi w:val="0"/>
              <w:spacing w:before="0" w:after="283"/>
              <w:jc w:val="center"/>
              <w:rPr/>
            </w:pPr>
            <w:r>
              <w:rPr/>
              <w:t>$4,456.20</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450" w:type="dxa"/>
            <w:gridSpan w:val="6"/>
            <w:tcBorders/>
            <w:shd w:fill="CCEEFF" w:val="clear"/>
            <w:vAlign w:val="center"/>
          </w:tcPr>
          <w:p>
            <w:pPr>
              <w:pStyle w:val="TableContents"/>
              <w:bidi w:val="0"/>
              <w:spacing w:before="0" w:after="283"/>
              <w:jc w:val="center"/>
              <w:rPr>
                <w:b/>
              </w:rPr>
            </w:pPr>
            <w:r>
              <w:rPr>
                <w:b/>
              </w:rPr>
              <w:t>Total Fees Previously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0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520" w:type="dxa"/>
            <w:tcBorders/>
            <w:shd w:fill="CCEEFF" w:val="clear"/>
            <w:vAlign w:val="center"/>
          </w:tcPr>
          <w:p>
            <w:pPr>
              <w:pStyle w:val="TableContents"/>
              <w:bidi w:val="0"/>
              <w:spacing w:before="0" w:after="283"/>
              <w:jc w:val="center"/>
              <w:rPr/>
            </w:pPr>
            <w:r>
              <w:rPr/>
              <w:t>$46,511,984.62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1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65" w:type="dxa"/>
            <w:tcBorders/>
            <w:shd w:fill="CCEEFF" w:val="clear"/>
            <w:vAlign w:val="center"/>
          </w:tcPr>
          <w:p>
            <w:pPr>
              <w:pStyle w:val="TableContents"/>
              <w:bidi w:val="0"/>
              <w:spacing w:before="0" w:after="283"/>
              <w:jc w:val="center"/>
              <w:rPr/>
            </w:pPr>
            <w:r>
              <w:rPr/>
              <w:t>$7,120.98</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 </w:t>
            </w:r>
          </w:p>
        </w:tc>
      </w:tr>
      <w:tr>
        <w:trPr/>
        <w:tc>
          <w:tcPr>
            <w:tcW w:w="10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450" w:type="dxa"/>
            <w:gridSpan w:val="6"/>
            <w:tcBorders/>
            <w:shd w:fill="FFFFFF" w:val="clear"/>
            <w:vAlign w:val="center"/>
          </w:tcPr>
          <w:p>
            <w:pPr>
              <w:pStyle w:val="TableContents"/>
              <w:bidi w:val="0"/>
              <w:spacing w:before="0" w:after="283"/>
              <w:jc w:val="center"/>
              <w:rPr>
                <w:b/>
              </w:rPr>
            </w:pPr>
            <w:r>
              <w:rPr>
                <w:b/>
              </w:rPr>
              <w:t>Total Fee Offsets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5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1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126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935"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10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450" w:type="dxa"/>
            <w:gridSpan w:val="6"/>
            <w:tcBorders/>
            <w:shd w:fill="CCEEFF" w:val="clear"/>
            <w:vAlign w:val="center"/>
          </w:tcPr>
          <w:p>
            <w:pPr>
              <w:pStyle w:val="TableContents"/>
              <w:bidi w:val="0"/>
              <w:spacing w:before="0" w:after="283"/>
              <w:jc w:val="center"/>
              <w:rPr>
                <w:b/>
              </w:rPr>
            </w:pPr>
            <w:r>
              <w:rPr>
                <w:b/>
              </w:rPr>
              <w:t>Net Fee Due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0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5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1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65" w:type="dxa"/>
            <w:tcBorders/>
            <w:shd w:fill="CCEEFF" w:val="clear"/>
            <w:vAlign w:val="center"/>
          </w:tcPr>
          <w:p>
            <w:pPr>
              <w:pStyle w:val="TableContents"/>
              <w:bidi w:val="0"/>
              <w:spacing w:before="0" w:after="283"/>
              <w:jc w:val="center"/>
              <w:rPr/>
            </w:pPr>
            <w:r>
              <w:rPr/>
              <w:t>$0.00</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935" w:type="dxa"/>
            <w:tcBorders/>
            <w:shd w:fill="CCEEFF" w:val="clear"/>
            <w:vAlign w:val="center"/>
          </w:tcPr>
          <w:p>
            <w:pPr>
              <w:pStyle w:val="TableContents"/>
              <w:bidi w:val="0"/>
              <w:spacing w:before="0" w:after="283"/>
              <w:jc w:val="center"/>
              <w:rPr/>
            </w:pPr>
            <w:r>
              <w:rPr/>
              <w:t> </w:t>
            </w:r>
          </w:p>
        </w:tc>
        <w:tc>
          <w:tcPr>
            <w:tcW w:w="119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pPr>
            <w:r>
              <w:rPr/>
              <w:t>(1)</w:t>
            </w:r>
          </w:p>
        </w:tc>
        <w:tc>
          <w:tcPr>
            <w:tcW w:w="9958" w:type="dxa"/>
            <w:tcBorders/>
            <w:vAlign w:val="center"/>
          </w:tcPr>
          <w:p>
            <w:pPr>
              <w:pStyle w:val="TableContents"/>
              <w:bidi w:val="0"/>
              <w:spacing w:before="0" w:after="283"/>
              <w:jc w:val="both"/>
              <w:rPr/>
            </w:pPr>
            <w:r>
              <w:rPr/>
              <w:t>Pursuant to Rule 416 under the Securities Act of 1933 (the “Securities Act”), the shares being registered hereunder include such indeterminate number of shares of common stock, par value $0.01 per share (the “Common Stock”), as may be issuable with respect to the shares being registered hereunder as a result of stock splits, stock dividends or similar transactions.</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both"/>
              <w:rPr/>
            </w:pPr>
            <w:r>
              <w:rPr/>
              <w:t>(2)</w:t>
            </w:r>
          </w:p>
        </w:tc>
        <w:tc>
          <w:tcPr>
            <w:tcW w:w="9958" w:type="dxa"/>
            <w:tcBorders/>
            <w:vAlign w:val="center"/>
          </w:tcPr>
          <w:p>
            <w:pPr>
              <w:pStyle w:val="TableContents"/>
              <w:bidi w:val="0"/>
              <w:spacing w:before="0" w:after="283"/>
              <w:jc w:val="both"/>
              <w:rPr/>
            </w:pPr>
            <w:r>
              <w:rPr/>
              <w:t>Represents an aggregate of 32,703,889 shares of Common Stock issuable upon the conversion of shares of Series G convertible preferred stock (the “Preferred Stock”), upon exercise of certain warrants, and issuable as dividends to the holders of the Preferred Stock, based on the Company’s reasonable good-faith estimate of the number of Dividend Shares to be issued, if any.</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both"/>
              <w:rPr/>
            </w:pPr>
            <w:r>
              <w:rPr/>
              <w:t>(3)</w:t>
            </w:r>
          </w:p>
        </w:tc>
        <w:tc>
          <w:tcPr>
            <w:tcW w:w="9958" w:type="dxa"/>
            <w:tcBorders/>
            <w:vAlign w:val="center"/>
          </w:tcPr>
          <w:p>
            <w:pPr>
              <w:pStyle w:val="TableContents"/>
              <w:bidi w:val="0"/>
              <w:spacing w:before="0" w:after="283"/>
              <w:jc w:val="both"/>
              <w:rPr/>
            </w:pPr>
            <w:r>
              <w:rPr/>
              <w:t>Estimated solely for the purpose of calculating the amount of the registration fee pursuant to Rule 457(c) under the Securities Act, based on the average of the high and low prices of the Common Stock as reported on The Nasdaq Capital Market on May 28, 2025, which such date is within five business days of the filing of this Amendment No. 2 to the registration statement, of $0.89 per share</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r>
        <w:trPr/>
        <w:tc>
          <w:tcPr>
            <w:tcW w:w="247" w:type="dxa"/>
            <w:tcBorders/>
            <w:vAlign w:val="center"/>
          </w:tcPr>
          <w:p>
            <w:pPr>
              <w:pStyle w:val="TableContents"/>
              <w:bidi w:val="0"/>
              <w:spacing w:before="0" w:after="283"/>
              <w:jc w:val="both"/>
              <w:rPr/>
            </w:pPr>
            <w:r>
              <w:rPr/>
              <w:t>(4)</w:t>
            </w:r>
          </w:p>
        </w:tc>
        <w:tc>
          <w:tcPr>
            <w:tcW w:w="9958" w:type="dxa"/>
            <w:tcBorders/>
            <w:vAlign w:val="center"/>
          </w:tcPr>
          <w:p>
            <w:pPr>
              <w:pStyle w:val="TableContents"/>
              <w:bidi w:val="0"/>
              <w:spacing w:before="0" w:after="283"/>
              <w:jc w:val="both"/>
              <w:rPr/>
            </w:pPr>
            <w:r>
              <w:rPr/>
              <w:t>Estimated solely for the purpose of calculating the amount of the registration fee pursuant to Rule 457(c) under the Securities Act, based on the average of the high and low prices of the Common Stock as reported on The Nasdaq Capital Market on April 22, 2025, which such date is within five business days of the filing of Amendment No. 1 to the registration statement on April 29, 2025, of $0.7502 per share</w:t>
            </w:r>
          </w:p>
        </w:tc>
      </w:tr>
      <w:tr>
        <w:trPr/>
        <w:tc>
          <w:tcPr>
            <w:tcW w:w="247" w:type="dxa"/>
            <w:tcBorders/>
            <w:vAlign w:val="center"/>
          </w:tcPr>
          <w:p>
            <w:pPr>
              <w:pStyle w:val="TableContents"/>
              <w:bidi w:val="0"/>
              <w:spacing w:before="0" w:after="283"/>
              <w:jc w:val="both"/>
              <w:rPr/>
            </w:pPr>
            <w:r>
              <w:rPr/>
              <w:t> </w:t>
            </w:r>
          </w:p>
        </w:tc>
        <w:tc>
          <w:tcPr>
            <w:tcW w:w="995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10428/000155837025004851/xwel-20241231x10k.htm" TargetMode="External"/><Relationship Id="rId3" Type="http://schemas.openxmlformats.org/officeDocument/2006/relationships/hyperlink" Target="https://www.sec.gov/ix?doc=/Archives/edgar/data/1410428/000155837025005691/xwel-20241231x10ka.htm" TargetMode="External"/><Relationship Id="rId4" Type="http://schemas.openxmlformats.org/officeDocument/2006/relationships/hyperlink" Target="https://www.sec.gov/ix?doc=/Archives/edgar/data/1410428/000155837025008028/xwel-20250331x10q.htm" TargetMode="External"/><Relationship Id="rId5" Type="http://schemas.openxmlformats.org/officeDocument/2006/relationships/hyperlink" Target="https://www.sec.gov/ix?doc=/Archives/edgar/data/1410428/000110465925001576/tm251904d1_8k.htm" TargetMode="External"/><Relationship Id="rId6" Type="http://schemas.openxmlformats.org/officeDocument/2006/relationships/hyperlink" Target="https://www.sec.gov/ix?doc=/Archives/edgar/data/1410428/000110465925003620/tm253251d1_8k.htm" TargetMode="External"/><Relationship Id="rId7" Type="http://schemas.openxmlformats.org/officeDocument/2006/relationships/hyperlink" Target="https://www.sec.gov/ix?doc=/Archives/edgar/data/1410428/000110465925020597/tm258261d1_8k.htm" TargetMode="External"/><Relationship Id="rId8" Type="http://schemas.openxmlformats.org/officeDocument/2006/relationships/hyperlink" Target="https://www.sec.gov/ix?doc=/Archives/edgar/data/1410428/000110465925034194/tm2512176d1_8k.htm" TargetMode="External"/><Relationship Id="rId9" Type="http://schemas.openxmlformats.org/officeDocument/2006/relationships/hyperlink" Target="https://www.sec.gov/ix?doc=/Archives/edgar/data/1410428/000110465925036830/tm2512718d1_8k.htm" TargetMode="External"/><Relationship Id="rId10" Type="http://schemas.openxmlformats.org/officeDocument/2006/relationships/hyperlink" Target="https://www.sec.gov/ix?doc=/Archives/edgar/data/1410428/000110465925050498/tm2515209d1_8k.htm" TargetMode="External"/><Relationship Id="rId11" Type="http://schemas.openxmlformats.org/officeDocument/2006/relationships/hyperlink" Target="https://www.sec.gov/Archives/edgar/data/1410428/000119312510140514/d8a12b.htm" TargetMode="External"/><Relationship Id="rId12" Type="http://schemas.openxmlformats.org/officeDocument/2006/relationships/hyperlink" Target="https://www.sec.gov/Archives/edgar/data/1410428/000110465920048780/tm205324d1_ex4-22.htm" TargetMode="External"/><Relationship Id="rId13" Type="http://schemas.openxmlformats.org/officeDocument/2006/relationships/hyperlink" Target="https://www.sec.gov/Archives/edgar/data/1410428/000114420416117230/v446257_ex2-1.htm" TargetMode="External"/><Relationship Id="rId14" Type="http://schemas.openxmlformats.org/officeDocument/2006/relationships/hyperlink" Target="https://www.sec.gov/Archives/edgar/data/1410428/000114420416117230/v446257_ex2-1.htm" TargetMode="External"/><Relationship Id="rId15" Type="http://schemas.openxmlformats.org/officeDocument/2006/relationships/hyperlink" Target="https://www.sec.gov/Archives/edgar/data/1410428/000114420416123414/v448507_ex2-1.htm" TargetMode="External"/><Relationship Id="rId16" Type="http://schemas.openxmlformats.org/officeDocument/2006/relationships/hyperlink" Target="https://www.sec.gov/Archives/edgar/data/1410428/000114420416123414/v448507_ex2-1.htm" TargetMode="External"/><Relationship Id="rId17" Type="http://schemas.openxmlformats.org/officeDocument/2006/relationships/hyperlink" Target="https://www.sec.gov/Archives/edgar/data/1410428/000114420416129472/v451220_ex2-1.htm" TargetMode="External"/><Relationship Id="rId18" Type="http://schemas.openxmlformats.org/officeDocument/2006/relationships/hyperlink" Target="https://www.sec.gov/Archives/edgar/data/1410428/000114420416129472/v451220_ex2-1.htm" TargetMode="External"/><Relationship Id="rId19" Type="http://schemas.openxmlformats.org/officeDocument/2006/relationships/hyperlink" Target="https://www.sec.gov/Archives/edgar/data/1410428/000110465922110803/tm2228726d1_ex3-1.htm" TargetMode="External"/><Relationship Id="rId20" Type="http://schemas.openxmlformats.org/officeDocument/2006/relationships/hyperlink" Target="https://www.sec.gov/Archives/edgar/data/1410428/000110465922110803/tm2228726d1_ex3-1.htm" TargetMode="External"/><Relationship Id="rId21" Type="http://schemas.openxmlformats.org/officeDocument/2006/relationships/hyperlink" Target="https://www.sec.gov/Archives/edgar/data/1410428/000110465922110803/tm2228726d1_ex3-2.htm" TargetMode="External"/><Relationship Id="rId22" Type="http://schemas.openxmlformats.org/officeDocument/2006/relationships/hyperlink" Target="https://www.sec.gov/Archives/edgar/data/1410428/000110465922110803/tm2228726d1_ex3-2.htm" TargetMode="External"/><Relationship Id="rId23" Type="http://schemas.openxmlformats.org/officeDocument/2006/relationships/hyperlink" Target="https://www.sec.gov/Archives/edgar/data/1410428/000110465922110803/tm2228726d1_ex3-3.htm" TargetMode="External"/><Relationship Id="rId24" Type="http://schemas.openxmlformats.org/officeDocument/2006/relationships/hyperlink" Target="https://www.sec.gov/Archives/edgar/data/1410428/000110465922110803/tm2228726d1_ex3-3.htm" TargetMode="External"/><Relationship Id="rId25" Type="http://schemas.openxmlformats.org/officeDocument/2006/relationships/hyperlink" Target="https://www.sec.gov/Archives/edgar/data/1410428/000110465923104093/tm2327010d1_ex3-1.htm" TargetMode="External"/><Relationship Id="rId26" Type="http://schemas.openxmlformats.org/officeDocument/2006/relationships/hyperlink" Target="https://www.sec.gov/Archives/edgar/data/1410428/000110465923104093/tm2327010d1_ex3-1.htm" TargetMode="External"/><Relationship Id="rId27" Type="http://schemas.openxmlformats.org/officeDocument/2006/relationships/hyperlink" Target="https://www.sec.gov/Archives/edgar/data/1410428/000110465924090328/tm2421867d1_ex3-1.htm" TargetMode="External"/><Relationship Id="rId28" Type="http://schemas.openxmlformats.org/officeDocument/2006/relationships/hyperlink" Target="https://www.sec.gov/Archives/edgar/data/1410428/000110465924090328/tm2421867d1_ex3-1.htm" TargetMode="External"/><Relationship Id="rId29" Type="http://schemas.openxmlformats.org/officeDocument/2006/relationships/hyperlink" Target="https://www.sec.gov/Archives/edgar/data/1410428/000110465925003620/tm253251d1_ex3-1.htm" TargetMode="External"/><Relationship Id="rId30" Type="http://schemas.openxmlformats.org/officeDocument/2006/relationships/hyperlink" Target="https://www.sec.gov/Archives/edgar/data/1410428/000110465925003620/tm253251d1_ex3-1.htm" TargetMode="External"/><Relationship Id="rId31" Type="http://schemas.openxmlformats.org/officeDocument/2006/relationships/hyperlink" Target="https://www.sec.gov/Archives/edgar/data/1410428/000114420416089189/v434655_ex4-1.htm" TargetMode="External"/><Relationship Id="rId32" Type="http://schemas.openxmlformats.org/officeDocument/2006/relationships/hyperlink" Target="https://www.sec.gov/Archives/edgar/data/1410428/000114420416089189/v434655_ex4-1.htm" TargetMode="External"/><Relationship Id="rId33" Type="http://schemas.openxmlformats.org/officeDocument/2006/relationships/hyperlink" Target="https://www.sec.gov/Archives/edgar/data/1410428/000114420419015650/tv516755_ex10-1.htm" TargetMode="External"/><Relationship Id="rId34" Type="http://schemas.openxmlformats.org/officeDocument/2006/relationships/hyperlink" Target="https://www.sec.gov/Archives/edgar/data/1410428/000114420419015650/tv516755_ex10-1.htm" TargetMode="External"/><Relationship Id="rId35" Type="http://schemas.openxmlformats.org/officeDocument/2006/relationships/hyperlink" Target="https://www.sec.gov/Archives/edgar/data/1410428/000114420416129474/v449051_s4a.htm" TargetMode="External"/><Relationship Id="rId36" Type="http://schemas.openxmlformats.org/officeDocument/2006/relationships/hyperlink" Target="https://www.sec.gov/Archives/edgar/data/1410428/000114420416129474/v449051_s4a.htm" TargetMode="External"/><Relationship Id="rId37" Type="http://schemas.openxmlformats.org/officeDocument/2006/relationships/hyperlink" Target="https://www.sec.gov/Archives/edgar/data/1410428/000114420418028911/tv492938_ex4-1.htm" TargetMode="External"/><Relationship Id="rId38" Type="http://schemas.openxmlformats.org/officeDocument/2006/relationships/hyperlink" Target="https://www.sec.gov/Archives/edgar/data/1410428/000114420418028911/tv492938_ex4-1.htm" TargetMode="External"/><Relationship Id="rId39" Type="http://schemas.openxmlformats.org/officeDocument/2006/relationships/hyperlink" Target="https://www.sec.gov/Archives/edgar/data/1410428/000114420419032532/tv524367_ex4-1.htm" TargetMode="External"/><Relationship Id="rId40" Type="http://schemas.openxmlformats.org/officeDocument/2006/relationships/hyperlink" Target="https://www.sec.gov/Archives/edgar/data/1410428/000114420419032532/tv524367_ex4-1.htm" TargetMode="External"/><Relationship Id="rId41" Type="http://schemas.openxmlformats.org/officeDocument/2006/relationships/hyperlink" Target="https://www.sec.gov/Archives/edgar/data/1410428/000114420419033939/tv524856_ex4-3.htm" TargetMode="External"/><Relationship Id="rId42" Type="http://schemas.openxmlformats.org/officeDocument/2006/relationships/hyperlink" Target="https://www.sec.gov/Archives/edgar/data/1410428/000114420419033939/tv524856_ex4-3.htm" TargetMode="External"/><Relationship Id="rId43" Type="http://schemas.openxmlformats.org/officeDocument/2006/relationships/hyperlink" Target="https://www.sec.gov/Archives/edgar/data/1410428/000110465920003636/tm203197d1_ex4-1.htm" TargetMode="External"/><Relationship Id="rId44" Type="http://schemas.openxmlformats.org/officeDocument/2006/relationships/hyperlink" Target="https://www.sec.gov/Archives/edgar/data/1410428/000110465920003636/tm203197d1_ex4-1.htm" TargetMode="External"/><Relationship Id="rId45" Type="http://schemas.openxmlformats.org/officeDocument/2006/relationships/hyperlink" Target="https://www.sec.gov/Archives/edgar/data/1410428/000110465920029962/tm2011914d1_ex4-1.htm" TargetMode="External"/><Relationship Id="rId46" Type="http://schemas.openxmlformats.org/officeDocument/2006/relationships/hyperlink" Target="https://www.sec.gov/Archives/edgar/data/1410428/000110465920029962/tm2011914d1_ex4-1.htm" TargetMode="External"/><Relationship Id="rId47" Type="http://schemas.openxmlformats.org/officeDocument/2006/relationships/hyperlink" Target="https://www.sec.gov/Archives/edgar/data/1410428/000114420419033939/tv524856_ex4-1.htm" TargetMode="External"/><Relationship Id="rId48" Type="http://schemas.openxmlformats.org/officeDocument/2006/relationships/hyperlink" Target="https://www.sec.gov/Archives/edgar/data/1410428/000114420419033939/tv524856_ex4-1.htm" TargetMode="External"/><Relationship Id="rId49" Type="http://schemas.openxmlformats.org/officeDocument/2006/relationships/hyperlink" Target="https://www.sec.gov/Archives/edgar/data/1410428/000114420419033939/tv524856_ex4-2.htm" TargetMode="External"/><Relationship Id="rId50" Type="http://schemas.openxmlformats.org/officeDocument/2006/relationships/hyperlink" Target="https://www.sec.gov/Archives/edgar/data/1410428/000114420419033939/tv524856_ex4-2.htm" TargetMode="External"/><Relationship Id="rId51" Type="http://schemas.openxmlformats.org/officeDocument/2006/relationships/hyperlink" Target="https://www.sec.gov/Archives/edgar/data/1410428/000110465920035631/tm2013177d1_ex4-1.htm" TargetMode="External"/><Relationship Id="rId52" Type="http://schemas.openxmlformats.org/officeDocument/2006/relationships/hyperlink" Target="https://www.sec.gov/Archives/edgar/data/1410428/000110465920035631/tm2013177d1_ex4-1.htm" TargetMode="External"/><Relationship Id="rId53" Type="http://schemas.openxmlformats.org/officeDocument/2006/relationships/hyperlink" Target="https://www.sec.gov/Archives/edgar/data/1410428/000110465920038562/tm2013765d1_ex4-1.htm" TargetMode="External"/><Relationship Id="rId54" Type="http://schemas.openxmlformats.org/officeDocument/2006/relationships/hyperlink" Target="https://www.sec.gov/Archives/edgar/data/1410428/000110465920038562/tm2013765d1_ex4-1.htm" TargetMode="External"/><Relationship Id="rId55" Type="http://schemas.openxmlformats.org/officeDocument/2006/relationships/hyperlink" Target="https://www.sec.gov/Archives/edgar/data/1410428/000110465920039953/tm2014049d1_ex4-1.htm" TargetMode="External"/><Relationship Id="rId56" Type="http://schemas.openxmlformats.org/officeDocument/2006/relationships/hyperlink" Target="https://www.sec.gov/Archives/edgar/data/1410428/000110465920039953/tm2014049d1_ex4-1.htm" TargetMode="External"/><Relationship Id="rId57" Type="http://schemas.openxmlformats.org/officeDocument/2006/relationships/hyperlink" Target="https://www.sec.gov/Archives/edgar/data/1410428/000110465920043879/tm2015133d1_ex4-1.htm" TargetMode="External"/><Relationship Id="rId58" Type="http://schemas.openxmlformats.org/officeDocument/2006/relationships/hyperlink" Target="https://www.sec.gov/Archives/edgar/data/1410428/000110465920043879/tm2015133d1_ex4-1.htm" TargetMode="External"/><Relationship Id="rId59" Type="http://schemas.openxmlformats.org/officeDocument/2006/relationships/hyperlink" Target="https://www.sec.gov/Archives/edgar/data/1410428/000110465920048780/tm205324d1_ex4-22.htm" TargetMode="External"/><Relationship Id="rId60" Type="http://schemas.openxmlformats.org/officeDocument/2006/relationships/hyperlink" Target="https://www.sec.gov/Archives/edgar/data/1410428/000110465920048780/tm205324d1_ex4-22.htm" TargetMode="External"/><Relationship Id="rId61" Type="http://schemas.openxmlformats.org/officeDocument/2006/relationships/hyperlink" Target="https://www.sec.gov/Archives/edgar/data/1410428/000110465920048297/tm2016230-1_ex41.htm" TargetMode="External"/><Relationship Id="rId62" Type="http://schemas.openxmlformats.org/officeDocument/2006/relationships/hyperlink" Target="https://www.sec.gov/Archives/edgar/data/1410428/000110465920048297/tm2016230-1_ex41.htm" TargetMode="External"/><Relationship Id="rId63" Type="http://schemas.openxmlformats.org/officeDocument/2006/relationships/hyperlink" Target="https://www.sec.gov/Archives/edgar/data/1410428/000110465920051103/tm2016889d1_ex4-1.htm" TargetMode="External"/><Relationship Id="rId64" Type="http://schemas.openxmlformats.org/officeDocument/2006/relationships/hyperlink" Target="https://www.sec.gov/Archives/edgar/data/1410428/000110465920051103/tm2016889d1_ex4-1.htm" TargetMode="External"/><Relationship Id="rId65" Type="http://schemas.openxmlformats.org/officeDocument/2006/relationships/hyperlink" Target="https://www.sec.gov/Archives/edgar/data/1410428/000110465920074007/tm2022774d1_ex4-1.htm" TargetMode="External"/><Relationship Id="rId66" Type="http://schemas.openxmlformats.org/officeDocument/2006/relationships/hyperlink" Target="https://www.sec.gov/Archives/edgar/data/1410428/000110465920074007/tm2022774d1_ex4-1.htm" TargetMode="External"/><Relationship Id="rId67" Type="http://schemas.openxmlformats.org/officeDocument/2006/relationships/hyperlink" Target="https://www.sec.gov/Archives/edgar/data/1410428/000110465920074007/tm2022774d1_ex4-2.htm" TargetMode="External"/><Relationship Id="rId68" Type="http://schemas.openxmlformats.org/officeDocument/2006/relationships/hyperlink" Target="https://www.sec.gov/Archives/edgar/data/1410428/000110465920074007/tm2022774d1_ex4-2.htm" TargetMode="External"/><Relationship Id="rId69" Type="http://schemas.openxmlformats.org/officeDocument/2006/relationships/hyperlink" Target="https://www.sec.gov/Archives/edgar/data/1410428/000110465920100178/tm2029683d2_ex4-1.htm" TargetMode="External"/><Relationship Id="rId70" Type="http://schemas.openxmlformats.org/officeDocument/2006/relationships/hyperlink" Target="https://www.sec.gov/Archives/edgar/data/1410428/000110465920100178/tm2029683d2_ex4-1.htm" TargetMode="External"/><Relationship Id="rId71" Type="http://schemas.openxmlformats.org/officeDocument/2006/relationships/hyperlink" Target="https://www.sec.gov/Archives/edgar/data/1410428/000110465920100178/tm2029683d2_ex4-2.htm" TargetMode="External"/><Relationship Id="rId72" Type="http://schemas.openxmlformats.org/officeDocument/2006/relationships/hyperlink" Target="https://www.sec.gov/Archives/edgar/data/1410428/000110465920100178/tm2029683d2_ex4-2.htm" TargetMode="External"/><Relationship Id="rId73" Type="http://schemas.openxmlformats.org/officeDocument/2006/relationships/hyperlink" Target="https://www.sec.gov/Archives/edgar/data/1410428/000110465920100178/tm2029683d2_ex4-3.htm" TargetMode="External"/><Relationship Id="rId74" Type="http://schemas.openxmlformats.org/officeDocument/2006/relationships/hyperlink" Target="https://www.sec.gov/Archives/edgar/data/1410428/000110465920100178/tm2029683d2_ex4-3.htm" TargetMode="External"/><Relationship Id="rId75" Type="http://schemas.openxmlformats.org/officeDocument/2006/relationships/hyperlink" Target="https://www.sec.gov/Archives/edgar/data/1410428/000110465920138085/tm2039005d1_ex4-1.htm" TargetMode="External"/><Relationship Id="rId76" Type="http://schemas.openxmlformats.org/officeDocument/2006/relationships/hyperlink" Target="https://www.sec.gov/Archives/edgar/data/1410428/000110465920138085/tm2039005d1_ex4-1.htm" TargetMode="External"/><Relationship Id="rId77" Type="http://schemas.openxmlformats.org/officeDocument/2006/relationships/hyperlink" Target="https://www.sec.gov/Archives/edgar/data/1410428/000110465920138085/tm2039005d1_ex4-2.htm" TargetMode="External"/><Relationship Id="rId78" Type="http://schemas.openxmlformats.org/officeDocument/2006/relationships/hyperlink" Target="https://www.sec.gov/Archives/edgar/data/1410428/000110465920138085/tm2039005d1_ex4-2.htm" TargetMode="External"/><Relationship Id="rId79" Type="http://schemas.openxmlformats.org/officeDocument/2006/relationships/hyperlink" Target="https://www.sec.gov/Archives/edgar/data/1410428/000110465924090328/tm2421867d1_ex4-1.htm" TargetMode="External"/><Relationship Id="rId80" Type="http://schemas.openxmlformats.org/officeDocument/2006/relationships/hyperlink" Target="https://www.sec.gov/Archives/edgar/data/1410428/000110465924090328/tm2421867d1_ex4-1.htm" TargetMode="External"/><Relationship Id="rId81" Type="http://schemas.openxmlformats.org/officeDocument/2006/relationships/hyperlink" Target="https://www.sec.gov/Archives/edgar/data/1410428/000114420419035414/tv525226_ex4-14.htm" TargetMode="External"/><Relationship Id="rId82" Type="http://schemas.openxmlformats.org/officeDocument/2006/relationships/hyperlink" Target="https://www.sec.gov/Archives/edgar/data/1410428/000114420419035414/tv525226_ex4-14.htm" TargetMode="External"/><Relationship Id="rId83" Type="http://schemas.openxmlformats.org/officeDocument/2006/relationships/hyperlink" Target="https://www.sec.gov/Archives/edgar/data/1410428/000114420419035414/tv525226_ex4-15.htm" TargetMode="External"/><Relationship Id="rId84" Type="http://schemas.openxmlformats.org/officeDocument/2006/relationships/hyperlink" Target="https://www.sec.gov/Archives/edgar/data/1410428/000114420419035414/tv525226_ex4-15.htm" TargetMode="External"/><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18699</Words>
  <Characters>98215</Characters>
  <CharactersWithSpaces>117613</CharactersWithSpaces>
  <Paragraphs>1580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