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530401d1_pre14a.htm"/>
      <w:bookmarkStart w:id="1" w:name="kstm2530401d1_pre14a"/>
      <w:bookmarkEnd w:id="0"/>
      <w:bookmarkEnd w:id="1"/>
      <w:r>
        <w:rPr>
          <w:caps w:val="false"/>
          <w:smallCaps w:val="false"/>
        </w:rPr>
        <w:t>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Under Rule 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337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(the “Annual Meeting”) of the stockholders of XWELL, Inc. (the “Company”), to be conducted in a virtual format only via live audio webcast at 10:00 a.m. Eastern Time, on Thursday, December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facilitate stockholder attendance and participation by enabling stockholders to participate from any location at no cost, this Annual Meeting will be conducted in a virtual format only. Stockholders will not be able to attend the Annual Meeting in person; however, stockholders of record will be able to participate, vote electronically and submit questions during the live webcast of the Annual Meeting by visiting </w:t>
      </w:r>
      <w:r>
        <w:rPr>
          <w:rFonts w:ascii="Times New Roman;Times;Serif" w:hAnsi="Times New Roman;Times;Serif"/>
          <w:b w:val="false"/>
          <w:i/>
          <w:caps w:val="false"/>
          <w:smallCaps w:val="false"/>
          <w:sz w:val="20"/>
        </w:rPr>
        <w:t>https://web.viewproxy.com/XWELL/2025</w:t>
      </w:r>
      <w:r>
        <w:rPr>
          <w:rFonts w:ascii="Times New Roman;Times;Serif" w:hAnsi="Times New Roman;Times;Serif"/>
          <w:b w:val="false"/>
          <w:i w:val="false"/>
          <w:caps w:val="false"/>
          <w:smallCaps w:val="false"/>
          <w:sz w:val="20"/>
        </w:rPr>
        <w:t xml:space="preserve"> and entering the 11-digit control number found on the enclosed proxy card or voting form. If you encounter any difficulties accessing the virtual Annual Meeting, please call the technical support number available on the virtual meeting page on the morning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our voting securities that you own. To vote your shares, you may use the enclosed proxy card, vote by telephone or over the Internet, or attend the meeting and vote in person.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in person. Failure to do so may result in your shares not being eligible to be voted by proxy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I urge you to submit your proxy as soon as possible, even if you currently plan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support of our Company. I look forward to seeing you at the virtual Annual Meeting.</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3125"/>
        <w:gridCol w:w="135"/>
      </w:tblGrid>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337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3370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to the holders of (i) the shares of common stock, par value $0.01 per share (the “Common Stock”) and (ii) the shares of Series G Preferred Stock, par value $0.01 per share (the “Series G Preferred Stock”) of XWELL, Inc. (the “Company”) of the Company’s 2025 annual meeting of stockholders (including any adjournment, postponement or rescheduling thereof,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2"/>
        <w:gridCol w:w="9383"/>
      </w:tblGrid>
      <w:tr>
        <w:trPr/>
        <w:tc>
          <w:tcPr>
            <w:tcW w:w="8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9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18, 2025</w:t>
            </w:r>
          </w:p>
        </w:tc>
      </w:tr>
      <w:tr>
        <w:trPr/>
        <w:tc>
          <w:tcPr>
            <w:tcW w:w="822" w:type="dxa"/>
            <w:tcBorders/>
            <w:vAlign w:val="center"/>
          </w:tcPr>
          <w:p>
            <w:pPr>
              <w:pStyle w:val="TableContents"/>
              <w:bidi w:val="0"/>
              <w:spacing w:before="0" w:after="283"/>
              <w:jc w:val="left"/>
              <w:rPr/>
            </w:pPr>
            <w:r>
              <w:rPr/>
              <w:t> </w:t>
            </w:r>
          </w:p>
        </w:tc>
        <w:tc>
          <w:tcPr>
            <w:tcW w:w="9383" w:type="dxa"/>
            <w:tcBorders/>
            <w:vAlign w:val="center"/>
          </w:tcPr>
          <w:p>
            <w:pPr>
              <w:pStyle w:val="TableContents"/>
              <w:bidi w:val="0"/>
              <w:spacing w:before="0" w:after="283"/>
              <w:jc w:val="both"/>
              <w:rPr/>
            </w:pPr>
            <w:r>
              <w:rPr/>
              <w:t> </w:t>
            </w:r>
          </w:p>
        </w:tc>
      </w:tr>
      <w:tr>
        <w:trPr/>
        <w:tc>
          <w:tcPr>
            <w:tcW w:w="8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w:t>
            </w:r>
          </w:p>
        </w:tc>
        <w:tc>
          <w:tcPr>
            <w:tcW w:w="9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10:00 a.m. Eastern Time </w:t>
            </w:r>
          </w:p>
        </w:tc>
      </w:tr>
      <w:tr>
        <w:trPr/>
        <w:tc>
          <w:tcPr>
            <w:tcW w:w="822" w:type="dxa"/>
            <w:tcBorders/>
            <w:vAlign w:val="center"/>
          </w:tcPr>
          <w:p>
            <w:pPr>
              <w:pStyle w:val="TableContents"/>
              <w:bidi w:val="0"/>
              <w:spacing w:before="0" w:after="283"/>
              <w:jc w:val="left"/>
              <w:rPr/>
            </w:pPr>
            <w:r>
              <w:rPr/>
              <w:t> </w:t>
            </w:r>
          </w:p>
        </w:tc>
        <w:tc>
          <w:tcPr>
            <w:tcW w:w="9383" w:type="dxa"/>
            <w:tcBorders/>
            <w:vAlign w:val="center"/>
          </w:tcPr>
          <w:p>
            <w:pPr>
              <w:pStyle w:val="TableContents"/>
              <w:bidi w:val="0"/>
              <w:spacing w:before="0" w:after="283"/>
              <w:jc w:val="both"/>
              <w:rPr/>
            </w:pPr>
            <w:r>
              <w:rPr/>
              <w:t> </w:t>
            </w:r>
          </w:p>
        </w:tc>
      </w:tr>
      <w:tr>
        <w:trPr/>
        <w:tc>
          <w:tcPr>
            <w:tcW w:w="8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ACCESS:</w:t>
            </w:r>
          </w:p>
        </w:tc>
        <w:tc>
          <w:tcPr>
            <w:tcW w:w="9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Times;Serif" w:hAnsi="Times New Roman;Times;Serif"/>
                <w:i/>
                <w:sz w:val="20"/>
                <w:u w:val="single"/>
              </w:rPr>
              <w:t>https://web.viewproxy.com/XWELL/2025</w:t>
            </w:r>
            <w:r>
              <w:rPr>
                <w:rFonts w:ascii="Times New Roman;Times;Serif" w:hAnsi="Times New Roman;Times;Serif"/>
                <w:sz w:val="20"/>
              </w:rPr>
              <w:t xml:space="preserve"> by 11:59 p.m. Eastern Time on December 15, 2025. You will receive a meeting invitation by email 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Times;Serif" w:hAnsi="Times New Roman;Times;Serif"/>
                <w:sz w:val="20"/>
                <w:u w:val="single"/>
              </w:rPr>
              <w:t>VirtualMeeting@viewproxy.com</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At the Annual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on a non-binding advisory basis, the frequency of future nonbinding advisory votes of the stockholders’ approval of the executive compensation of the Company (the “Say-on-Frequency Proposal”);</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Amended and Restated Certificate of Incorporation (as further amended, the “Certificate of Incorporation”) to classify the Board into two classes, with the directors in each class to serve staggered two-year terms (the “Board Classification Proposal”);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“Reverse Stock Split Amendment”), substantially in the form attached hereto as </w:t>
            </w:r>
            <w:r>
              <w:rPr>
                <w:rFonts w:ascii="Times New Roman;Times;Serif" w:hAnsi="Times New Roman;Times;Serif"/>
                <w:sz w:val="20"/>
                <w:u w:val="single"/>
              </w:rPr>
              <w:t>Annex C</w:t>
            </w:r>
            <w:r>
              <w:rPr>
                <w:rFonts w:ascii="Times New Roman;Times;Serif" w:hAnsi="Times New Roman;Times;Serif"/>
                <w:sz w:val="20"/>
              </w:rPr>
              <w:t xml:space="preserve">, to the Company’s Certificate of Incorporation to effect, at the discretion of the Board but prior to the one-year anniversary of the reverse stock split (the “Reverse Stock Split”) approval by the Company’s stockholders at the Annual Meeting, the Reverse Stock Split at a ratio in the range of 1-for-2 to 1-for-20, with such ratio to be determined by the Board in its discretion and as disclosed in a public announcement (the “Reverse Stock Split Proposal”);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Annual Meeting or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Director Election Proposal, the Auditor Ratification Proposal, the Say-on-Pay Proposal, the Board Classification Proposal, the Reverse Stock Split Proposal, the Issuance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 on the enclosed Proxy Card. The Proxy Statement and the Proxy Card are first being made available to stockholders on or about November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Director Election Proposal, the Auditor Ratification Proposal, the Say-on-Pay Proposal, the Board Classification Proposal, the Reverse Stock Split Proposal, the Issuance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November 6, 2025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stockholders of record will be available starting on December 8, 2025, ten days prior to the Annual Meeting, at our headquarters, 254 West 31st Street, 11th Floor, New York, New York 10001. If you would like to view the stockholder list, please contact Lauren Deutsch, our General Counsel, at 646-389-2734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 Advisors,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3125"/>
        <w:gridCol w:w="135"/>
      </w:tblGrid>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STOCKHOLDER MEETING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VIRTUALLY ON DECEMBER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Annual Meeting of Stockholders, the accompanying Proxy Statement and our Annual Report on Form 10-K for the year ended December 31, 2024, as amended (the “2024 Annual Report”) are available free of charge for viewing, printing and downloading at </w:t>
      </w:r>
      <w:r>
        <w:rPr>
          <w:rFonts w:ascii="Times New Roman;Times;Serif" w:hAnsi="Times New Roman;Times;Serif"/>
          <w:b w:val="false"/>
          <w:i/>
          <w:caps w:val="false"/>
          <w:smallCaps w:val="false"/>
          <w:sz w:val="20"/>
        </w:rPr>
        <w:t>https://web.viewproxy.com/XWELL/2025</w:t>
      </w:r>
      <w:r>
        <w:rPr>
          <w:rFonts w:ascii="Times New Roman;Times;Serif" w:hAnsi="Times New Roman;Times;Serif"/>
          <w:b w:val="false"/>
          <w:i w:val="false"/>
          <w:caps w:val="false"/>
          <w:smallCaps w:val="false"/>
          <w:sz w:val="20"/>
        </w:rPr>
        <w:t>. Information on this website, other than the Proxy Statement, is not part of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you can find a copy of the Proxy Statement and our 2024 Annual Report on the U.S. Securities and Exchange Commission’s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or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 Information on these websites, other than the Proxy Statement, is not part of the Proxy Statement. You may also obtain a printed copy of our 2024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 provides a detailed description of the business to be conducted at the Annual Meeting. We urge you to read the accompanying Proxy Statement carefully and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36"/>
        <w:gridCol w:w="669"/>
      </w:tblGrid>
      <w:tr>
        <w:trPr/>
        <w:tc>
          <w:tcPr>
            <w:tcW w:w="9536" w:type="dxa"/>
            <w:tcBorders>
              <w:bottom w:val="single" w:sz="8" w:space="0" w:color="FFFFFF"/>
            </w:tcBorders>
            <w:vAlign w:val="center"/>
          </w:tcPr>
          <w:p>
            <w:pPr>
              <w:pStyle w:val="TableContents"/>
              <w:bidi w:val="0"/>
              <w:spacing w:before="0" w:after="283"/>
              <w:jc w:val="left"/>
              <w:rPr/>
            </w:pPr>
            <w:r>
              <w:rPr/>
              <w:t> </w:t>
            </w:r>
          </w:p>
        </w:tc>
        <w:tc>
          <w:tcPr>
            <w:tcW w:w="66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PAGE </w:t>
            </w:r>
          </w:p>
        </w:tc>
      </w:tr>
      <w:tr>
        <w:trPr/>
        <w:tc>
          <w:tcPr>
            <w:tcW w:w="9536" w:type="dxa"/>
            <w:tcBorders/>
            <w:shd w:fill="CCEEFF" w:val="clear"/>
            <w:tcMar>
              <w:bottom w:w="0" w:type="dxa"/>
            </w:tcMar>
            <w:vAlign w:val="center"/>
          </w:tcPr>
          <w:p>
            <w:pPr>
              <w:pStyle w:val="TableContents"/>
              <w:bidi w:val="0"/>
              <w:spacing w:before="0" w:after="283"/>
              <w:jc w:val="left"/>
              <w:rPr/>
            </w:pPr>
            <w:hyperlink w:anchor="pre14a_001">
              <w:r>
                <w:rPr>
                  <w:rStyle w:val="InternetLink"/>
                  <w:rFonts w:ascii="Times New Roman;Times;Serif" w:hAnsi="Times New Roman;Times;Serif"/>
                  <w:sz w:val="20"/>
                </w:rPr>
                <w:t xml:space="preserve">IMPORTANT INFORMATION ABOUT THE ANNUAL MEETING AND VOTING </w:t>
              </w:r>
            </w:hyperlink>
          </w:p>
        </w:tc>
        <w:tc>
          <w:tcPr>
            <w:tcW w:w="669" w:type="dxa"/>
            <w:tcBorders/>
            <w:shd w:fill="CCEEFF" w:val="clear"/>
            <w:tcMar>
              <w:bottom w:w="0" w:type="dxa"/>
            </w:tcMar>
            <w:vAlign w:val="center"/>
          </w:tcPr>
          <w:p>
            <w:pPr>
              <w:pStyle w:val="TableContents"/>
              <w:bidi w:val="0"/>
              <w:spacing w:before="0" w:after="283"/>
              <w:jc w:val="right"/>
              <w:rPr/>
            </w:pPr>
            <w:hyperlink w:anchor="pre14a_001">
              <w:r>
                <w:rPr>
                  <w:rStyle w:val="InternetLink"/>
                  <w:rFonts w:ascii="Times New Roman;Times;Serif" w:hAnsi="Times New Roman;Times;Serif"/>
                  <w:sz w:val="20"/>
                </w:rPr>
                <w:t>1</w:t>
              </w:r>
            </w:hyperlink>
          </w:p>
        </w:tc>
      </w:tr>
      <w:tr>
        <w:trPr/>
        <w:tc>
          <w:tcPr>
            <w:tcW w:w="9536" w:type="dxa"/>
            <w:tcBorders/>
            <w:tcMar>
              <w:bottom w:w="0" w:type="dxa"/>
            </w:tcMar>
            <w:vAlign w:val="center"/>
          </w:tcPr>
          <w:p>
            <w:pPr>
              <w:pStyle w:val="TableContents"/>
              <w:bidi w:val="0"/>
              <w:spacing w:before="0" w:after="283"/>
              <w:jc w:val="left"/>
              <w:rPr/>
            </w:pPr>
            <w:hyperlink w:anchor="pre14a_002">
              <w:r>
                <w:rPr>
                  <w:rStyle w:val="InternetLink"/>
                  <w:rFonts w:ascii="Times New Roman;Times;Serif" w:hAnsi="Times New Roman;Times;Serif"/>
                  <w:sz w:val="20"/>
                </w:rPr>
                <w:t xml:space="preserve">PROPOSAL 1: THE DIRECTOR ELECTION PROPOSAL </w:t>
              </w:r>
            </w:hyperlink>
          </w:p>
        </w:tc>
        <w:tc>
          <w:tcPr>
            <w:tcW w:w="669" w:type="dxa"/>
            <w:tcBorders/>
            <w:tcMar>
              <w:bottom w:w="0" w:type="dxa"/>
            </w:tcMar>
            <w:vAlign w:val="center"/>
          </w:tcPr>
          <w:p>
            <w:pPr>
              <w:pStyle w:val="TableContents"/>
              <w:bidi w:val="0"/>
              <w:spacing w:before="0" w:after="283"/>
              <w:jc w:val="right"/>
              <w:rPr/>
            </w:pPr>
            <w:hyperlink w:anchor="pre14a_002">
              <w:r>
                <w:rPr>
                  <w:rStyle w:val="InternetLink"/>
                  <w:rFonts w:ascii="Times New Roman;Times;Serif" w:hAnsi="Times New Roman;Times;Serif"/>
                  <w:sz w:val="20"/>
                </w:rPr>
                <w:t>10</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03">
              <w:r>
                <w:rPr>
                  <w:rStyle w:val="InternetLink"/>
                  <w:rFonts w:ascii="Times New Roman;Times;Serif" w:hAnsi="Times New Roman;Times;Serif"/>
                  <w:sz w:val="20"/>
                </w:rPr>
                <w:t>PROPOSAL 2: THE AUDITOR RATIFICATION PROPOSAL</w:t>
              </w:r>
            </w:hyperlink>
          </w:p>
        </w:tc>
        <w:tc>
          <w:tcPr>
            <w:tcW w:w="669" w:type="dxa"/>
            <w:tcBorders/>
            <w:shd w:fill="CCEEFF" w:val="clear"/>
            <w:tcMar>
              <w:bottom w:w="0" w:type="dxa"/>
            </w:tcMar>
            <w:vAlign w:val="center"/>
          </w:tcPr>
          <w:p>
            <w:pPr>
              <w:pStyle w:val="TableContents"/>
              <w:bidi w:val="0"/>
              <w:spacing w:before="0" w:after="283"/>
              <w:jc w:val="right"/>
              <w:rPr/>
            </w:pPr>
            <w:hyperlink w:anchor="pre14a_003">
              <w:r>
                <w:rPr>
                  <w:rStyle w:val="InternetLink"/>
                  <w:rFonts w:ascii="Times New Roman;Times;Serif" w:hAnsi="Times New Roman;Times;Serif"/>
                  <w:sz w:val="20"/>
                </w:rPr>
                <w:t>11</w:t>
              </w:r>
            </w:hyperlink>
          </w:p>
        </w:tc>
      </w:tr>
      <w:tr>
        <w:trPr/>
        <w:tc>
          <w:tcPr>
            <w:tcW w:w="9536" w:type="dxa"/>
            <w:tcBorders/>
            <w:tcMar>
              <w:bottom w:w="0" w:type="dxa"/>
            </w:tcMar>
            <w:vAlign w:val="center"/>
          </w:tcPr>
          <w:p>
            <w:pPr>
              <w:pStyle w:val="TableContents"/>
              <w:bidi w:val="0"/>
              <w:spacing w:before="0" w:after="283"/>
              <w:jc w:val="left"/>
              <w:rPr/>
            </w:pPr>
            <w:hyperlink w:anchor="pre14a_004">
              <w:r>
                <w:rPr>
                  <w:rStyle w:val="InternetLink"/>
                  <w:rFonts w:ascii="Times New Roman;Times;Serif" w:hAnsi="Times New Roman;Times;Serif"/>
                  <w:sz w:val="20"/>
                </w:rPr>
                <w:t>PROPOSAL 3: THE SAY-ON-PAY PROPOSAL</w:t>
              </w:r>
            </w:hyperlink>
          </w:p>
        </w:tc>
        <w:tc>
          <w:tcPr>
            <w:tcW w:w="669" w:type="dxa"/>
            <w:tcBorders/>
            <w:tcMar>
              <w:bottom w:w="0" w:type="dxa"/>
            </w:tcMar>
            <w:vAlign w:val="center"/>
          </w:tcPr>
          <w:p>
            <w:pPr>
              <w:pStyle w:val="TableContents"/>
              <w:bidi w:val="0"/>
              <w:spacing w:before="0" w:after="283"/>
              <w:jc w:val="right"/>
              <w:rPr/>
            </w:pPr>
            <w:hyperlink w:anchor="pre14a_004">
              <w:r>
                <w:rPr>
                  <w:rStyle w:val="InternetLink"/>
                  <w:rFonts w:ascii="Times New Roman;Times;Serif" w:hAnsi="Times New Roman;Times;Serif"/>
                  <w:sz w:val="20"/>
                </w:rPr>
                <w:t>12</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05">
              <w:r>
                <w:rPr>
                  <w:rStyle w:val="InternetLink"/>
                  <w:rFonts w:ascii="Times New Roman;Times;Serif" w:hAnsi="Times New Roman;Times;Serif"/>
                  <w:sz w:val="20"/>
                </w:rPr>
                <w:t>PROPOSAL 4: THE SAY-ON-FREQUENCY PROPOSAL</w:t>
              </w:r>
            </w:hyperlink>
          </w:p>
        </w:tc>
        <w:tc>
          <w:tcPr>
            <w:tcW w:w="669" w:type="dxa"/>
            <w:tcBorders/>
            <w:shd w:fill="CCEEFF" w:val="clear"/>
            <w:tcMar>
              <w:bottom w:w="0" w:type="dxa"/>
            </w:tcMar>
            <w:vAlign w:val="center"/>
          </w:tcPr>
          <w:p>
            <w:pPr>
              <w:pStyle w:val="TableContents"/>
              <w:bidi w:val="0"/>
              <w:spacing w:before="0" w:after="283"/>
              <w:jc w:val="right"/>
              <w:rPr/>
            </w:pPr>
            <w:hyperlink w:anchor="pre14a_005">
              <w:r>
                <w:rPr>
                  <w:rStyle w:val="InternetLink"/>
                  <w:rFonts w:ascii="Times New Roman;Times;Serif" w:hAnsi="Times New Roman;Times;Serif"/>
                  <w:sz w:val="20"/>
                </w:rPr>
                <w:t>13</w:t>
              </w:r>
            </w:hyperlink>
          </w:p>
        </w:tc>
      </w:tr>
      <w:tr>
        <w:trPr/>
        <w:tc>
          <w:tcPr>
            <w:tcW w:w="9536" w:type="dxa"/>
            <w:tcBorders/>
            <w:tcMar>
              <w:bottom w:w="0" w:type="dxa"/>
            </w:tcMar>
            <w:vAlign w:val="center"/>
          </w:tcPr>
          <w:p>
            <w:pPr>
              <w:pStyle w:val="TableContents"/>
              <w:bidi w:val="0"/>
              <w:spacing w:before="0" w:after="283"/>
              <w:jc w:val="left"/>
              <w:rPr/>
            </w:pPr>
            <w:hyperlink w:anchor="pre14a_006">
              <w:r>
                <w:rPr>
                  <w:rStyle w:val="InternetLink"/>
                  <w:rFonts w:ascii="Times New Roman;Times;Serif" w:hAnsi="Times New Roman;Times;Serif"/>
                  <w:sz w:val="20"/>
                </w:rPr>
                <w:t>PROPOSAL 5: THE BOARD CLASSIFICATION PROPOSAL</w:t>
              </w:r>
            </w:hyperlink>
          </w:p>
        </w:tc>
        <w:tc>
          <w:tcPr>
            <w:tcW w:w="669" w:type="dxa"/>
            <w:tcBorders/>
            <w:tcMar>
              <w:bottom w:w="0" w:type="dxa"/>
            </w:tcMar>
            <w:vAlign w:val="center"/>
          </w:tcPr>
          <w:p>
            <w:pPr>
              <w:pStyle w:val="TableContents"/>
              <w:bidi w:val="0"/>
              <w:spacing w:before="0" w:after="283"/>
              <w:jc w:val="right"/>
              <w:rPr/>
            </w:pPr>
            <w:hyperlink w:anchor="pre14a_006">
              <w:r>
                <w:rPr>
                  <w:rStyle w:val="InternetLink"/>
                  <w:rFonts w:ascii="Times New Roman;Times;Serif" w:hAnsi="Times New Roman;Times;Serif"/>
                  <w:sz w:val="20"/>
                </w:rPr>
                <w:t>14</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07">
              <w:r>
                <w:rPr>
                  <w:rStyle w:val="InternetLink"/>
                  <w:rFonts w:ascii="Times New Roman;Times;Serif" w:hAnsi="Times New Roman;Times;Serif"/>
                  <w:sz w:val="20"/>
                </w:rPr>
                <w:t>PROPOSAL 6: THE REVERSE STOCK SPLIT PROPOSAL</w:t>
              </w:r>
            </w:hyperlink>
          </w:p>
        </w:tc>
        <w:tc>
          <w:tcPr>
            <w:tcW w:w="669" w:type="dxa"/>
            <w:tcBorders/>
            <w:shd w:fill="CCEEFF" w:val="clear"/>
            <w:tcMar>
              <w:bottom w:w="0" w:type="dxa"/>
            </w:tcMar>
            <w:vAlign w:val="center"/>
          </w:tcPr>
          <w:p>
            <w:pPr>
              <w:pStyle w:val="TableContents"/>
              <w:bidi w:val="0"/>
              <w:spacing w:before="0" w:after="283"/>
              <w:jc w:val="right"/>
              <w:rPr/>
            </w:pPr>
            <w:hyperlink w:anchor="pre14a_007">
              <w:r>
                <w:rPr>
                  <w:rStyle w:val="InternetLink"/>
                  <w:rFonts w:ascii="Times New Roman;Times;Serif" w:hAnsi="Times New Roman;Times;Serif"/>
                  <w:sz w:val="20"/>
                </w:rPr>
                <w:t>16</w:t>
              </w:r>
            </w:hyperlink>
          </w:p>
        </w:tc>
      </w:tr>
      <w:tr>
        <w:trPr/>
        <w:tc>
          <w:tcPr>
            <w:tcW w:w="9536" w:type="dxa"/>
            <w:tcBorders/>
            <w:tcMar>
              <w:bottom w:w="0" w:type="dxa"/>
            </w:tcMar>
            <w:vAlign w:val="center"/>
          </w:tcPr>
          <w:p>
            <w:pPr>
              <w:pStyle w:val="TableContents"/>
              <w:bidi w:val="0"/>
              <w:spacing w:before="0" w:after="283"/>
              <w:jc w:val="left"/>
              <w:rPr/>
            </w:pPr>
            <w:hyperlink w:anchor="pre14a_008">
              <w:r>
                <w:rPr>
                  <w:rStyle w:val="InternetLink"/>
                  <w:rFonts w:ascii="Times New Roman;Times;Serif" w:hAnsi="Times New Roman;Times;Serif"/>
                  <w:sz w:val="20"/>
                </w:rPr>
                <w:t>PROPOSAL 7: THE ISSUANCE PROPOSAL</w:t>
              </w:r>
            </w:hyperlink>
          </w:p>
        </w:tc>
        <w:tc>
          <w:tcPr>
            <w:tcW w:w="669" w:type="dxa"/>
            <w:tcBorders/>
            <w:tcMar>
              <w:bottom w:w="0" w:type="dxa"/>
            </w:tcMar>
            <w:vAlign w:val="center"/>
          </w:tcPr>
          <w:p>
            <w:pPr>
              <w:pStyle w:val="TableContents"/>
              <w:bidi w:val="0"/>
              <w:spacing w:before="0" w:after="283"/>
              <w:jc w:val="right"/>
              <w:rPr/>
            </w:pPr>
            <w:hyperlink w:anchor="pre14a_008">
              <w:r>
                <w:rPr>
                  <w:rStyle w:val="InternetLink"/>
                </w:rPr>
                <w:t>24</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09">
              <w:r>
                <w:rPr>
                  <w:rStyle w:val="InternetLink"/>
                  <w:rFonts w:ascii="Times New Roman;Times;Serif" w:hAnsi="Times New Roman;Times;Serif"/>
                  <w:sz w:val="20"/>
                </w:rPr>
                <w:t>PROPOSAL 8: THE ADJOURNMENT PROPOSAL</w:t>
              </w:r>
            </w:hyperlink>
          </w:p>
        </w:tc>
        <w:tc>
          <w:tcPr>
            <w:tcW w:w="669" w:type="dxa"/>
            <w:tcBorders/>
            <w:shd w:fill="CCEEFF" w:val="clear"/>
            <w:tcMar>
              <w:bottom w:w="0" w:type="dxa"/>
            </w:tcMar>
            <w:vAlign w:val="center"/>
          </w:tcPr>
          <w:p>
            <w:pPr>
              <w:pStyle w:val="TableContents"/>
              <w:bidi w:val="0"/>
              <w:spacing w:before="0" w:after="283"/>
              <w:jc w:val="right"/>
              <w:rPr/>
            </w:pPr>
            <w:hyperlink w:anchor="pre14a_009">
              <w:r>
                <w:rPr>
                  <w:rStyle w:val="InternetLink"/>
                  <w:rFonts w:ascii="Times New Roman;Times;Serif" w:hAnsi="Times New Roman;Times;Serif"/>
                  <w:sz w:val="20"/>
                </w:rPr>
                <w:t>31</w:t>
              </w:r>
            </w:hyperlink>
          </w:p>
        </w:tc>
      </w:tr>
      <w:tr>
        <w:trPr/>
        <w:tc>
          <w:tcPr>
            <w:tcW w:w="9536" w:type="dxa"/>
            <w:tcBorders/>
            <w:tcMar>
              <w:bottom w:w="0" w:type="dxa"/>
            </w:tcMar>
            <w:vAlign w:val="center"/>
          </w:tcPr>
          <w:p>
            <w:pPr>
              <w:pStyle w:val="TableContents"/>
              <w:bidi w:val="0"/>
              <w:spacing w:before="0" w:after="283"/>
              <w:jc w:val="left"/>
              <w:rPr/>
            </w:pPr>
            <w:hyperlink w:anchor="pre14a_010">
              <w:r>
                <w:rPr>
                  <w:rStyle w:val="InternetLink"/>
                  <w:rFonts w:ascii="Times New Roman;Times;Serif" w:hAnsi="Times New Roman;Times;Serif"/>
                  <w:sz w:val="20"/>
                </w:rPr>
                <w:t>MANAGEMENT AND CORPORATE GOVERNANCE</w:t>
              </w:r>
            </w:hyperlink>
          </w:p>
        </w:tc>
        <w:tc>
          <w:tcPr>
            <w:tcW w:w="669" w:type="dxa"/>
            <w:tcBorders/>
            <w:tcMar>
              <w:bottom w:w="0" w:type="dxa"/>
            </w:tcMar>
            <w:vAlign w:val="center"/>
          </w:tcPr>
          <w:p>
            <w:pPr>
              <w:pStyle w:val="TableContents"/>
              <w:bidi w:val="0"/>
              <w:spacing w:before="0" w:after="283"/>
              <w:jc w:val="right"/>
              <w:rPr/>
            </w:pPr>
            <w:hyperlink w:anchor="pre14a_010">
              <w:r>
                <w:rPr>
                  <w:rStyle w:val="InternetLink"/>
                  <w:rFonts w:ascii="Times New Roman;Times;Serif" w:hAnsi="Times New Roman;Times;Serif"/>
                  <w:sz w:val="20"/>
                </w:rPr>
                <w:t>32</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11">
              <w:r>
                <w:rPr>
                  <w:rStyle w:val="InternetLink"/>
                  <w:rFonts w:ascii="Times New Roman;Times;Serif" w:hAnsi="Times New Roman;Times;Serif"/>
                  <w:sz w:val="20"/>
                </w:rPr>
                <w:t>Directors</w:t>
              </w:r>
            </w:hyperlink>
          </w:p>
        </w:tc>
        <w:tc>
          <w:tcPr>
            <w:tcW w:w="669" w:type="dxa"/>
            <w:tcBorders/>
            <w:shd w:fill="CCEEFF" w:val="clear"/>
            <w:tcMar>
              <w:bottom w:w="0" w:type="dxa"/>
            </w:tcMar>
            <w:vAlign w:val="center"/>
          </w:tcPr>
          <w:p>
            <w:pPr>
              <w:pStyle w:val="TableContents"/>
              <w:bidi w:val="0"/>
              <w:spacing w:before="0" w:after="283"/>
              <w:jc w:val="right"/>
              <w:rPr/>
            </w:pPr>
            <w:hyperlink w:anchor="pre14a_011">
              <w:r>
                <w:rPr>
                  <w:rStyle w:val="InternetLink"/>
                </w:rPr>
                <w:t>32</w:t>
              </w:r>
            </w:hyperlink>
          </w:p>
        </w:tc>
      </w:tr>
      <w:tr>
        <w:trPr/>
        <w:tc>
          <w:tcPr>
            <w:tcW w:w="9536" w:type="dxa"/>
            <w:tcBorders/>
            <w:tcMar>
              <w:bottom w:w="0" w:type="dxa"/>
            </w:tcMar>
            <w:vAlign w:val="center"/>
          </w:tcPr>
          <w:p>
            <w:pPr>
              <w:pStyle w:val="TableContents"/>
              <w:bidi w:val="0"/>
              <w:spacing w:before="0" w:after="283"/>
              <w:jc w:val="left"/>
              <w:rPr/>
            </w:pPr>
            <w:hyperlink w:anchor="pre14a_012">
              <w:r>
                <w:rPr>
                  <w:rStyle w:val="InternetLink"/>
                  <w:rFonts w:ascii="Times New Roman;Times;Serif" w:hAnsi="Times New Roman;Times;Serif"/>
                  <w:sz w:val="20"/>
                </w:rPr>
                <w:t>Executive Officers</w:t>
              </w:r>
            </w:hyperlink>
          </w:p>
        </w:tc>
        <w:tc>
          <w:tcPr>
            <w:tcW w:w="669" w:type="dxa"/>
            <w:tcBorders/>
            <w:tcMar>
              <w:bottom w:w="0" w:type="dxa"/>
            </w:tcMar>
            <w:vAlign w:val="center"/>
          </w:tcPr>
          <w:p>
            <w:pPr>
              <w:pStyle w:val="TableContents"/>
              <w:bidi w:val="0"/>
              <w:spacing w:before="0" w:after="283"/>
              <w:jc w:val="right"/>
              <w:rPr/>
            </w:pPr>
            <w:hyperlink w:anchor="pre14a_012">
              <w:r>
                <w:rPr>
                  <w:rStyle w:val="InternetLink"/>
                  <w:rFonts w:ascii="Times New Roman;Times;Serif" w:hAnsi="Times New Roman;Times;Serif"/>
                  <w:sz w:val="20"/>
                </w:rPr>
                <w:t>33</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13">
              <w:r>
                <w:rPr>
                  <w:rStyle w:val="InternetLink"/>
                  <w:rFonts w:ascii="Times New Roman;Times;Serif" w:hAnsi="Times New Roman;Times;Serif"/>
                  <w:sz w:val="20"/>
                </w:rPr>
                <w:t>Director Independence and Committee Qualifications</w:t>
              </w:r>
            </w:hyperlink>
          </w:p>
        </w:tc>
        <w:tc>
          <w:tcPr>
            <w:tcW w:w="669" w:type="dxa"/>
            <w:tcBorders/>
            <w:shd w:fill="CCEEFF" w:val="clear"/>
            <w:tcMar>
              <w:bottom w:w="0" w:type="dxa"/>
            </w:tcMar>
            <w:vAlign w:val="center"/>
          </w:tcPr>
          <w:p>
            <w:pPr>
              <w:pStyle w:val="TableContents"/>
              <w:bidi w:val="0"/>
              <w:spacing w:before="0" w:after="283"/>
              <w:jc w:val="right"/>
              <w:rPr/>
            </w:pPr>
            <w:hyperlink w:anchor="pre14a_013">
              <w:r>
                <w:rPr>
                  <w:rStyle w:val="InternetLink"/>
                  <w:rFonts w:ascii="Times New Roman;Times;Serif" w:hAnsi="Times New Roman;Times;Serif"/>
                  <w:sz w:val="20"/>
                </w:rPr>
                <w:t>34</w:t>
              </w:r>
            </w:hyperlink>
          </w:p>
        </w:tc>
      </w:tr>
      <w:tr>
        <w:trPr/>
        <w:tc>
          <w:tcPr>
            <w:tcW w:w="9536" w:type="dxa"/>
            <w:tcBorders/>
            <w:tcMar>
              <w:bottom w:w="0" w:type="dxa"/>
            </w:tcMar>
            <w:vAlign w:val="center"/>
          </w:tcPr>
          <w:p>
            <w:pPr>
              <w:pStyle w:val="TableContents"/>
              <w:bidi w:val="0"/>
              <w:spacing w:before="0" w:after="283"/>
              <w:jc w:val="left"/>
              <w:rPr/>
            </w:pPr>
            <w:hyperlink w:anchor="pre14a_014">
              <w:r>
                <w:rPr>
                  <w:rStyle w:val="InternetLink"/>
                  <w:rFonts w:ascii="Times New Roman;Times;Serif" w:hAnsi="Times New Roman;Times;Serif"/>
                  <w:sz w:val="20"/>
                </w:rPr>
                <w:t>Committees of the Board of Directors and Meetings</w:t>
              </w:r>
            </w:hyperlink>
          </w:p>
        </w:tc>
        <w:tc>
          <w:tcPr>
            <w:tcW w:w="669" w:type="dxa"/>
            <w:tcBorders/>
            <w:tcMar>
              <w:bottom w:w="0" w:type="dxa"/>
            </w:tcMar>
            <w:vAlign w:val="center"/>
          </w:tcPr>
          <w:p>
            <w:pPr>
              <w:pStyle w:val="TableContents"/>
              <w:bidi w:val="0"/>
              <w:spacing w:before="0" w:after="283"/>
              <w:jc w:val="right"/>
              <w:rPr/>
            </w:pPr>
            <w:hyperlink w:anchor="pre14a_014">
              <w:r>
                <w:rPr>
                  <w:rStyle w:val="InternetLink"/>
                  <w:rFonts w:ascii="Times New Roman;Times;Serif" w:hAnsi="Times New Roman;Times;Serif"/>
                  <w:sz w:val="20"/>
                </w:rPr>
                <w:t>34</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15">
              <w:r>
                <w:rPr>
                  <w:rStyle w:val="InternetLink"/>
                  <w:rFonts w:ascii="Times New Roman;Times;Serif" w:hAnsi="Times New Roman;Times;Serif"/>
                  <w:sz w:val="20"/>
                </w:rPr>
                <w:t>Board Leadership Structure and Role in Risk Oversight</w:t>
              </w:r>
            </w:hyperlink>
          </w:p>
        </w:tc>
        <w:tc>
          <w:tcPr>
            <w:tcW w:w="669" w:type="dxa"/>
            <w:tcBorders/>
            <w:shd w:fill="CCEEFF" w:val="clear"/>
            <w:tcMar>
              <w:bottom w:w="0" w:type="dxa"/>
            </w:tcMar>
            <w:vAlign w:val="center"/>
          </w:tcPr>
          <w:p>
            <w:pPr>
              <w:pStyle w:val="TableContents"/>
              <w:bidi w:val="0"/>
              <w:spacing w:before="0" w:after="283"/>
              <w:jc w:val="right"/>
              <w:rPr/>
            </w:pPr>
            <w:hyperlink w:anchor="pre14a_015">
              <w:r>
                <w:rPr>
                  <w:rStyle w:val="InternetLink"/>
                  <w:rFonts w:ascii="Times New Roman;Times;Serif" w:hAnsi="Times New Roman;Times;Serif"/>
                  <w:sz w:val="20"/>
                </w:rPr>
                <w:t>36</w:t>
              </w:r>
            </w:hyperlink>
          </w:p>
        </w:tc>
      </w:tr>
      <w:tr>
        <w:trPr/>
        <w:tc>
          <w:tcPr>
            <w:tcW w:w="9536" w:type="dxa"/>
            <w:tcBorders/>
            <w:tcMar>
              <w:bottom w:w="0" w:type="dxa"/>
            </w:tcMar>
            <w:vAlign w:val="center"/>
          </w:tcPr>
          <w:p>
            <w:pPr>
              <w:pStyle w:val="TableContents"/>
              <w:bidi w:val="0"/>
              <w:spacing w:before="0" w:after="283"/>
              <w:jc w:val="left"/>
              <w:rPr/>
            </w:pPr>
            <w:hyperlink w:anchor="pre14a_016">
              <w:r>
                <w:rPr>
                  <w:rStyle w:val="InternetLink"/>
                  <w:rFonts w:ascii="Times New Roman;Times;Serif" w:hAnsi="Times New Roman;Times;Serif"/>
                  <w:sz w:val="20"/>
                </w:rPr>
                <w:t>The Company’s Policies and Practices Related to the Grant of Certain Equity Awards Close in Time to the Release of Material Nonpublic Information</w:t>
              </w:r>
            </w:hyperlink>
          </w:p>
        </w:tc>
        <w:tc>
          <w:tcPr>
            <w:tcW w:w="669" w:type="dxa"/>
            <w:tcBorders/>
            <w:tcMar>
              <w:bottom w:w="0" w:type="dxa"/>
            </w:tcMar>
            <w:vAlign w:val="center"/>
          </w:tcPr>
          <w:p>
            <w:pPr>
              <w:pStyle w:val="TableContents"/>
              <w:bidi w:val="0"/>
              <w:spacing w:before="0" w:after="283"/>
              <w:jc w:val="right"/>
              <w:rPr/>
            </w:pPr>
            <w:hyperlink w:anchor="pre14a_016">
              <w:r>
                <w:rPr>
                  <w:rStyle w:val="InternetLink"/>
                  <w:rFonts w:ascii="Times New Roman;Times;Serif" w:hAnsi="Times New Roman;Times;Serif"/>
                  <w:sz w:val="20"/>
                </w:rPr>
                <w:t>36</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42">
              <w:r>
                <w:rPr>
                  <w:rStyle w:val="InternetLink"/>
                  <w:rFonts w:ascii="Times New Roman;Times;Serif" w:hAnsi="Times New Roman;Times;Serif"/>
                  <w:sz w:val="20"/>
                </w:rPr>
                <w:t>Involvement in Certain Legal Proceedings</w:t>
              </w:r>
            </w:hyperlink>
          </w:p>
        </w:tc>
        <w:tc>
          <w:tcPr>
            <w:tcW w:w="669" w:type="dxa"/>
            <w:tcBorders/>
            <w:shd w:fill="CCEEFF" w:val="clear"/>
            <w:tcMar>
              <w:bottom w:w="0" w:type="dxa"/>
            </w:tcMar>
            <w:vAlign w:val="center"/>
          </w:tcPr>
          <w:p>
            <w:pPr>
              <w:pStyle w:val="TableContents"/>
              <w:bidi w:val="0"/>
              <w:spacing w:before="0" w:after="283"/>
              <w:jc w:val="right"/>
              <w:rPr/>
            </w:pPr>
            <w:hyperlink w:anchor="pre14a_042">
              <w:r>
                <w:rPr>
                  <w:rStyle w:val="InternetLink"/>
                  <w:rFonts w:ascii="Times New Roman;Times;Serif" w:hAnsi="Times New Roman;Times;Serif"/>
                  <w:sz w:val="20"/>
                </w:rPr>
                <w:t>37</w:t>
              </w:r>
            </w:hyperlink>
          </w:p>
        </w:tc>
      </w:tr>
      <w:tr>
        <w:trPr/>
        <w:tc>
          <w:tcPr>
            <w:tcW w:w="9536" w:type="dxa"/>
            <w:tcBorders/>
            <w:tcMar>
              <w:bottom w:w="0" w:type="dxa"/>
            </w:tcMar>
            <w:vAlign w:val="center"/>
          </w:tcPr>
          <w:p>
            <w:pPr>
              <w:pStyle w:val="TableContents"/>
              <w:bidi w:val="0"/>
              <w:spacing w:before="0" w:after="283"/>
              <w:jc w:val="left"/>
              <w:rPr/>
            </w:pPr>
            <w:hyperlink w:anchor="pre14a_017">
              <w:r>
                <w:rPr>
                  <w:rStyle w:val="InternetLink"/>
                  <w:rFonts w:ascii="Times New Roman;Times;Serif" w:hAnsi="Times New Roman;Times;Serif"/>
                  <w:sz w:val="20"/>
                </w:rPr>
                <w:t>Family Relationships</w:t>
              </w:r>
            </w:hyperlink>
          </w:p>
        </w:tc>
        <w:tc>
          <w:tcPr>
            <w:tcW w:w="669" w:type="dxa"/>
            <w:tcBorders/>
            <w:tcMar>
              <w:bottom w:w="0" w:type="dxa"/>
            </w:tcMar>
            <w:vAlign w:val="center"/>
          </w:tcPr>
          <w:p>
            <w:pPr>
              <w:pStyle w:val="TableContents"/>
              <w:bidi w:val="0"/>
              <w:spacing w:before="0" w:after="283"/>
              <w:jc w:val="right"/>
              <w:rPr/>
            </w:pPr>
            <w:hyperlink w:anchor="pre14a_017">
              <w:r>
                <w:rPr>
                  <w:rStyle w:val="InternetLink"/>
                  <w:rFonts w:ascii="Times New Roman;Times;Serif" w:hAnsi="Times New Roman;Times;Serif"/>
                  <w:sz w:val="20"/>
                </w:rPr>
                <w:t>37</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18">
              <w:r>
                <w:rPr>
                  <w:rStyle w:val="InternetLink"/>
                  <w:rFonts w:ascii="Times New Roman;Times;Serif" w:hAnsi="Times New Roman;Times;Serif"/>
                  <w:sz w:val="20"/>
                </w:rPr>
                <w:t>Delinquent Section 16(a) Reports</w:t>
              </w:r>
            </w:hyperlink>
          </w:p>
        </w:tc>
        <w:tc>
          <w:tcPr>
            <w:tcW w:w="669" w:type="dxa"/>
            <w:tcBorders/>
            <w:shd w:fill="CCEEFF" w:val="clear"/>
            <w:tcMar>
              <w:bottom w:w="0" w:type="dxa"/>
            </w:tcMar>
            <w:vAlign w:val="center"/>
          </w:tcPr>
          <w:p>
            <w:pPr>
              <w:pStyle w:val="TableContents"/>
              <w:bidi w:val="0"/>
              <w:spacing w:before="0" w:after="283"/>
              <w:jc w:val="right"/>
              <w:rPr/>
            </w:pPr>
            <w:hyperlink w:anchor="pre14a_018">
              <w:r>
                <w:rPr>
                  <w:rStyle w:val="InternetLink"/>
                  <w:rFonts w:ascii="Times New Roman;Times;Serif" w:hAnsi="Times New Roman;Times;Serif"/>
                  <w:sz w:val="20"/>
                </w:rPr>
                <w:t>37</w:t>
              </w:r>
            </w:hyperlink>
          </w:p>
        </w:tc>
      </w:tr>
      <w:tr>
        <w:trPr/>
        <w:tc>
          <w:tcPr>
            <w:tcW w:w="9536" w:type="dxa"/>
            <w:tcBorders/>
            <w:tcMar>
              <w:bottom w:w="0" w:type="dxa"/>
            </w:tcMar>
            <w:vAlign w:val="center"/>
          </w:tcPr>
          <w:p>
            <w:pPr>
              <w:pStyle w:val="TableContents"/>
              <w:bidi w:val="0"/>
              <w:spacing w:before="0" w:after="283"/>
              <w:jc w:val="left"/>
              <w:rPr/>
            </w:pPr>
            <w:hyperlink w:anchor="pre14a_019">
              <w:r>
                <w:rPr>
                  <w:rStyle w:val="InternetLink"/>
                  <w:rFonts w:ascii="Times New Roman;Times;Serif" w:hAnsi="Times New Roman;Times;Serif"/>
                  <w:sz w:val="20"/>
                </w:rPr>
                <w:t>Code of Conduct and Ethics</w:t>
              </w:r>
            </w:hyperlink>
          </w:p>
        </w:tc>
        <w:tc>
          <w:tcPr>
            <w:tcW w:w="669" w:type="dxa"/>
            <w:tcBorders/>
            <w:tcMar>
              <w:bottom w:w="0" w:type="dxa"/>
            </w:tcMar>
            <w:vAlign w:val="center"/>
          </w:tcPr>
          <w:p>
            <w:pPr>
              <w:pStyle w:val="TableContents"/>
              <w:bidi w:val="0"/>
              <w:spacing w:before="0" w:after="283"/>
              <w:jc w:val="right"/>
              <w:rPr/>
            </w:pPr>
            <w:hyperlink w:anchor="pre14a_019">
              <w:r>
                <w:rPr>
                  <w:rStyle w:val="InternetLink"/>
                  <w:rFonts w:ascii="Times New Roman;Times;Serif" w:hAnsi="Times New Roman;Times;Serif"/>
                  <w:sz w:val="20"/>
                </w:rPr>
                <w:t>37</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20">
              <w:r>
                <w:rPr>
                  <w:rStyle w:val="InternetLink"/>
                  <w:rFonts w:ascii="Times New Roman;Times;Serif" w:hAnsi="Times New Roman;Times;Serif"/>
                  <w:sz w:val="20"/>
                </w:rPr>
                <w:t>COMPENSATION</w:t>
              </w:r>
            </w:hyperlink>
          </w:p>
        </w:tc>
        <w:tc>
          <w:tcPr>
            <w:tcW w:w="669" w:type="dxa"/>
            <w:tcBorders/>
            <w:shd w:fill="CCEEFF" w:val="clear"/>
            <w:tcMar>
              <w:bottom w:w="0" w:type="dxa"/>
            </w:tcMar>
            <w:vAlign w:val="center"/>
          </w:tcPr>
          <w:p>
            <w:pPr>
              <w:pStyle w:val="TableContents"/>
              <w:bidi w:val="0"/>
              <w:spacing w:before="0" w:after="283"/>
              <w:jc w:val="right"/>
              <w:rPr/>
            </w:pPr>
            <w:hyperlink w:anchor="pre14a_020">
              <w:r>
                <w:rPr>
                  <w:rStyle w:val="InternetLink"/>
                  <w:rFonts w:ascii="Times New Roman;Times;Serif" w:hAnsi="Times New Roman;Times;Serif"/>
                  <w:sz w:val="20"/>
                </w:rPr>
                <w:t>38</w:t>
              </w:r>
            </w:hyperlink>
          </w:p>
        </w:tc>
      </w:tr>
      <w:tr>
        <w:trPr/>
        <w:tc>
          <w:tcPr>
            <w:tcW w:w="9536" w:type="dxa"/>
            <w:tcBorders/>
            <w:tcMar>
              <w:bottom w:w="0" w:type="dxa"/>
            </w:tcMar>
            <w:vAlign w:val="center"/>
          </w:tcPr>
          <w:p>
            <w:pPr>
              <w:pStyle w:val="TableContents"/>
              <w:bidi w:val="0"/>
              <w:spacing w:before="0" w:after="283"/>
              <w:jc w:val="left"/>
              <w:rPr/>
            </w:pPr>
            <w:hyperlink w:anchor="pre14a_021">
              <w:r>
                <w:rPr>
                  <w:rStyle w:val="InternetLink"/>
                  <w:rFonts w:ascii="Times New Roman;Times;Serif" w:hAnsi="Times New Roman;Times;Serif"/>
                  <w:sz w:val="20"/>
                </w:rPr>
                <w:t>Summary Compensation Table</w:t>
              </w:r>
            </w:hyperlink>
          </w:p>
        </w:tc>
        <w:tc>
          <w:tcPr>
            <w:tcW w:w="669" w:type="dxa"/>
            <w:tcBorders/>
            <w:tcMar>
              <w:bottom w:w="0" w:type="dxa"/>
            </w:tcMar>
            <w:vAlign w:val="center"/>
          </w:tcPr>
          <w:p>
            <w:pPr>
              <w:pStyle w:val="TableContents"/>
              <w:bidi w:val="0"/>
              <w:spacing w:before="0" w:after="283"/>
              <w:jc w:val="right"/>
              <w:rPr/>
            </w:pPr>
            <w:hyperlink w:anchor="pre14a_021">
              <w:r>
                <w:rPr>
                  <w:rStyle w:val="InternetLink"/>
                  <w:rFonts w:ascii="Times New Roman;Times;Serif" w:hAnsi="Times New Roman;Times;Serif"/>
                  <w:sz w:val="20"/>
                </w:rPr>
                <w:t>38</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22">
              <w:r>
                <w:rPr>
                  <w:rStyle w:val="InternetLink"/>
                  <w:rFonts w:ascii="Times New Roman;Times;Serif" w:hAnsi="Times New Roman;Times;Serif"/>
                  <w:sz w:val="20"/>
                </w:rPr>
                <w:t>Narrative Disclosure to Summary Compensation Table</w:t>
              </w:r>
            </w:hyperlink>
          </w:p>
        </w:tc>
        <w:tc>
          <w:tcPr>
            <w:tcW w:w="669" w:type="dxa"/>
            <w:tcBorders/>
            <w:shd w:fill="CCEEFF" w:val="clear"/>
            <w:tcMar>
              <w:bottom w:w="0" w:type="dxa"/>
            </w:tcMar>
            <w:vAlign w:val="center"/>
          </w:tcPr>
          <w:p>
            <w:pPr>
              <w:pStyle w:val="TableContents"/>
              <w:bidi w:val="0"/>
              <w:spacing w:before="0" w:after="283"/>
              <w:jc w:val="right"/>
              <w:rPr/>
            </w:pPr>
            <w:hyperlink w:anchor="pre14a_022">
              <w:r>
                <w:rPr>
                  <w:rStyle w:val="InternetLink"/>
                  <w:rFonts w:ascii="Times New Roman;Times;Serif" w:hAnsi="Times New Roman;Times;Serif"/>
                  <w:sz w:val="20"/>
                </w:rPr>
                <w:t>38</w:t>
              </w:r>
            </w:hyperlink>
          </w:p>
        </w:tc>
      </w:tr>
      <w:tr>
        <w:trPr/>
        <w:tc>
          <w:tcPr>
            <w:tcW w:w="9536" w:type="dxa"/>
            <w:tcBorders/>
            <w:tcMar>
              <w:bottom w:w="0" w:type="dxa"/>
            </w:tcMar>
            <w:vAlign w:val="center"/>
          </w:tcPr>
          <w:p>
            <w:pPr>
              <w:pStyle w:val="TableContents"/>
              <w:bidi w:val="0"/>
              <w:spacing w:before="0" w:after="283"/>
              <w:jc w:val="left"/>
              <w:rPr/>
            </w:pPr>
            <w:hyperlink w:anchor="pre14a_025">
              <w:r>
                <w:rPr>
                  <w:rStyle w:val="InternetLink"/>
                  <w:rFonts w:ascii="Times New Roman;Times;Serif" w:hAnsi="Times New Roman;Times;Serif"/>
                  <w:sz w:val="20"/>
                </w:rPr>
                <w:t>Outstanding Equity Awards at 2024 Fiscal Year End</w:t>
              </w:r>
            </w:hyperlink>
          </w:p>
        </w:tc>
        <w:tc>
          <w:tcPr>
            <w:tcW w:w="669" w:type="dxa"/>
            <w:tcBorders/>
            <w:tcMar>
              <w:bottom w:w="0" w:type="dxa"/>
            </w:tcMar>
            <w:vAlign w:val="center"/>
          </w:tcPr>
          <w:p>
            <w:pPr>
              <w:pStyle w:val="TableContents"/>
              <w:bidi w:val="0"/>
              <w:spacing w:before="0" w:after="283"/>
              <w:jc w:val="right"/>
              <w:rPr/>
            </w:pPr>
            <w:hyperlink w:anchor="pre14a_025">
              <w:r>
                <w:rPr>
                  <w:rStyle w:val="InternetLink"/>
                  <w:rFonts w:ascii="Times New Roman;Times;Serif" w:hAnsi="Times New Roman;Times;Serif"/>
                  <w:sz w:val="20"/>
                </w:rPr>
                <w:t>40</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26">
              <w:r>
                <w:rPr>
                  <w:rStyle w:val="InternetLink"/>
                  <w:rFonts w:ascii="Times New Roman;Times;Serif" w:hAnsi="Times New Roman;Times;Serif"/>
                  <w:sz w:val="20"/>
                </w:rPr>
                <w:t>Pension Benefits</w:t>
              </w:r>
            </w:hyperlink>
          </w:p>
        </w:tc>
        <w:tc>
          <w:tcPr>
            <w:tcW w:w="669" w:type="dxa"/>
            <w:tcBorders/>
            <w:shd w:fill="CCEEFF" w:val="clear"/>
            <w:tcMar>
              <w:bottom w:w="0" w:type="dxa"/>
            </w:tcMar>
            <w:vAlign w:val="center"/>
          </w:tcPr>
          <w:p>
            <w:pPr>
              <w:pStyle w:val="TableContents"/>
              <w:bidi w:val="0"/>
              <w:spacing w:before="0" w:after="283"/>
              <w:jc w:val="right"/>
              <w:rPr/>
            </w:pPr>
            <w:hyperlink w:anchor="pre14a_026">
              <w:r>
                <w:rPr>
                  <w:rStyle w:val="InternetLink"/>
                  <w:rFonts w:ascii="Times New Roman;Times;Serif" w:hAnsi="Times New Roman;Times;Serif"/>
                  <w:sz w:val="20"/>
                </w:rPr>
                <w:t>40</w:t>
              </w:r>
            </w:hyperlink>
          </w:p>
        </w:tc>
      </w:tr>
      <w:tr>
        <w:trPr/>
        <w:tc>
          <w:tcPr>
            <w:tcW w:w="9536" w:type="dxa"/>
            <w:tcBorders/>
            <w:tcMar>
              <w:bottom w:w="0" w:type="dxa"/>
            </w:tcMar>
            <w:vAlign w:val="center"/>
          </w:tcPr>
          <w:p>
            <w:pPr>
              <w:pStyle w:val="TableContents"/>
              <w:bidi w:val="0"/>
              <w:spacing w:before="0" w:after="283"/>
              <w:jc w:val="left"/>
              <w:rPr/>
            </w:pPr>
            <w:hyperlink w:anchor="pre14a_027">
              <w:r>
                <w:rPr>
                  <w:rStyle w:val="InternetLink"/>
                  <w:rFonts w:ascii="Times New Roman;Times;Serif" w:hAnsi="Times New Roman;Times;Serif"/>
                  <w:sz w:val="20"/>
                </w:rPr>
                <w:t>Nonqualified Deferred Compensation</w:t>
              </w:r>
            </w:hyperlink>
          </w:p>
        </w:tc>
        <w:tc>
          <w:tcPr>
            <w:tcW w:w="669" w:type="dxa"/>
            <w:tcBorders/>
            <w:tcMar>
              <w:bottom w:w="0" w:type="dxa"/>
            </w:tcMar>
            <w:vAlign w:val="center"/>
          </w:tcPr>
          <w:p>
            <w:pPr>
              <w:pStyle w:val="TableContents"/>
              <w:bidi w:val="0"/>
              <w:spacing w:before="0" w:after="283"/>
              <w:jc w:val="right"/>
              <w:rPr/>
            </w:pPr>
            <w:hyperlink w:anchor="pre14a_027">
              <w:r>
                <w:rPr>
                  <w:rStyle w:val="InternetLink"/>
                  <w:rFonts w:ascii="Times New Roman;Times;Serif" w:hAnsi="Times New Roman;Times;Serif"/>
                  <w:sz w:val="20"/>
                </w:rPr>
                <w:t>40</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28">
              <w:r>
                <w:rPr>
                  <w:rStyle w:val="InternetLink"/>
                  <w:rFonts w:ascii="Times New Roman;Times;Serif" w:hAnsi="Times New Roman;Times;Serif"/>
                  <w:sz w:val="20"/>
                </w:rPr>
                <w:t>Potential Payments upon Termination or Change-In-Control</w:t>
              </w:r>
            </w:hyperlink>
          </w:p>
        </w:tc>
        <w:tc>
          <w:tcPr>
            <w:tcW w:w="669" w:type="dxa"/>
            <w:tcBorders/>
            <w:shd w:fill="CCEEFF" w:val="clear"/>
            <w:tcMar>
              <w:bottom w:w="0" w:type="dxa"/>
            </w:tcMar>
            <w:vAlign w:val="center"/>
          </w:tcPr>
          <w:p>
            <w:pPr>
              <w:pStyle w:val="TableContents"/>
              <w:bidi w:val="0"/>
              <w:spacing w:before="0" w:after="283"/>
              <w:jc w:val="right"/>
              <w:rPr/>
            </w:pPr>
            <w:hyperlink w:anchor="pre14a_028">
              <w:r>
                <w:rPr>
                  <w:rStyle w:val="InternetLink"/>
                  <w:rFonts w:ascii="Times New Roman;Times;Serif" w:hAnsi="Times New Roman;Times;Serif"/>
                  <w:sz w:val="20"/>
                </w:rPr>
                <w:t>41</w:t>
              </w:r>
            </w:hyperlink>
          </w:p>
        </w:tc>
      </w:tr>
      <w:tr>
        <w:trPr/>
        <w:tc>
          <w:tcPr>
            <w:tcW w:w="9536" w:type="dxa"/>
            <w:tcBorders/>
            <w:tcMar>
              <w:bottom w:w="0" w:type="dxa"/>
            </w:tcMar>
            <w:vAlign w:val="center"/>
          </w:tcPr>
          <w:p>
            <w:pPr>
              <w:pStyle w:val="TableContents"/>
              <w:bidi w:val="0"/>
              <w:spacing w:before="0" w:after="283"/>
              <w:jc w:val="left"/>
              <w:rPr/>
            </w:pPr>
            <w:hyperlink w:anchor="pre14a_023">
              <w:r>
                <w:rPr>
                  <w:rStyle w:val="InternetLink"/>
                  <w:rFonts w:ascii="Times New Roman;Times;Serif" w:hAnsi="Times New Roman;Times;Serif"/>
                  <w:sz w:val="20"/>
                </w:rPr>
                <w:t>Director Compensation</w:t>
              </w:r>
            </w:hyperlink>
          </w:p>
        </w:tc>
        <w:tc>
          <w:tcPr>
            <w:tcW w:w="669" w:type="dxa"/>
            <w:tcBorders/>
            <w:tcMar>
              <w:bottom w:w="0" w:type="dxa"/>
            </w:tcMar>
            <w:vAlign w:val="center"/>
          </w:tcPr>
          <w:p>
            <w:pPr>
              <w:pStyle w:val="TableContents"/>
              <w:bidi w:val="0"/>
              <w:spacing w:before="0" w:after="283"/>
              <w:jc w:val="right"/>
              <w:rPr/>
            </w:pPr>
            <w:hyperlink w:anchor="pre14a_023">
              <w:r>
                <w:rPr>
                  <w:rStyle w:val="InternetLink"/>
                  <w:rFonts w:ascii="Times New Roman;Times;Serif" w:hAnsi="Times New Roman;Times;Serif"/>
                  <w:sz w:val="20"/>
                </w:rPr>
                <w:t>41</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24">
              <w:r>
                <w:rPr>
                  <w:rStyle w:val="InternetLink"/>
                  <w:rFonts w:ascii="Times New Roman;Times;Serif" w:hAnsi="Times New Roman;Times;Serif"/>
                  <w:sz w:val="20"/>
                </w:rPr>
                <w:t>Equity Compensation Plan Information</w:t>
              </w:r>
            </w:hyperlink>
          </w:p>
        </w:tc>
        <w:tc>
          <w:tcPr>
            <w:tcW w:w="669" w:type="dxa"/>
            <w:tcBorders/>
            <w:shd w:fill="CCEEFF" w:val="clear"/>
            <w:tcMar>
              <w:bottom w:w="0" w:type="dxa"/>
            </w:tcMar>
            <w:vAlign w:val="center"/>
          </w:tcPr>
          <w:p>
            <w:pPr>
              <w:pStyle w:val="TableContents"/>
              <w:bidi w:val="0"/>
              <w:spacing w:before="0" w:after="283"/>
              <w:jc w:val="right"/>
              <w:rPr/>
            </w:pPr>
            <w:hyperlink w:anchor="pre14a_024">
              <w:r>
                <w:rPr>
                  <w:rStyle w:val="InternetLink"/>
                  <w:rFonts w:ascii="Times New Roman;Times;Serif" w:hAnsi="Times New Roman;Times;Serif"/>
                  <w:sz w:val="20"/>
                </w:rPr>
                <w:t>42</w:t>
              </w:r>
            </w:hyperlink>
          </w:p>
        </w:tc>
      </w:tr>
      <w:tr>
        <w:trPr/>
        <w:tc>
          <w:tcPr>
            <w:tcW w:w="9536" w:type="dxa"/>
            <w:tcBorders/>
            <w:tcMar>
              <w:bottom w:w="0" w:type="dxa"/>
            </w:tcMar>
            <w:vAlign w:val="center"/>
          </w:tcPr>
          <w:p>
            <w:pPr>
              <w:pStyle w:val="TableContents"/>
              <w:bidi w:val="0"/>
              <w:spacing w:before="0" w:after="283"/>
              <w:jc w:val="left"/>
              <w:rPr/>
            </w:pPr>
            <w:hyperlink w:anchor="pre14a_029">
              <w:r>
                <w:rPr>
                  <w:rStyle w:val="InternetLink"/>
                  <w:rFonts w:ascii="Times New Roman;Times;Serif" w:hAnsi="Times New Roman;Times;Serif"/>
                  <w:sz w:val="20"/>
                </w:rPr>
                <w:t>Pay Versus Performance</w:t>
              </w:r>
            </w:hyperlink>
          </w:p>
        </w:tc>
        <w:tc>
          <w:tcPr>
            <w:tcW w:w="669" w:type="dxa"/>
            <w:tcBorders/>
            <w:tcMar>
              <w:bottom w:w="0" w:type="dxa"/>
            </w:tcMar>
            <w:vAlign w:val="center"/>
          </w:tcPr>
          <w:p>
            <w:pPr>
              <w:pStyle w:val="TableContents"/>
              <w:bidi w:val="0"/>
              <w:spacing w:before="0" w:after="283"/>
              <w:jc w:val="right"/>
              <w:rPr/>
            </w:pPr>
            <w:hyperlink w:anchor="pre14a_029">
              <w:r>
                <w:rPr>
                  <w:rStyle w:val="InternetLink"/>
                  <w:rFonts w:ascii="Times New Roman;Times;Serif" w:hAnsi="Times New Roman;Times;Serif"/>
                  <w:sz w:val="20"/>
                </w:rPr>
                <w:t>43</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30">
              <w:r>
                <w:rPr>
                  <w:rStyle w:val="InternetLink"/>
                  <w:rFonts w:ascii="Times New Roman;Times;Serif" w:hAnsi="Times New Roman;Times;Serif"/>
                  <w:sz w:val="20"/>
                </w:rPr>
                <w:t>Relationship Between Financial Performance Measures</w:t>
              </w:r>
            </w:hyperlink>
          </w:p>
        </w:tc>
        <w:tc>
          <w:tcPr>
            <w:tcW w:w="669" w:type="dxa"/>
            <w:tcBorders/>
            <w:shd w:fill="CCEEFF" w:val="clear"/>
            <w:tcMar>
              <w:bottom w:w="0" w:type="dxa"/>
            </w:tcMar>
            <w:vAlign w:val="center"/>
          </w:tcPr>
          <w:p>
            <w:pPr>
              <w:pStyle w:val="TableContents"/>
              <w:bidi w:val="0"/>
              <w:spacing w:before="0" w:after="283"/>
              <w:jc w:val="right"/>
              <w:rPr/>
            </w:pPr>
            <w:hyperlink w:anchor="pre14a_030">
              <w:r>
                <w:rPr>
                  <w:rStyle w:val="InternetLink"/>
                  <w:rFonts w:ascii="Times New Roman;Times;Serif" w:hAnsi="Times New Roman;Times;Serif"/>
                  <w:sz w:val="20"/>
                </w:rPr>
                <w:t>43</w:t>
              </w:r>
            </w:hyperlink>
          </w:p>
        </w:tc>
      </w:tr>
      <w:tr>
        <w:trPr/>
        <w:tc>
          <w:tcPr>
            <w:tcW w:w="9536" w:type="dxa"/>
            <w:tcBorders/>
            <w:tcMar>
              <w:bottom w:w="0" w:type="dxa"/>
            </w:tcMar>
            <w:vAlign w:val="center"/>
          </w:tcPr>
          <w:p>
            <w:pPr>
              <w:pStyle w:val="TableContents"/>
              <w:bidi w:val="0"/>
              <w:spacing w:before="0" w:after="283"/>
              <w:jc w:val="left"/>
              <w:rPr/>
            </w:pPr>
            <w:hyperlink w:anchor="pre14a_031">
              <w:r>
                <w:rPr>
                  <w:rStyle w:val="InternetLink"/>
                  <w:rFonts w:ascii="Times New Roman;Times;Serif" w:hAnsi="Times New Roman;Times;Serif"/>
                  <w:sz w:val="20"/>
                </w:rPr>
                <w:t>SECURITY OWNERSHIP OF CERTAIN BENEFICIAL OWNERS AND MANAGEMENT</w:t>
              </w:r>
            </w:hyperlink>
          </w:p>
        </w:tc>
        <w:tc>
          <w:tcPr>
            <w:tcW w:w="669" w:type="dxa"/>
            <w:tcBorders/>
            <w:tcMar>
              <w:bottom w:w="0" w:type="dxa"/>
            </w:tcMar>
            <w:vAlign w:val="center"/>
          </w:tcPr>
          <w:p>
            <w:pPr>
              <w:pStyle w:val="TableContents"/>
              <w:bidi w:val="0"/>
              <w:spacing w:before="0" w:after="283"/>
              <w:jc w:val="right"/>
              <w:rPr/>
            </w:pPr>
            <w:hyperlink w:anchor="pre14a_031">
              <w:r>
                <w:rPr>
                  <w:rStyle w:val="InternetLink"/>
                  <w:rFonts w:ascii="Times New Roman;Times;Serif" w:hAnsi="Times New Roman;Times;Serif"/>
                  <w:sz w:val="20"/>
                </w:rPr>
                <w:t>45</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32">
              <w:r>
                <w:rPr>
                  <w:rStyle w:val="InternetLink"/>
                  <w:rFonts w:ascii="Times New Roman;Times;Serif" w:hAnsi="Times New Roman;Times;Serif"/>
                  <w:sz w:val="20"/>
                </w:rPr>
                <w:t xml:space="preserve">REPORT OF AUDIT COMMITTEE </w:t>
              </w:r>
            </w:hyperlink>
          </w:p>
        </w:tc>
        <w:tc>
          <w:tcPr>
            <w:tcW w:w="669" w:type="dxa"/>
            <w:tcBorders/>
            <w:shd w:fill="CCEEFF" w:val="clear"/>
            <w:tcMar>
              <w:bottom w:w="0" w:type="dxa"/>
            </w:tcMar>
            <w:vAlign w:val="center"/>
          </w:tcPr>
          <w:p>
            <w:pPr>
              <w:pStyle w:val="TableContents"/>
              <w:bidi w:val="0"/>
              <w:spacing w:before="0" w:after="283"/>
              <w:jc w:val="right"/>
              <w:rPr/>
            </w:pPr>
            <w:hyperlink w:anchor="pre14a_032">
              <w:r>
                <w:rPr>
                  <w:rStyle w:val="InternetLink"/>
                  <w:rFonts w:ascii="Times New Roman;Times;Serif" w:hAnsi="Times New Roman;Times;Serif"/>
                  <w:sz w:val="20"/>
                </w:rPr>
                <w:t>48</w:t>
              </w:r>
            </w:hyperlink>
          </w:p>
        </w:tc>
      </w:tr>
      <w:tr>
        <w:trPr/>
        <w:tc>
          <w:tcPr>
            <w:tcW w:w="9536" w:type="dxa"/>
            <w:tcBorders/>
            <w:tcMar>
              <w:bottom w:w="0" w:type="dxa"/>
            </w:tcMar>
            <w:vAlign w:val="center"/>
          </w:tcPr>
          <w:p>
            <w:pPr>
              <w:pStyle w:val="TableContents"/>
              <w:bidi w:val="0"/>
              <w:spacing w:before="0" w:after="283"/>
              <w:jc w:val="left"/>
              <w:rPr/>
            </w:pPr>
            <w:hyperlink w:anchor="pre14a_033">
              <w:r>
                <w:rPr>
                  <w:rStyle w:val="InternetLink"/>
                  <w:rFonts w:ascii="Times New Roman;Times;Serif" w:hAnsi="Times New Roman;Times;Serif"/>
                  <w:sz w:val="20"/>
                </w:rPr>
                <w:t>CERTAIN RELATIONSHIPS AND RELATED PERSON TRANSACTIONS</w:t>
              </w:r>
            </w:hyperlink>
          </w:p>
        </w:tc>
        <w:tc>
          <w:tcPr>
            <w:tcW w:w="669" w:type="dxa"/>
            <w:tcBorders/>
            <w:tcMar>
              <w:bottom w:w="0" w:type="dxa"/>
            </w:tcMar>
            <w:vAlign w:val="center"/>
          </w:tcPr>
          <w:p>
            <w:pPr>
              <w:pStyle w:val="TableContents"/>
              <w:bidi w:val="0"/>
              <w:spacing w:before="0" w:after="283"/>
              <w:jc w:val="right"/>
              <w:rPr/>
            </w:pPr>
            <w:hyperlink w:anchor="pre14a_033">
              <w:r>
                <w:rPr>
                  <w:rStyle w:val="InternetLink"/>
                  <w:rFonts w:ascii="Times New Roman;Times;Serif" w:hAnsi="Times New Roman;Times;Serif"/>
                  <w:sz w:val="20"/>
                </w:rPr>
                <w:t>49</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34">
              <w:r>
                <w:rPr>
                  <w:rStyle w:val="InternetLink"/>
                  <w:rFonts w:ascii="Times New Roman;Times;Serif" w:hAnsi="Times New Roman;Times;Serif"/>
                  <w:sz w:val="20"/>
                </w:rPr>
                <w:t>OTHER MATTERS</w:t>
              </w:r>
            </w:hyperlink>
          </w:p>
        </w:tc>
        <w:tc>
          <w:tcPr>
            <w:tcW w:w="669" w:type="dxa"/>
            <w:tcBorders/>
            <w:shd w:fill="CCEEFF" w:val="clear"/>
            <w:tcMar>
              <w:bottom w:w="0" w:type="dxa"/>
            </w:tcMar>
            <w:vAlign w:val="center"/>
          </w:tcPr>
          <w:p>
            <w:pPr>
              <w:pStyle w:val="TableContents"/>
              <w:bidi w:val="0"/>
              <w:spacing w:before="0" w:after="283"/>
              <w:jc w:val="right"/>
              <w:rPr/>
            </w:pPr>
            <w:hyperlink w:anchor="pre14a_034">
              <w:r>
                <w:rPr>
                  <w:rStyle w:val="InternetLink"/>
                  <w:rFonts w:ascii="Times New Roman;Times;Serif" w:hAnsi="Times New Roman;Times;Serif"/>
                  <w:sz w:val="20"/>
                </w:rPr>
                <w:t>50</w:t>
              </w:r>
            </w:hyperlink>
          </w:p>
        </w:tc>
      </w:tr>
      <w:tr>
        <w:trPr/>
        <w:tc>
          <w:tcPr>
            <w:tcW w:w="9536" w:type="dxa"/>
            <w:tcBorders/>
            <w:tcMar>
              <w:bottom w:w="0" w:type="dxa"/>
            </w:tcMar>
            <w:vAlign w:val="center"/>
          </w:tcPr>
          <w:p>
            <w:pPr>
              <w:pStyle w:val="TableContents"/>
              <w:bidi w:val="0"/>
              <w:spacing w:before="0" w:after="283"/>
              <w:jc w:val="left"/>
              <w:rPr/>
            </w:pPr>
            <w:hyperlink w:anchor="pre14a_035">
              <w:r>
                <w:rPr>
                  <w:rStyle w:val="InternetLink"/>
                  <w:rFonts w:ascii="Times New Roman;Times;Serif" w:hAnsi="Times New Roman;Times;Serif"/>
                  <w:sz w:val="20"/>
                </w:rPr>
                <w:t>WHERE YOU CAN FIND MORE INFORMATION</w:t>
              </w:r>
            </w:hyperlink>
          </w:p>
        </w:tc>
        <w:tc>
          <w:tcPr>
            <w:tcW w:w="669" w:type="dxa"/>
            <w:tcBorders/>
            <w:tcMar>
              <w:bottom w:w="0" w:type="dxa"/>
            </w:tcMar>
            <w:vAlign w:val="center"/>
          </w:tcPr>
          <w:p>
            <w:pPr>
              <w:pStyle w:val="TableContents"/>
              <w:bidi w:val="0"/>
              <w:spacing w:before="0" w:after="283"/>
              <w:jc w:val="right"/>
              <w:rPr/>
            </w:pPr>
            <w:hyperlink w:anchor="pre14a_035">
              <w:r>
                <w:rPr>
                  <w:rStyle w:val="InternetLink"/>
                  <w:rFonts w:ascii="Times New Roman;Times;Serif" w:hAnsi="Times New Roman;Times;Serif"/>
                  <w:sz w:val="20"/>
                </w:rPr>
                <w:t>50</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36">
              <w:r>
                <w:rPr>
                  <w:rStyle w:val="InternetLink"/>
                  <w:rFonts w:ascii="Times New Roman;Times;Serif" w:hAnsi="Times New Roman;Times;Serif"/>
                  <w:sz w:val="20"/>
                </w:rPr>
                <w:t>DELIVERY OF DOCUMENTS TO STOCKHOLDERS SHARING AN ADDRESS</w:t>
              </w:r>
            </w:hyperlink>
          </w:p>
        </w:tc>
        <w:tc>
          <w:tcPr>
            <w:tcW w:w="669" w:type="dxa"/>
            <w:tcBorders/>
            <w:shd w:fill="CCEEFF" w:val="clear"/>
            <w:tcMar>
              <w:bottom w:w="0" w:type="dxa"/>
            </w:tcMar>
            <w:vAlign w:val="center"/>
          </w:tcPr>
          <w:p>
            <w:pPr>
              <w:pStyle w:val="TableContents"/>
              <w:bidi w:val="0"/>
              <w:spacing w:before="0" w:after="283"/>
              <w:jc w:val="right"/>
              <w:rPr/>
            </w:pPr>
            <w:hyperlink w:anchor="pre14a_036">
              <w:r>
                <w:rPr>
                  <w:rStyle w:val="InternetLink"/>
                  <w:rFonts w:ascii="Times New Roman;Times;Serif" w:hAnsi="Times New Roman;Times;Serif"/>
                  <w:sz w:val="20"/>
                </w:rPr>
                <w:t>50</w:t>
              </w:r>
            </w:hyperlink>
          </w:p>
        </w:tc>
      </w:tr>
      <w:tr>
        <w:trPr/>
        <w:tc>
          <w:tcPr>
            <w:tcW w:w="9536" w:type="dxa"/>
            <w:tcBorders/>
            <w:tcMar>
              <w:bottom w:w="0" w:type="dxa"/>
            </w:tcMar>
            <w:vAlign w:val="center"/>
          </w:tcPr>
          <w:p>
            <w:pPr>
              <w:pStyle w:val="TableContents"/>
              <w:bidi w:val="0"/>
              <w:spacing w:before="0" w:after="283"/>
              <w:jc w:val="left"/>
              <w:rPr/>
            </w:pPr>
            <w:hyperlink w:anchor="pre14a_037">
              <w:r>
                <w:rPr>
                  <w:rStyle w:val="InternetLink"/>
                  <w:rFonts w:ascii="Times New Roman;Times;Serif" w:hAnsi="Times New Roman;Times;Serif"/>
                  <w:sz w:val="20"/>
                </w:rPr>
                <w:t>STOCKHOLDER COMMUNICATIONS</w:t>
              </w:r>
            </w:hyperlink>
          </w:p>
        </w:tc>
        <w:tc>
          <w:tcPr>
            <w:tcW w:w="669" w:type="dxa"/>
            <w:tcBorders/>
            <w:tcMar>
              <w:bottom w:w="0" w:type="dxa"/>
            </w:tcMar>
            <w:vAlign w:val="center"/>
          </w:tcPr>
          <w:p>
            <w:pPr>
              <w:pStyle w:val="TableContents"/>
              <w:bidi w:val="0"/>
              <w:spacing w:before="0" w:after="283"/>
              <w:jc w:val="right"/>
              <w:rPr/>
            </w:pPr>
            <w:hyperlink w:anchor="pre14a_037">
              <w:r>
                <w:rPr>
                  <w:rStyle w:val="InternetLink"/>
                  <w:rFonts w:ascii="Times New Roman;Times;Serif" w:hAnsi="Times New Roman;Times;Serif"/>
                  <w:sz w:val="20"/>
                </w:rPr>
                <w:t>50</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38">
              <w:r>
                <w:rPr>
                  <w:rStyle w:val="InternetLink"/>
                  <w:rFonts w:ascii="Times New Roman;Times;Serif" w:hAnsi="Times New Roman;Times;Serif"/>
                  <w:sz w:val="20"/>
                </w:rPr>
                <w:t>SUBMISSION OF STOCKHOLDER PROPOSALS AND DIRECTOR NOMINATIONS AT THE 2026 ANNUAL MEETING</w:t>
              </w:r>
            </w:hyperlink>
          </w:p>
        </w:tc>
        <w:tc>
          <w:tcPr>
            <w:tcW w:w="669" w:type="dxa"/>
            <w:tcBorders/>
            <w:shd w:fill="CCEEFF" w:val="clear"/>
            <w:tcMar>
              <w:bottom w:w="0" w:type="dxa"/>
            </w:tcMar>
            <w:vAlign w:val="center"/>
          </w:tcPr>
          <w:p>
            <w:pPr>
              <w:pStyle w:val="TableContents"/>
              <w:bidi w:val="0"/>
              <w:spacing w:before="0" w:after="283"/>
              <w:jc w:val="right"/>
              <w:rPr/>
            </w:pPr>
            <w:hyperlink w:anchor="pre14a_038">
              <w:r>
                <w:rPr>
                  <w:rStyle w:val="InternetLink"/>
                  <w:rFonts w:ascii="Times New Roman;Times;Serif" w:hAnsi="Times New Roman;Times;Serif"/>
                  <w:sz w:val="20"/>
                </w:rPr>
                <w:t>50</w:t>
              </w:r>
            </w:hyperlink>
          </w:p>
        </w:tc>
      </w:tr>
      <w:tr>
        <w:trPr/>
        <w:tc>
          <w:tcPr>
            <w:tcW w:w="9536" w:type="dxa"/>
            <w:tcBorders/>
            <w:tcMar>
              <w:bottom w:w="0" w:type="dxa"/>
            </w:tcMar>
            <w:vAlign w:val="center"/>
          </w:tcPr>
          <w:p>
            <w:pPr>
              <w:pStyle w:val="TableContents"/>
              <w:bidi w:val="0"/>
              <w:spacing w:before="0" w:after="283"/>
              <w:jc w:val="left"/>
              <w:rPr/>
            </w:pPr>
            <w:hyperlink w:anchor="pre14a_039">
              <w:r>
                <w:rPr>
                  <w:rStyle w:val="InternetLink"/>
                  <w:rFonts w:ascii="Times New Roman;Times;Serif" w:hAnsi="Times New Roman;Times;Serif"/>
                  <w:sz w:val="20"/>
                </w:rPr>
                <w:t>ANNEX A – FORM OF BOARD CLASSIFICATION AMENDMENT</w:t>
              </w:r>
            </w:hyperlink>
          </w:p>
        </w:tc>
        <w:tc>
          <w:tcPr>
            <w:tcW w:w="669" w:type="dxa"/>
            <w:tcBorders/>
            <w:tcMar>
              <w:bottom w:w="0" w:type="dxa"/>
            </w:tcMar>
            <w:vAlign w:val="center"/>
          </w:tcPr>
          <w:p>
            <w:pPr>
              <w:pStyle w:val="TableContents"/>
              <w:bidi w:val="0"/>
              <w:spacing w:before="0" w:after="283"/>
              <w:jc w:val="right"/>
              <w:rPr/>
            </w:pPr>
            <w:hyperlink w:anchor="pre14a_039">
              <w:r>
                <w:rPr>
                  <w:rStyle w:val="InternetLink"/>
                  <w:rFonts w:ascii="Times New Roman;Times;Serif" w:hAnsi="Times New Roman;Times;Serif"/>
                  <w:sz w:val="20"/>
                </w:rPr>
                <w:t>A-1</w:t>
              </w:r>
            </w:hyperlink>
          </w:p>
        </w:tc>
      </w:tr>
      <w:tr>
        <w:trPr/>
        <w:tc>
          <w:tcPr>
            <w:tcW w:w="9536" w:type="dxa"/>
            <w:tcBorders/>
            <w:shd w:fill="CCEEFF" w:val="clear"/>
            <w:tcMar>
              <w:bottom w:w="0" w:type="dxa"/>
            </w:tcMar>
            <w:vAlign w:val="center"/>
          </w:tcPr>
          <w:p>
            <w:pPr>
              <w:pStyle w:val="TableContents"/>
              <w:bidi w:val="0"/>
              <w:spacing w:before="0" w:after="283"/>
              <w:jc w:val="left"/>
              <w:rPr/>
            </w:pPr>
            <w:hyperlink w:anchor="pre14a_040">
              <w:r>
                <w:rPr>
                  <w:rStyle w:val="InternetLink"/>
                  <w:rFonts w:ascii="Times New Roman;Times;Serif" w:hAnsi="Times New Roman;Times;Serif"/>
                  <w:sz w:val="20"/>
                </w:rPr>
                <w:t>ANNEX B – FORM OF BYLAWS AMENDMENT</w:t>
              </w:r>
            </w:hyperlink>
          </w:p>
        </w:tc>
        <w:tc>
          <w:tcPr>
            <w:tcW w:w="669" w:type="dxa"/>
            <w:tcBorders/>
            <w:shd w:fill="CCEEFF" w:val="clear"/>
            <w:tcMar>
              <w:bottom w:w="0" w:type="dxa"/>
            </w:tcMar>
            <w:vAlign w:val="center"/>
          </w:tcPr>
          <w:p>
            <w:pPr>
              <w:pStyle w:val="TableContents"/>
              <w:bidi w:val="0"/>
              <w:spacing w:before="0" w:after="283"/>
              <w:jc w:val="right"/>
              <w:rPr/>
            </w:pPr>
            <w:hyperlink w:anchor="pre14a_040">
              <w:r>
                <w:rPr>
                  <w:rStyle w:val="InternetLink"/>
                  <w:rFonts w:ascii="Times New Roman;Times;Serif" w:hAnsi="Times New Roman;Times;Serif"/>
                  <w:sz w:val="20"/>
                </w:rPr>
                <w:t>B-1</w:t>
              </w:r>
            </w:hyperlink>
          </w:p>
        </w:tc>
      </w:tr>
      <w:tr>
        <w:trPr/>
        <w:tc>
          <w:tcPr>
            <w:tcW w:w="9536" w:type="dxa"/>
            <w:tcBorders/>
            <w:tcMar>
              <w:bottom w:w="0" w:type="dxa"/>
            </w:tcMar>
            <w:vAlign w:val="center"/>
          </w:tcPr>
          <w:p>
            <w:pPr>
              <w:pStyle w:val="TableContents"/>
              <w:bidi w:val="0"/>
              <w:spacing w:before="0" w:after="283"/>
              <w:jc w:val="left"/>
              <w:rPr/>
            </w:pPr>
            <w:hyperlink w:anchor="pre14a_041">
              <w:r>
                <w:rPr>
                  <w:rStyle w:val="InternetLink"/>
                  <w:rFonts w:ascii="Times New Roman;Times;Serif" w:hAnsi="Times New Roman;Times;Serif"/>
                  <w:sz w:val="20"/>
                </w:rPr>
                <w:t>ANNEX C – FORM OF REVERSE STOCK SPLIT AMENDMENT</w:t>
              </w:r>
            </w:hyperlink>
          </w:p>
        </w:tc>
        <w:tc>
          <w:tcPr>
            <w:tcW w:w="669" w:type="dxa"/>
            <w:tcBorders/>
            <w:tcMar>
              <w:bottom w:w="0" w:type="dxa"/>
            </w:tcMar>
            <w:vAlign w:val="center"/>
          </w:tcPr>
          <w:p>
            <w:pPr>
              <w:pStyle w:val="TableContents"/>
              <w:bidi w:val="0"/>
              <w:spacing w:before="0" w:after="283"/>
              <w:jc w:val="right"/>
              <w:rPr/>
            </w:pPr>
            <w:hyperlink w:anchor="pre14a_041">
              <w:r>
                <w:rPr>
                  <w:rStyle w:val="InternetLink"/>
                  <w:rFonts w:ascii="Times New Roman;Times;Serif" w:hAnsi="Times New Roman;Times;Serif"/>
                  <w:sz w:val="20"/>
                </w:rPr>
                <w:t>C-1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DECEMBER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along with the accompanying Notice of the Annual Meeting of Stockholders, contains information about the 2025 annual meeting of stockholders (including any adjournment, postponement or rescheduling thereof, the “Annual Meeting”) of XWELL, Inc. (“XWELL,” the “Company,” “we,” 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at 10:00 a.m. Eastern Time on Thursday, December 18, 2025.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Times;Serif" w:hAnsi="Times New Roman;Times;Serif"/>
          <w:b w:val="false"/>
          <w:i/>
          <w:caps w:val="false"/>
          <w:smallCaps w:val="false"/>
          <w:sz w:val="20"/>
        </w:rPr>
        <w:t xml:space="preserve">https://web.viewproxy.com/XWELL/2025 </w:t>
      </w:r>
      <w:r>
        <w:rPr>
          <w:rFonts w:ascii="Times New Roman;Times;Serif" w:hAnsi="Times New Roman;Times;Serif"/>
          <w:b w:val="false"/>
          <w:i w:val="false"/>
          <w:caps w:val="false"/>
          <w:smallCaps w:val="false"/>
          <w:sz w:val="20"/>
        </w:rPr>
        <w:t>by 11:59 p.m. Eastern Time on December 15, 2025. You will receive a meeting invitation by email with your unique link, along with a password, prior to the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of our (i) common stock, par value $0.01 per share (the “Common Stock”) and (ii) Series G Preferred Stock, par value $0.01 per share (the “Series G Preferred Stock”), at the close of business on November 6, 2025 (the “Record Date”), are entitled to notice of the Annual Meeting and to vote at the Annual Meeting. The Proxy Statement and the Proxy Card are first being made available to stockholders on or about August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being solicited on behalf of the Company’s board of directors (the “Board” or the “Board of Directors”). At the Annual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of Directors (the “Board”), each to serve until the 2026 annual meeting of stockholders or until his or her respective successor is duly elected and qualified (the “Director Election Proposal”);</w:t>
            </w:r>
          </w:p>
        </w:tc>
      </w:tr>
      <w:tr>
        <w:trPr/>
        <w:tc>
          <w:tcPr>
            <w:tcW w:w="195"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on a non-binding advisory basis, the frequency of future nonbinding advisory votes of the stockholders’ approval of the executive compensation of the Company (the “Say-on-Frequency Proposal”); </w:t>
            </w:r>
          </w:p>
        </w:tc>
      </w:tr>
      <w:tr>
        <w:trPr/>
        <w:tc>
          <w:tcPr>
            <w:tcW w:w="195"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10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Amended and Restated Certificate of Incorporation (as further amended, the “Certificate of Incorporation”) to classify the Board into two classes, with the directors in each class to serve staggered two-year terms (the “Board Classification Proposal”);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“Reverse Stock Split Amendment”), substantially in the form attached hereto as </w:t>
            </w:r>
            <w:r>
              <w:rPr>
                <w:rFonts w:ascii="Times New Roman;Times;Serif" w:hAnsi="Times New Roman;Times;Serif"/>
                <w:sz w:val="20"/>
                <w:u w:val="single"/>
              </w:rPr>
              <w:t>Annex C</w:t>
            </w:r>
            <w:r>
              <w:rPr>
                <w:rFonts w:ascii="Times New Roman;Times;Serif" w:hAnsi="Times New Roman;Times;Serif"/>
                <w:sz w:val="20"/>
              </w:rPr>
              <w:t>, to the Certificate of Incorporation to effect, at the discretion of the Board but prior to the one-year anniversary of the reverse stock split (the “Reverse Stock Split”) approval by the Company’s stockholders at the Annual Meeting, the Reverse Stock Split at a ratio in the range of 1-for-2 to 1-for-20, with such ratio to be determined by the Board in its discretion and as disclosed in a public announcement (the “Reverse Stock Split Proposal”); </w:t>
            </w:r>
          </w:p>
        </w:tc>
      </w:tr>
      <w:tr>
        <w:trPr/>
        <w:tc>
          <w:tcPr>
            <w:tcW w:w="175" w:type="dxa"/>
            <w:tcBorders/>
            <w:vAlign w:val="center"/>
          </w:tcPr>
          <w:p>
            <w:pPr>
              <w:pStyle w:val="TableContents"/>
              <w:bidi w:val="0"/>
              <w:spacing w:before="0" w:after="283"/>
              <w:jc w:val="both"/>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tc>
      </w:tr>
      <w:tr>
        <w:trPr/>
        <w:tc>
          <w:tcPr>
            <w:tcW w:w="175" w:type="dxa"/>
            <w:tcBorders/>
            <w:vAlign w:val="center"/>
          </w:tcPr>
          <w:p>
            <w:pPr>
              <w:pStyle w:val="TableContents"/>
              <w:bidi w:val="0"/>
              <w:spacing w:before="0" w:after="283"/>
              <w:jc w:val="both"/>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8.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75" w:type="dxa"/>
            <w:tcBorders/>
            <w:vAlign w:val="center"/>
          </w:tcPr>
          <w:p>
            <w:pPr>
              <w:pStyle w:val="TableContents"/>
              <w:bidi w:val="0"/>
              <w:spacing w:before="0" w:after="283"/>
              <w:jc w:val="both"/>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9.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Annual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WE URGE YOU TO COMPLETE, SIGN, DATE AND PROMPTLY RETURN THE ENCLOSED PROXY CARD. FOR ADDITIONAL INSTRUCTIONS, PLEASE REFER TO THE ENCLOSED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contact our proxy solicitor, Alliance Advisors, LLC (“Alliance”):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XWEL@allianceadvisors.com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re14a_001"/>
      <w:bookmarkEnd w:id="2"/>
      <w:r>
        <w:rPr>
          <w:rFonts w:ascii="Times New Roman;Times;Serif" w:hAnsi="Times New Roman;Times;Serif"/>
          <w:b/>
          <w:i w:val="false"/>
          <w:caps w:val="false"/>
          <w:smallCaps w:val="false"/>
          <w:sz w:val="20"/>
        </w:rPr>
        <w:t>IMPORTANT INFORMATION ABOUT THE ANNUAL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These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Ezra Ernst, Bruce T. Bernstein, Robert Weinstein, Gaëlle Wizenberg and Michael Lebowitz to our Board, each to serve until the 2026 annual meeting of stockholders or until his or her respective successor is duly elected and qualified (the “Director Election Proposal”);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of CBIZ CPAs P.C. as our independent registered public accounting firm for the fiscal year ending December 31, 2025 (the “Auditor Ratification Proposal”);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on a non-binding advisory basis, the compensation of our named executive officers, as disclosed in the accompanying Proxy Statement (the “Say-on-Pay Proposal”);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on a non-binding advisory basis, the frequency of future nonbinding advisory votes of the stockholders’ approval of the executive compensation of the Company (the “Say-on-Frequency Proposal”);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an amendment (the “Board Classification Amendment”), substantially in the form attached hereto as </w:t>
            </w:r>
            <w:r>
              <w:rPr>
                <w:rFonts w:ascii="Times New Roman;Times;Serif" w:hAnsi="Times New Roman;Times;Serif"/>
                <w:sz w:val="20"/>
                <w:u w:val="single"/>
              </w:rPr>
              <w:t>Annex A</w:t>
            </w:r>
            <w:r>
              <w:rPr>
                <w:rFonts w:ascii="Times New Roman;Times;Serif" w:hAnsi="Times New Roman;Times;Serif"/>
                <w:sz w:val="20"/>
              </w:rPr>
              <w:t xml:space="preserve">, to the Company’s Amended and Restated Certificate of Incorporation (as further amended, the “Certificate of Incorporation”) to classify the Board into two classes, with the directors in each class to serve staggered two-year terms (the “Board Classification Proposal”);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approve the Reverse Stock Split Amendment (as defined herein), substantially in the form attached hereto as </w:t>
            </w:r>
            <w:r>
              <w:rPr>
                <w:rFonts w:ascii="Times New Roman;Times;Serif" w:hAnsi="Times New Roman;Times;Serif"/>
                <w:sz w:val="20"/>
                <w:u w:val="single"/>
              </w:rPr>
              <w:t>Annex C</w:t>
            </w:r>
            <w:r>
              <w:rPr>
                <w:rFonts w:ascii="Times New Roman;Times;Serif" w:hAnsi="Times New Roman;Times;Serif"/>
                <w:sz w:val="20"/>
              </w:rPr>
              <w:t>, to the Company’s Certificate of Incorporation to effect, at the discretion of the Board but prior to the one-year anniversary of the Reverse Stock Split (as defined herein) approval by the Company’s stockholders at the Annual Meeting, the Reverse Stock Split at a ratio in the range of 1-for-2 to 1-for-20, with such ratio to be determined by the Board in its discretion and as disclosed in a public announcement (the “Reverse Stock Split Proposal”);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(the “Issuance Proposal”);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 </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transact such other business as may properly come before the Annual Meeting or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Director Election Proposal, the Auditor Ratification Proposal, the Say-on-Pay Proposal, the Board Classification Proposal, the Reverse Stock Split Proposal, the Issuance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who owned shares of our Common Stock and our Series G Preferred Stock at the close of business on November 6, 2025 (the “Record Date”), are entitled to vote at the Annual Meeting. On the Record Date, there were (i) 5,766,703 shares of Common Stock issued and outstanding and entitled to vote and (ii) 4,000 shares of Series G Preferred Stock outstanding and entitled to vote (except for the Issuance Proposal, which such holders are not entitled to vote their shares of Series G Preferred Stock on). As of the Record Date, the Common Stock and the Series G Preferred Stock are the only classes of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My Vote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retained Alliance Advisors, LLC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Access the Proxy Materials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The Company’s Proxy Statement and the Annual Report on Form 10-K for the year ended December 31, 2024, (as amended, the “2024 Annual Report”) are available free of charge at </w:t>
      </w:r>
      <w:r>
        <w:rPr>
          <w:rFonts w:ascii="Times New Roman;Times;Serif" w:hAnsi="Times New Roman;Times;Serif"/>
          <w:b w:val="false"/>
          <w:i/>
          <w:caps w:val="false"/>
          <w:smallCaps w:val="false"/>
          <w:sz w:val="20"/>
        </w:rPr>
        <w:t>http://viewproxy.com/XWELL/2025</w:t>
      </w:r>
      <w:r>
        <w:rPr>
          <w:rFonts w:ascii="Times New Roman;Times;Serif" w:hAnsi="Times New Roman;Times;Serif"/>
          <w:b w:val="false"/>
          <w:i w:val="false"/>
          <w:caps w:val="false"/>
          <w:smallCaps w:val="false"/>
          <w:sz w:val="20"/>
        </w:rPr>
        <w:t xml:space="preserve">. You may also obtain these materials at the U.S. Securities and Exchange Commission (the “SEC”)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Stockholders Attend the Annual Meeting? Am I Entitled to Attend the Annual Meeting in Person? Why Are You Holding a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Registering to Attend the Annual Meeting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as of the Record Date, your shares are registered in your own name, you may register to attend the Annual Meeting by going to </w:t>
      </w:r>
      <w:r>
        <w:rPr>
          <w:rFonts w:ascii="Times New Roman;Times;Serif" w:hAnsi="Times New Roman;Times;Serif"/>
          <w:b w:val="false"/>
          <w:i/>
          <w:caps w:val="false"/>
          <w:smallCaps w:val="false"/>
          <w:sz w:val="20"/>
        </w:rPr>
        <w:t xml:space="preserve">https://web.viewproxy.com/XWELL/2025 </w:t>
      </w:r>
      <w:r>
        <w:rPr>
          <w:rFonts w:ascii="Times New Roman;Times;Serif" w:hAnsi="Times New Roman;Times;Serif"/>
          <w:b w:val="false"/>
          <w:i w:val="false"/>
          <w:caps w:val="false"/>
          <w:smallCaps w:val="false"/>
          <w:sz w:val="20"/>
        </w:rPr>
        <w:t>no later than 11:59 p.m. Eastern Time on December 15, 2025, and registering for the meeting exactly as your registration appears on your Proxy Card. You must provide a valid email address to register and to vote at the Annual Meeting.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Registering to Attend the Annual Meeting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https://web.viewproxy.com/XWELL/2025 no later than 11:59 p.m. Eastern Time on December 15, 2025,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Times;Serif" w:hAnsi="Times New Roman;Times;Serif"/>
          <w:b w:val="false"/>
          <w:i w:val="false"/>
          <w:caps w:val="false"/>
          <w:smallCaps w:val="false"/>
          <w:sz w:val="20"/>
          <w:u w:val="single"/>
        </w:rPr>
        <w:t>VirtualMeeting@viewproxy.com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There Are Technical Difficulties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Times;Serif" w:hAnsi="Times New Roman;Times;Serif"/>
          <w:b w:val="false"/>
          <w:i w:val="false"/>
          <w:caps w:val="false"/>
          <w:smallCaps w:val="false"/>
          <w:sz w:val="20"/>
          <w:u w:val="single"/>
        </w:rPr>
        <w:t>VirtualMeeting@viewproxy.com</w:t>
      </w:r>
      <w:r>
        <w:rPr>
          <w:rFonts w:ascii="Times New Roman;Times;Serif" w:hAnsi="Times New Roman;Times;Serif"/>
          <w:b w:val="false"/>
          <w:i w:val="false"/>
          <w:caps w:val="false"/>
          <w:smallCaps w:val="false"/>
          <w:sz w:val="20"/>
        </w:rPr>
        <w:t xml:space="preserve"> or call 866-612-8937.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outstanding classes of voting stock entitled to vote at the Annual Meeting: Common Stock and Series G Preferred Stock. Each holder of Common Stock is entitled to one vote per share of Common Stock on all matters to be acted upon at the Annual Meeting. Each holder of Series G Preferred Stock is entitled to vote on all matters, other than the Issuance Proposal, with holders of the Common Stock on as as-converted basis pursuant to the terms of the Certificate of Designation of the Series G Preferred Stock (the “Certificate of Designations”), with the number of votes to which each holder of Series G Preferred Stock is entitled calculated assuming a conversion price of $1.36 per share,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Times;Serif" w:hAnsi="Times New Roman;Times;Serif"/>
          <w:b w:val="false"/>
          <w:i/>
          <w:caps w:val="false"/>
          <w:smallCaps w:val="false"/>
          <w:sz w:val="20"/>
        </w:rPr>
        <w:t>How Will My Proxy Be Voted?”</w:t>
      </w:r>
      <w:r>
        <w:rPr>
          <w:rFonts w:ascii="Times New Roman;Times;Serif" w:hAnsi="Times New Roman;Times;Serif"/>
          <w:b w:val="false"/>
          <w:i w:val="false"/>
          <w:caps w:val="false"/>
          <w:smallCaps w:val="false"/>
          <w:sz w:val="20"/>
        </w:rPr>
        <w:t xml:space="preserve"> Voting by proxy will not affect your right to attend the Annual Meeting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you may vote your shares in one of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Voting Via the Internet</w:t>
            </w:r>
            <w:r>
              <w:rPr>
                <w:rFonts w:ascii="Times New Roman;Times;Serif" w:hAnsi="Times New Roman;Times;Serif"/>
                <w:sz w:val="20"/>
              </w:rPr>
              <w:t xml:space="preserve">: You may vote via the Internet by following the instructions on the Proxy Card. Go to </w:t>
            </w:r>
            <w:r>
              <w:rPr>
                <w:rFonts w:ascii="Times New Roman;Times;Serif" w:hAnsi="Times New Roman;Times;Serif"/>
                <w:i/>
                <w:sz w:val="20"/>
              </w:rPr>
              <w:t xml:space="preserve">www.AALvote.com/XWEL </w:t>
            </w:r>
            <w:r>
              <w:rPr>
                <w:rFonts w:ascii="Times New Roman;Times;Serif" w:hAnsi="Times New Roman;Times;Serif"/>
                <w:sz w:val="20"/>
              </w:rPr>
              <w:t>and have your Proxy Card available. The Internet voting facilities will close at 11:59 p.m. Eastern Time on December 17, 2025.</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If you received a Proxy Card by mail, you can vote by completing, signing, dating and promptly returning the enclosed Proxy Card in the postage-paid envelope provided. A completed Proxy Card returned by mail must be received at the address stated on the Proxy Card before December 18, 2025. If you sign the enclosed Proxy Card but do not specify how you want your shares voted, they will be voted in accordance with the Board’s recommendations as described below under “</w:t>
            </w:r>
            <w:r>
              <w:rPr>
                <w:rFonts w:ascii="Times New Roman;Times;Serif" w:hAnsi="Times New Roman;Times;Serif"/>
                <w:i/>
                <w:sz w:val="20"/>
              </w:rPr>
              <w:t>How Will My Proxy Be Voted?”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Telephone</w:t>
            </w:r>
            <w:r>
              <w:rPr>
                <w:rFonts w:ascii="Times New Roman;Times;Serif" w:hAnsi="Times New Roman;Times;Serif"/>
                <w:sz w:val="20"/>
              </w:rPr>
              <w:t>: You may vote by telephone by calling (866) 804-9616 and following the instructions on the Proxy Card. The telephone voting facilities will close at 11:59 p.m. Eastern Time on December 16,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Virtually at the Annual Meeting</w:t>
            </w:r>
            <w:r>
              <w:rPr>
                <w:rFonts w:ascii="Times New Roman;Times;Serif" w:hAnsi="Times New Roman;Times;Serif"/>
                <w:sz w:val="20"/>
              </w:rPr>
              <w:t>: You may also vote by attending the virtual Annual Meeting. To attend the virtual Annual Meeting, you must first pre-register as described above under “</w:t>
            </w:r>
            <w:r>
              <w:rPr>
                <w:rFonts w:ascii="Times New Roman;Times;Serif" w:hAnsi="Times New Roman;Times;Serif"/>
                <w:i/>
                <w:sz w:val="20"/>
              </w:rPr>
              <w:t>How Can Stockholders Attend the Annual Meeting? Am I Entitled to Attend the Annual Meeting in Person? Why Are You Holding a Virtual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Times;Serif" w:hAnsi="Times New Roman;Times;Serif"/>
          <w:b/>
          <w:i w:val="false"/>
          <w:caps w:val="false"/>
          <w:smallCaps w:val="false"/>
          <w:sz w:val="20"/>
        </w:rPr>
        <w:t>Internet and telephone voting facilities for record stockholders will be available 24 hours a day and will close at 11:59 p.m. Eastern Time on December 16, 2025.</w:t>
      </w:r>
      <w:r>
        <w:rPr>
          <w:rFonts w:ascii="Times New Roman;Times;Serif" w:hAnsi="Times New Roman;Times;Serif"/>
          <w:b w:val="false"/>
          <w:i w:val="false"/>
          <w:caps w:val="false"/>
          <w:smallCaps w:val="false"/>
          <w:sz w:val="20"/>
        </w:rPr>
        <w:t xml:space="preserve"> Please contact our proxy solicitor, Alliance, by calling 1-888-490-5110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 xml:space="preserve"> if you require assistance in voting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 below. Alternatively, if you want to vote your shares during the Annual Meeting, you must contact your nominee directly in order to obtain a proxy issued to you by your nominee holder. Note that a broker letter that identifies you as a stockholder is not the same as a nominee-issued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Proxy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by properly executed Proxy Cards will be voted in accordance with the directions indicated thereon. If you sign the Proxy Card but do not make any specific choices, your proxy will vote your shares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Director Election Proposal, the Auditor Ratification Proposal, the Say-on-Pay Proposal, the Board Classification Proposal, the Reverse Stock Split Proposal, the Issuance Proposal and the Adjournment Proposal, and “</w:t>
      </w:r>
      <w:r>
        <w:rPr>
          <w:rFonts w:ascii="Times New Roman;Times;Serif" w:hAnsi="Times New Roman;Times;Serif"/>
          <w:b/>
          <w:i w:val="false"/>
          <w:caps w:val="false"/>
          <w:smallCaps w:val="false"/>
          <w:sz w:val="20"/>
        </w:rPr>
        <w:t>EVERY THREE YEARS</w:t>
      </w:r>
      <w:r>
        <w:rPr>
          <w:rFonts w:ascii="Times New Roman;Times;Serif" w:hAnsi="Times New Roman;Times;Serif"/>
          <w:b w:val="false"/>
          <w:i w:val="false"/>
          <w:caps w:val="false"/>
          <w:smallCaps w:val="false"/>
          <w:sz w:val="20"/>
        </w:rPr>
        <w:t>” for the Say-on-Frequency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We Electing to Effect the Reverse Stock Split and How Will the Reverse Stock Split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now in compliance with Nasdaq Listing Rule 5550(a)(2) (the “Minimum Bid Price Requirement”) of the Nasdaq Capital Market (“Nasdaq”)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maintain our listing on Nasdaq and compliance with the continued listing requirements of Nasdaq, our Board has unanimously adopted a resolution declaring advisable, and recommending to our stockholders for their approval, the Reverse Stock Split Amendment authorizing the Reverse Stock Split, and granting the Board the discretion to file the Reverse Stock Split Amendment with the Secretary of State of the State of Delaware effecting the Reverse Stock Split prior to the one-year anniversary of the date on which the Reverse Stock Split is approved by the Company’s stockholders at the Annual Meeting or to abandon the Reverse Stock Split altogether. The form of the proposed Reverse Stock Split Amendment is attached to this Proxy Statement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 See also “— </w:t>
      </w:r>
      <w:r>
        <w:rPr>
          <w:rFonts w:ascii="Times New Roman;Times;Serif" w:hAnsi="Times New Roman;Times;Serif"/>
          <w:b w:val="false"/>
          <w:i/>
          <w:caps w:val="false"/>
          <w:smallCaps w:val="false"/>
          <w:sz w:val="20"/>
        </w:rPr>
        <w:t>Reasons for the Reverse Stock Split Amendment</w:t>
      </w:r>
      <w:r>
        <w:rPr>
          <w:rFonts w:ascii="Times New Roman;Times;Serif" w:hAnsi="Times New Roman;Times;Serif"/>
          <w:b w:val="false"/>
          <w:i w:val="false"/>
          <w:caps w:val="false"/>
          <w:smallCaps w:val="false"/>
          <w:sz w:val="20"/>
        </w:rPr>
        <w:t>” in Proposal 6 – The Reverse Stock Split Proposal on page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with our stock transfer agent, Equiniti Trust Company, LLC, you are considered the stockholder of record with respect to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then your shares will not be voted at the Annual Meeting on any proposal with respect to which your broker does not have discretionary authority except as to “routine matters.” At the Annual Meeting, only the Auditor Ratification Proposal, the Reverse Stock Split Proposal and the Adjournment Proposal will be considered “routine matters” and therefore, if you do not provide voting instructions to your broker regarding the Auditor Ratification Proposal, the Reverse Stock Split Proposal, and the Adjournment Proposal, your broker will be permitted to exercise discretionary voting authority to vote your shares on such proposals. The Director Election Proposal, the Say-on-Pay Proposal, the Say-on-Frequency Proposal, the Issuance Proposal and the Board Classification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proxy instructions or revoke your proxy at any time before your proxy is voted at the Annual Meeting. You may change or revoke your proxy in any one of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 in each case, the date and time specified above under “</w:t>
            </w:r>
            <w:r>
              <w:rPr>
                <w:rFonts w:ascii="Times New Roman;Times;Serif" w:hAnsi="Times New Roman;Times;Serif"/>
                <w:i/>
                <w:sz w:val="20"/>
              </w:rPr>
              <w:t>How Do I Vote?</w:t>
            </w:r>
            <w:r>
              <w:rPr>
                <w:rFonts w:ascii="Times New Roman;Times;Serif" w:hAnsi="Times New Roman;Times;Serif"/>
                <w:sz w:val="20"/>
              </w:rPr>
              <w:t>”;</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notifying our Corporate Secretary in writing before the Annual Meeting that you have revoked your proxy; or</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attending the Annual Meeting virtually and voting at the Annual Meeting (attending the Annual Meeting virtually will not in and of itself revoke a previously submitted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via the Internet, by telephone or by completing, signing, dating and promptly returning the enclosed Proxy Card is the one that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Notice of Annual Meeting of Stockholders or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ONLY THE LATEST DATED PROXY YOU SUBMIT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Annual Meeting shall be necessary and sufficient to constitute a quorum. If, however, such quorum is not present or represented at any meeting of the stockholders, then either (i) the chairperson of the Annual Meeting, or (ii) the stockholders entitled to vote at the meeting, present virtually or represented by proxy, shall have the power to adjourn the Annual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80" w:type="dxa"/>
          <w:bottom w:w="0" w:type="dxa"/>
          <w:right w:w="80" w:type="dxa"/>
        </w:tblCellMar>
      </w:tblPr>
      <w:tblGrid>
        <w:gridCol w:w="2110"/>
        <w:gridCol w:w="8095"/>
      </w:tblGrid>
      <w:tr>
        <w:trPr/>
        <w:tc>
          <w:tcPr>
            <w:tcW w:w="2110"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 Director Election Proposal</w:t>
            </w:r>
          </w:p>
        </w:tc>
        <w:tc>
          <w:tcPr>
            <w:tcW w:w="8095"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“FOR” each nominee or “WITHHOLD” their vote from each nominee.</w:t>
            </w:r>
          </w:p>
          <w:p>
            <w:pPr>
              <w:pStyle w:val="TableContents"/>
              <w:bidi w:val="0"/>
              <w:spacing w:before="0" w:after="0"/>
              <w:ind w:left="251"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Withheld votes will have no effect on the outcome of the election of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Director Election Proposal is not considered a “routine matter,” your bank, broker, trustee or other nominee, as the case may be, will not be able to vote your shares without your instruction with respect to the Director Election Proposal. As a result, the failure to instruct your bank, broker, trustee or other nominee as to how to vote on the Director Election Proposal will result in a broker non-vote, which will have no effect on the results of this vote.</w:t>
            </w:r>
          </w:p>
        </w:tc>
      </w:tr>
      <w:tr>
        <w:trPr/>
        <w:tc>
          <w:tcPr>
            <w:tcW w:w="2110" w:type="dxa"/>
            <w:tcBorders>
              <w:top w:val="single" w:sz="8" w:space="0" w:color="000000"/>
              <w:left w:val="single" w:sz="8" w:space="0" w:color="000000"/>
              <w:bottom w:val="single" w:sz="8" w:space="0" w:color="000000"/>
              <w:right w:val="single" w:sz="8" w:space="0" w:color="000000"/>
            </w:tcBorders>
            <w:tcMar>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 Auditor Ratification Proposal</w:t>
            </w:r>
          </w:p>
        </w:tc>
        <w:tc>
          <w:tcPr>
            <w:tcW w:w="8095" w:type="dxa"/>
            <w:tcBorders>
              <w:top w:val="single" w:sz="8" w:space="0" w:color="000000"/>
              <w:bottom w:val="single" w:sz="8" w:space="0" w:color="000000"/>
              <w:right w:val="single" w:sz="8" w:space="0" w:color="000000"/>
            </w:tcBorders>
            <w:tcMar>
              <w:left w:w="0" w:type="dxa"/>
              <w:bottom w:w="2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Auditor Ratification Proposal is required to approve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Auditor Ratification Proposal is a “routine matter,” broker non-votes are not expected to occur with respect to the Auditor Ratification Proposal because your broker has discretionary authority to vote your shares with respect to such proposal. Failure by your broker to exercise its discretionary authority to vote your shares on the Auditor Ratification Proposal will have no effect thereon.</w:t>
            </w:r>
          </w:p>
        </w:tc>
      </w:tr>
      <w:tr>
        <w:trPr/>
        <w:tc>
          <w:tcPr>
            <w:tcW w:w="2110"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 Say-on-Pay Proposal</w:t>
            </w:r>
          </w:p>
        </w:tc>
        <w:tc>
          <w:tcPr>
            <w:tcW w:w="8095"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Say-on-Pay Proposal is required to approve the Say-on-Pay Proposal on a non-binding, advisory basis.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Say-on-Pay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Say-on-Pay Proposal is not considered a “routine matter,” your bank, broker, trustee or other nominee, as the case may be, will not be able to vote your shares without your instruction with respect to the Say-on-Pay Proposal. As a result, the failure to instruct your bank, broker, trustee or other nominee as to how to vote on the Say-on-Pay Proposal will result in a broker non-vote, which will have no effect on the results of this vote.</w:t>
            </w:r>
          </w:p>
        </w:tc>
      </w:tr>
      <w:tr>
        <w:trPr/>
        <w:tc>
          <w:tcPr>
            <w:tcW w:w="2110"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 Say-on-Frequency Proposal</w:t>
            </w:r>
          </w:p>
        </w:tc>
        <w:tc>
          <w:tcPr>
            <w:tcW w:w="8095"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among one year, two years, or three years that receives the highest number of votes cast at the Annual Meeting by stockholders entitled to vote on the Say-on-Frequency Proposal will be deemed to be the frequency preferred by our stockholders.</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no effect on the Say-on-Frequency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Say-on-Frequency Proposal is not considered a “routine matter,” your bank, broker, trustee or other nominee, as the case may be, will not be able to vote your shares without your instruction with respect to the Say-on-Frequency Proposal. As a result, the failure to instruct your bank, broker, trustee or other nominee as to how to vote on the Say-on-Frequency Proposal will result in a broker non-vote, which will have no effect on the results of this vote.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80" w:type="dxa"/>
          <w:bottom w:w="200" w:type="dxa"/>
          <w:right w:w="80" w:type="dxa"/>
        </w:tblCellMar>
      </w:tblPr>
      <w:tblGrid>
        <w:gridCol w:w="1776"/>
        <w:gridCol w:w="8429"/>
      </w:tblGrid>
      <w:tr>
        <w:trPr/>
        <w:tc>
          <w:tcPr>
            <w:tcW w:w="17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 Board Classification Proposal</w:t>
            </w:r>
          </w:p>
        </w:tc>
        <w:tc>
          <w:tcPr>
            <w:tcW w:w="842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tc>
      </w:tr>
      <w:tr>
        <w:trPr/>
        <w:tc>
          <w:tcPr>
            <w:tcW w:w="1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6 – Reverse Stock Split Proposal</w:t>
            </w:r>
          </w:p>
        </w:tc>
        <w:tc>
          <w:tcPr>
            <w:tcW w:w="842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Reverse Stock Split Proposal is required to approve the Reverse Stock Split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Reverse Stock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tc>
      </w:tr>
      <w:tr>
        <w:trPr/>
        <w:tc>
          <w:tcPr>
            <w:tcW w:w="1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7 – Issuance Proposal</w:t>
            </w:r>
          </w:p>
        </w:tc>
        <w:tc>
          <w:tcPr>
            <w:tcW w:w="842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Issuance Proposal is required to approve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the Series G Preferred Stock are not entitled to vote such shares on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on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tc>
      </w:tr>
      <w:tr>
        <w:trPr/>
        <w:tc>
          <w:tcPr>
            <w:tcW w:w="17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8 – Adjournment Proposal</w:t>
            </w:r>
          </w:p>
        </w:tc>
        <w:tc>
          <w:tcPr>
            <w:tcW w:w="842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Adjournment Proposal is required to approve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no effect the Adjournment Proposal.</w:t>
            </w:r>
          </w:p>
          <w:p>
            <w:pPr>
              <w:pStyle w:val="TableContents"/>
              <w:bidi w:val="0"/>
              <w:spacing w:before="0" w:after="0"/>
              <w:ind w:left="97" w:right="0" w:hanging="0"/>
              <w:jc w:val="both"/>
              <w:rPr>
                <w:caps w:val="false"/>
                <w:smallCaps w:val="false"/>
              </w:rPr>
            </w:pPr>
            <w:r>
              <w:rPr>
                <w:caps w:val="false"/>
                <w:smallCaps w:val="false"/>
              </w:rPr>
              <w:t> </w:t>
            </w:r>
          </w:p>
          <w:p>
            <w:pPr>
              <w:pStyle w:val="TableContents"/>
              <w:bidi w:val="0"/>
              <w:spacing w:before="0" w:after="0"/>
              <w:ind w:left="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Adjournment Proposal is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Proposal will have no effect thereon.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Alliance, the inspector of election appointed for the Annual Meeting. Each proposal will be tabulated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this Proxy Statement, the Proxy Card, the Notice of the Annual Meeting of Stockholders and any additional information furnished to stockholders by us, will be borne by us. Solicitation of proxies may be in person, by telephone, electronic mail or personal solicitation by our directors, officers or staff members. Other than the persons described in this Proxy Statement, no general class of our employees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engagement of Alliance as a proxy solicitor, we anticipate that certain employees of Alliance may communicate in person, by telephone or otherwise with a limited number of institutions, brokers or other persons who are our stockholders for the purpose of assisting in the solicitation of proxies for the Annual Meeting. We expect to pay Alliance up to $115,170 for its services in connection with the solicitation of proxies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intend to present any business at the Annual Meeting for a vote other than the matters set forth in the Notice and has no information that others will do so. If other matters requiring a vote of the stockholders properly come before the Annual Meeting, it is the intention of the person named in the form of proxy to vote the shares represented by the proxies held by them in accordance with applicable law and their judgment 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re14a_002"/>
      <w:bookmarkEnd w:id="3"/>
      <w:r>
        <w:rPr>
          <w:rFonts w:ascii="Times New Roman;Times;Serif" w:hAnsi="Times New Roman;Times;Serif"/>
          <w:b/>
          <w:i w:val="false"/>
          <w:caps w:val="false"/>
          <w:smallCaps w:val="false"/>
          <w:sz w:val="20"/>
        </w:rPr>
        <w:t>PROPOSAL 1 – THE DIRECTOR ELECTION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has nominated Ezra Ernst, Bruce T. Bernstein, Robert Weinstein, Gaëlle Wizenberg and Michael Lebowitz for election as directors at the Annual Meeting, each to serve until the 2026 annual meeting of stockholders or until his or her respective successor is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Ezra Ernst, Bruce T. Bernstein, Robert Weinstein, Gaëlle Wizenberg and Michael Lebowitz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this Proxy Statement and based on the information provided by each director, no director is a party to an arrangement or understanding pursuant to which he or she is to be selected as a director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each of Ezra Ernst, Bruce T. Bernstein, Robert Weinstein, Gaëlle Wizenberg and Michael Lebowitz is set forth below under “</w:t>
      </w:r>
      <w:r>
        <w:rPr>
          <w:rFonts w:ascii="Times New Roman;Times;Serif" w:hAnsi="Times New Roman;Times;Serif"/>
          <w:b w:val="false"/>
          <w:i/>
          <w:caps w:val="false"/>
          <w:smallCaps w:val="false"/>
          <w:sz w:val="20"/>
        </w:rPr>
        <w:t>Management and Corporate Governance</w:t>
      </w:r>
      <w:r>
        <w:rPr>
          <w:rFonts w:ascii="Times New Roman;Times;Serif" w:hAnsi="Times New Roman;Times;Serif"/>
          <w:b w:val="false"/>
          <w:i w:val="false"/>
          <w:caps w:val="false"/>
          <w:smallCaps w:val="false"/>
          <w:sz w:val="20"/>
        </w:rPr>
        <w:t>”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Withheld votes will have no effect on the outcome of the election of directors. Because the Director Election Proposal is not considered a “routine matter,” your bank, broker, trustee or other nominee, as the case may be, will not be able to vote your shares without your instruction with respect to the Director Election Proposal. As a result, the failure to instruct your bank, broker, trustee or other nominee as to how to vote on the Director Election Proposal will result in a broker non-vote, which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Fonts w:ascii="Times New Roman;Times;Serif" w:hAnsi="Times New Roman;Times;Serif"/>
                <w:b/>
                <w:caps/>
                <w:sz w:val="20"/>
              </w:rPr>
              <w:t xml:space="preserve">THE BOARD RECOMMENDS THAT YOU VOTE “FOR” </w:t>
            </w:r>
            <w:r>
              <w:rPr>
                <w:rFonts w:ascii="Times New Roman;Times;Serif" w:hAnsi="Times New Roman;Times;Serif"/>
                <w:b/>
                <w:sz w:val="20"/>
              </w:rPr>
              <w:t xml:space="preserve">THE ELECTION OF EACH OF </w:t>
            </w:r>
            <w:r>
              <w:rPr>
                <w:rFonts w:ascii="Times New Roman;Times;Serif" w:hAnsi="Times New Roman;Times;Serif"/>
                <w:b/>
                <w:caps/>
                <w:sz w:val="20"/>
              </w:rPr>
              <w:t>Ezra Ernst, Bruce T. Bernstein, Robert Weinstein, Gaëlle Wizenberg and Michael Lebowitz</w:t>
            </w:r>
            <w:r>
              <w:rPr>
                <w:rFonts w:ascii="Times New Roman;Times;Serif" w:hAnsi="Times New Roman;Times;Serif"/>
                <w:b/>
                <w:sz w:val="20"/>
              </w:rPr>
              <w:t xml:space="preserve"> AS DIRECTORS</w:t>
            </w:r>
            <w:r>
              <w:rPr>
                <w:rFonts w:ascii="Times New Roman;Times;Serif" w:hAnsi="Times New Roman;Times;Serif"/>
                <w:b/>
                <w:caps/>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re14a_003"/>
      <w:bookmarkEnd w:id="4"/>
      <w:r>
        <w:rPr>
          <w:rFonts w:ascii="Times New Roman;Times;Serif" w:hAnsi="Times New Roman;Times;Serif"/>
          <w:b/>
          <w:i w:val="false"/>
          <w:caps w:val="false"/>
          <w:smallCaps w:val="false"/>
          <w:sz w:val="20"/>
        </w:rPr>
        <w:t>PROPOSAL 2 – THE AUDITOR RATIFICATION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(the “Audit Committee”) recommends stockholders ratify CBIZ CPAs P.C. (“CBIZ”) as our independent registered public accounting firm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representatives from CBIZ will be present at the Annual Meeting and that the CBIZ representative will have the opportunity to make a statement if he or she desires to do so and we will allow such representative to be available to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we incurred the following fees for the services of CBIZ:</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30"/>
        <w:gridCol w:w="90"/>
        <w:gridCol w:w="155"/>
        <w:gridCol w:w="725"/>
        <w:gridCol w:w="90"/>
        <w:gridCol w:w="90"/>
        <w:gridCol w:w="155"/>
        <w:gridCol w:w="725"/>
        <w:gridCol w:w="135"/>
      </w:tblGrid>
      <w:tr>
        <w:trPr/>
        <w:tc>
          <w:tcPr>
            <w:tcW w:w="1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CBIZ CPAs P.C.:</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567,070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120,915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613,480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687,985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includes fees for benefit plan audits and lease compliance audits.</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consist of fees for tax services, including tax compliance, tax advice and tax planning.</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fees in this category pertain to fees billed for products and services provided by CBIZ, other than the services reported in the categories above.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of Audit and Non-Audit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CBIZ as our independent registered public accounting firm for the fiscal year ending December 31, 2025. The affirmative vote of a majority of the votes cast by the stockholders present in person or represented by proxy at the meeting and entitled to vote on the Auditor Ratification Proposal is required to approve the Auditor Ratification Proposal. “ABSTAIN” votes will have no effect on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10" w:type="dxa"/>
        <w:tblLayout w:type="fixed"/>
        <w:tblCellMar>
          <w:top w:w="300" w:type="dxa"/>
          <w:left w:w="400" w:type="dxa"/>
          <w:bottom w:w="300" w:type="dxa"/>
          <w:right w:w="400" w:type="dxa"/>
        </w:tblCellMar>
      </w:tblPr>
      <w:tblGrid>
        <w:gridCol w:w="9095"/>
      </w:tblGrid>
      <w:tr>
        <w:trPr/>
        <w:tc>
          <w:tcPr>
            <w:tcW w:w="90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THE BOARD RECOMMENDS THAT YOU VOTE “FOR” THE AUDITOR RATIFICATION PROPOSAL.</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re14a_004"/>
      <w:bookmarkEnd w:id="5"/>
      <w:r>
        <w:rPr>
          <w:rFonts w:ascii="Times New Roman;Times;Serif" w:hAnsi="Times New Roman;Times;Serif"/>
          <w:b/>
          <w:i w:val="false"/>
          <w:caps w:val="false"/>
          <w:smallCaps w:val="false"/>
          <w:sz w:val="20"/>
        </w:rPr>
        <w:t>PROPOSAL 3 – THE SAY-ON-PAY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2026 annual meeting of stockholders, subject to the voting results of the Say-on-Frequency Proposal as set forth in this Proxy Statement and our Board’s final determination as related to the frequency of holding future advisory votes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consists of these general elements: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portion of compensation, in the form of a base salary, to retain and provide a base level of compensation to our named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long-term performance element in the form of equity, to incentivize our named executive officers to achieve superior corporate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15"/>
        <w:gridCol w:w="7820"/>
      </w:tblGrid>
      <w:tr>
        <w:trPr/>
        <w:tc>
          <w:tcPr>
            <w:tcW w:w="215"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performance and the contribution of each individual to our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individual performance, including past and expected contribution to our corporate goals and execution of our business plan and strategy; and</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15"/>
        <w:gridCol w:w="8660"/>
      </w:tblGrid>
      <w:tr>
        <w:trPr/>
        <w:tc>
          <w:tcPr>
            <w:tcW w:w="215"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long-term needs and operational goals, including attracting and retaining key management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of the SEC, the following resolution, commonly known as a “say-on-pay” vote, is being submitted for a stockholder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Say-on-Pay Proposal is required to approve the Say-on-Pay Proposal on a non-binding, advisory basis. “ABSTAIN” votes will have no effect on the Say-on-Pay Proposal. Broker non-votes will have no effect on the outcome of Say-on-Pay Proposal.</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15" w:type="dxa"/>
        <w:tblLayout w:type="fixed"/>
        <w:tblCellMar>
          <w:top w:w="300" w:type="dxa"/>
          <w:left w:w="400" w:type="dxa"/>
          <w:bottom w:w="300" w:type="dxa"/>
          <w:right w:w="400" w:type="dxa"/>
        </w:tblCellMar>
      </w:tblPr>
      <w:tblGrid>
        <w:gridCol w:w="7880"/>
      </w:tblGrid>
      <w:tr>
        <w:trPr/>
        <w:tc>
          <w:tcPr>
            <w:tcW w:w="78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THAT YOU </w:t>
            </w:r>
            <w:r>
              <w:rPr>
                <w:rFonts w:ascii="Times New Roman;Times;Serif" w:hAnsi="Times New Roman;Times;Serif"/>
                <w:b/>
                <w:i w:val="false"/>
                <w:caps/>
                <w:sz w:val="20"/>
              </w:rPr>
              <w:t>VOte “for” the say-on-pay proposal.</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re14a_005"/>
      <w:bookmarkEnd w:id="6"/>
      <w:r>
        <w:rPr>
          <w:rFonts w:ascii="Times New Roman;Times;Serif" w:hAnsi="Times New Roman;Times;Serif"/>
          <w:b/>
          <w:i w:val="false"/>
          <w:caps w:val="false"/>
          <w:smallCaps w:val="false"/>
          <w:sz w:val="20"/>
        </w:rPr>
        <w:t>PROPOSAL 4 – THE SAY-ON-FREQUENCY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SEC’s rules, we are including this proposal to give our stockholders the opportunity to inform us as to how often they wish us to include a say-on-pay proposal in our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presenting the following proposal, which gives you, as a stockholder, the opportunity to inform us as to whether you wish us to hold an advisory (non-binding) vote on executive compensation once every (1) one year, (2) two years, or (3) three years, or you may abstain from voting on the proposal set forth in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determine, on an advisory basis, whether the preferred frequency of an advisory vote on the executive compensation of the Company's named executive officers as set forth in the Company’s proxy statement for the 2025 Annual Meeting of Stockholders should be every year, every two years, or every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every three (3) years as the desired frequency for us to hold a non-binding, advisory vote of the stockholders on executive compensation. We believe this frequency is appropriate for the reasons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equity compensation program for the named executive officers is designed to support long-term value creation, and a vote every three years will allow the stockholders to better judge the equity compensation program in relation to our long-term performance. We strive to ensure management's interests are aligned with stockholders’ interests to support long-term value creation through our equity compensation program. To that end, we grant equity awards to vest over multi-year periods of service to encourage our named executive officers to focus on long-term performance, and recommend a vote every three years, which would allow the equity compensation to be evaluated over a similar time-frame and in relation to long-term performance.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vote every three (3) years will provide the Board and the Compensation Committee with the time to thoughtfully consider and thoroughly respond to stockholders' sentiments and to implement any necessary changes in light of the timing required therefor. The Board and the Compensation and Committee will carefully review changes to the executive compensation to maintain the effectiveness and credibility of the program, which is important for aligning interests and for motivating and retaining our named executive officers.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open to input from stockholders regarding Board and governance matters, as well as the equity compensation program. We believe that the stockholders’ ability to contact us and the Board at any time to express specific views on executive compensation holds us accountable to stockholders and reduces the need for and value of more frequent advisory votes on 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among one year, two years, or three years that receives the highest number of votes cast at the Annual Meeting by stockholders entitled to vote on the Say-on-Frequency Proposal will be deemed to be the frequency preferred by our stockholders. Abstentions and broker non-votes will have no effect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vote may not be construed as overruling a decision by the Board or its committees, creating or implying any change to the fiduciary duties of the Board or its committees or any additional fiduciary duty by the Board or its committees or restricting or limiting the ability of stockholders to make proposals for inclusion in proxy materials related to executive compensation. Notwithstanding the Board’s recommendation and the outcome of the vote on this matter, the Board may, in the future, decide to conduct advisory votes on a more or less frequent basis and may vary its practice based on factors such as discussions with stockholders and the adoption of material changes to compensation programs.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300" w:type="dxa"/>
          <w:left w:w="400" w:type="dxa"/>
          <w:bottom w:w="300" w:type="dxa"/>
          <w:right w:w="400"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THAT YOU </w:t>
            </w:r>
            <w:r>
              <w:rPr>
                <w:rFonts w:ascii="Times New Roman;Times;Serif" w:hAnsi="Times New Roman;Times;Serif"/>
                <w:b/>
                <w:i w:val="false"/>
                <w:caps/>
                <w:sz w:val="20"/>
              </w:rPr>
              <w:t>VOTE “EVERY THREE YEARS” for the say-on-frequency proposal.</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re14a_006"/>
      <w:bookmarkEnd w:id="7"/>
      <w:r>
        <w:rPr>
          <w:rFonts w:ascii="Times New Roman;Times;Serif" w:hAnsi="Times New Roman;Times;Serif"/>
          <w:b/>
          <w:i w:val="false"/>
          <w:caps w:val="false"/>
          <w:smallCaps w:val="false"/>
          <w:sz w:val="20"/>
        </w:rPr>
        <w:t>PROPOSAL 5 –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6, 2025, our Board unanimously approved and recommended that our stockholders adopt and approve the Board Classification Amendment to the Certificate of Incorporation in the form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Board Classification Amendment into two classes with staggered two-year terms, designated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I Directors, with their initial terms expiring at the annual meeting of stockholders to be held in 2026 (the “2026 Annual Meeting”) and members of such class serving successive two-year terms thereafter;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II Directors, with their initial terms expiring at the annual meeting of stockholders to be held in 2027 (the “2027 Annual Meeting”) and members of such class serving successive two-year terms thereafter;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transition, our directors would serve for two-year terms, with one class being elected each year. Vacancies that occur during the year could be filled by the Board and such director would hold office until the next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Classification Proposal is approved, the Board Classification Amendment authorizes the Board to assign directors then in office to classes upon the filing with the Delaware Secretary of State of Board Classification Amendment providing for classification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expects (i) that Ezra T. Ernst, Michael Lebowitz and Gaëlle Wizenberg will be designated to serve as the Class I Directors for an initial term to expire at the 2026 Annual Meeting and (ii) that Bruce T. Bernstein and Robert Weinstein will be designated to serve as the Class II Directors for an initial term to expire at the 2027 Annual Meeting, or in each case, until the director’s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Board Classification Proposal is approved and the Board Classification Amendment filed with the Delaware Secretary of State, the Board intends to amend the Bylaws, substantially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to be consistent with any changes to the Board Classification Amendment approved by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currently contemplate recommending the approval of any actions that could be construed to affect the ability of third parties to take over or change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reserves the right to not proceed with implementing a classified Board and to abandon such action without further action by our stockholders at any time before the effectiveness of the filing of the Board Classification Amendment with the Delaware Secretary of State, even if this proposal is adopted and approved by our stockholders at the Annual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Board Classification Amendment, each member of our Board will continue to be elected to one-year terms at each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 “ABSTAIN” votes will have the same effect as votes cast “AGAINST”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10" w:type="dxa"/>
        <w:tblLayout w:type="fixed"/>
        <w:tblCellMar>
          <w:top w:w="300" w:type="dxa"/>
          <w:left w:w="400" w:type="dxa"/>
          <w:bottom w:w="300" w:type="dxa"/>
          <w:right w:w="400" w:type="dxa"/>
        </w:tblCellMar>
      </w:tblPr>
      <w:tblGrid>
        <w:gridCol w:w="8210"/>
      </w:tblGrid>
      <w:tr>
        <w:trPr/>
        <w:tc>
          <w:tcPr>
            <w:tcW w:w="82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board classification proposal.</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re14a_007"/>
      <w:bookmarkEnd w:id="8"/>
      <w:r>
        <w:rPr>
          <w:rFonts w:ascii="Times New Roman;Times;Serif" w:hAnsi="Times New Roman;Times;Serif"/>
          <w:b/>
          <w:i w:val="false"/>
          <w:caps w:val="false"/>
          <w:smallCaps w:val="false"/>
          <w:sz w:val="20"/>
        </w:rPr>
        <w:t>PROPOSAL 6 – 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subject to stockholder approval, the Board approved an amendment to our Certificate of Incorporation to, at the discretion of the Board, to effect the Reverse Stock Split of our Common Stock at a ratio of 1-for-2 to 1-for-20, with the exact ratio within such range to be determined by the Board of the Company at its discretion. The primary goal of the Reverse Stock Split is to increase the per share market price of our Common Stock to meet the minimum per share bid price requirements for continued listing on Nasdaq.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“Exchange Act”). The Reverse Stock Split is not intended to modify the rights of existing stockholders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and the Reverse Stock Split is effected, up to every 20 shares of our outstanding Common Stock would be combined and reclassified into one share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compliance with the continued listing on Nasdaq, the Company’s ability to increase the trading price of our Common Stock to meet the minimum stock price standards of Nasdaq without effecting the Reverse Stock Split, the per share price of the Common Stock immediately prior to the Reverse Stock Split and the expected stability of the per share price of the Common Stock following the Reverse Stock Split. If the Board determines that it is in the best interests of the Company and its stockholders to effect the Reverse Stock Split, it will hold a Board meeting to determine the ratio of the Reverse Stock Split. For additional information concerning the factors the Board will consider in deciding whether to effect the Reverse Stock Split, see “—</w:t>
      </w:r>
      <w:r>
        <w:rPr>
          <w:rFonts w:ascii="Times New Roman;Times;Serif" w:hAnsi="Times New Roman;Times;Serif"/>
          <w:b w:val="false"/>
          <w:i/>
          <w:caps w:val="false"/>
          <w:smallCaps w:val="false"/>
          <w:sz w:val="20"/>
        </w:rPr>
        <w:t>Determination of the Reverse Stock Split Ratio</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Board Discretion to Effect the Reverse Stock Split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text of the proposed amendment to the company’s Certificate of Incorporation to effect the Reverse stock Split is included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this Proxy Statement. If the Reverse Stock Split Proposal is approved by the Company’s stockholders, the Company will have the authority to file the Reverse Stock Split Amendment with the Secretary of State of the State of Delaware, which will become effective upon its filing; provided, however, that the Reverse Stock Split Amendment is subject to revision to include such changes as may be required by the office of the Secretary of State of the State of Delaware and as the Board deems necessary and advisable. The Board has determined that the Reverse Stock Split Amendment is advisable and in the best interests of the Company and its stockholders and has submitted the Reverse Stock Split Amendment for consideration by our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now in compliance with the Minimum Bid Price Requirement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the Board believes that the trading market for our Common Stock could become significantly less liquid, which could reduce the trading price of our Common Stock and increase the transaction costs of trading in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our and our stockholders’ best interests and is likely to improve the trading price of our Common Stock and improve the likelihood that we will be allowed to maintain our listing on Nasdaq. Accordingly, our Board approved the Reverse Stock Split Amendment as being in our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Not Increase the Price of our Common Stock over the Long-Term and our Common Stock may be delisted.</w:t>
      </w:r>
      <w:r>
        <w:rPr>
          <w:rFonts w:ascii="Times New Roman;Times;Serif" w:hAnsi="Times New Roman;Times;Serif"/>
          <w:b w:val="false"/>
          <w:i w:val="false"/>
          <w:caps w:val="false"/>
          <w:smallCaps w:val="false"/>
          <w:sz w:val="20"/>
        </w:rPr>
        <w:t> 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delisted from Nasdaq, among other things, it will increase the difficulty in our ability to raise money through the sale of its securities.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Decrease the Liquidity of our Common Stock.</w:t>
      </w:r>
      <w:r>
        <w:rPr>
          <w:rFonts w:ascii="Times New Roman;Times;Serif" w:hAnsi="Times New Roman;Times;Serif"/>
          <w:b w:val="false"/>
          <w:i w:val="false"/>
          <w:caps w:val="false"/>
          <w:smallCaps w:val="false"/>
          <w:sz w:val="20"/>
        </w:rPr>
        <w:t> The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Lead to a Decrease in our Overall Market Capitalization.</w:t>
      </w:r>
      <w:r>
        <w:rPr>
          <w:rFonts w:ascii="Times New Roman;Times;Serif" w:hAnsi="Times New Roman;Times;Serif"/>
          <w:b w:val="false"/>
          <w:i w:val="false"/>
          <w:caps w:val="false"/>
          <w:smallCaps w:val="false"/>
          <w:sz w:val="20"/>
        </w:rPr>
        <w:t> 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Reverse Stock Split Proposal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by our stockholders, our Board will not have the authority to effect the Reverse Stock Split Amendment to effectuate the Reverse Stock Split. Any inability of our Board to effect the Reverse Stock Split could expose us to delisting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stockholder approval of a range of potential Reverse Stock Split ratios is in our best interests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1-for-20.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the specific Reverse Stock Split ratio will be based on several factors, including, among other things: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05"/>
        <w:gridCol w:w="200"/>
        <w:gridCol w:w="5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Nasdaq;</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 share price of our Common Stock immediately prior to the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stability of the per share price of our Common Stock following the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likelihood that the Reverse Stock Split will result in increased marketability and liquidity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5"/>
        <w:gridCol w:w="200"/>
        <w:gridCol w:w="25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prevailing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
        <w:gridCol w:w="200"/>
        <w:gridCol w:w="4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in our industry; and</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105"/>
        <w:gridCol w:w="200"/>
        <w:gridCol w:w="82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capitalization before, and anticipated market capitalization after, the 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the Board will have the discretion to implement the Reverse Stock Split or to not effect the Reverse Stock Split at all.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Proposal at the Annual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will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Amendment, if approved by our stockholders, will become effective upon the filing with the Secretary of State of the State of Delaware of a Certificate of Amendment to our Certificate of Incorporation in substantially the form of the Reverse Stock Split Amendment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exact timing of the filing of the Reverse Stock Split Amendment will be determined by the Board and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to effect the Reverse Stock Split will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the Common Stock will remain unchanged at $0.01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Times;Serif" w:hAnsi="Times New Roman;Times;Serif"/>
          <w:b w:val="false"/>
          <w:i/>
          <w:caps w:val="false"/>
          <w:smallCaps w:val="false"/>
          <w:sz w:val="20"/>
        </w:rPr>
        <w:t>Effects of the Reverse Stock Split on Outstanding Equity Awards and Warrants to Purchase Common Stock,” </w:t>
      </w:r>
      <w:r>
        <w:rPr>
          <w:rFonts w:ascii="Times New Roman;Times;Serif" w:hAnsi="Times New Roman;Times;Serif"/>
          <w:b w:val="false"/>
          <w:i w:val="false"/>
          <w:caps w:val="false"/>
          <w:smallCaps w:val="false"/>
          <w:sz w:val="20"/>
        </w:rPr>
        <w:t>the per share exercise price of outstanding option awards and warrants would increase proportionately, and the number of shares of our Common Stock issuable upon the exercise of outstanding options and warrants, or that relate to other equity awards (e.g., restricted stock awards) would decrease proportionately, in each case based on the Reverse Stock Split ratio selected by the Board. The Company does not anticipate that any other accounting consequences would arise as a result of the Reverse Stock Split.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150,000,000 shares of our Common Stock. As of the Record Date, there were 5,766,703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Conversely, with respect to the number of shares reserved for issuance under, for example, our 2020 Plan (as defined below), our Board will proportionately reduce such reserve in accordance with the terms of the 2020 Plan. As of the Record Date, there were 3,125,000 shares of Common Stock reserved for issuance under the 2020 Plan, of which 1,599,708 remained available for future awards, and following the Reverse Stock Split, if any, such reserve will be reduced to between 1,562,500 to 156,250 shares of Common Stock, of which between approximately 799,854 to 79,985 shares will be available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Amendment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Reverse Stock Split on the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4,000 shares of our Series G Preferred Stock. As of the Record Date, there were 4,000 shares of our Series G Preferred Stock issued and outstanding. The number of our authorized shares of Series G Preferred Stock will not change as a result of the Reverse Stock Split. Similarly, if the Reverse Stock Split is effected, the Stated Value (as defined herein) of our outstanding shares of Series G Preferred Stock will not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(as defined herein) and the Warrants contain provisions that require the reduction of the Series G Conversion Price (as defined herein) and exercise price of the Warrants, as then in effect, on the sixteenth (16th) trading day immediately following a reverse stock split if the “Event Market Price” is less than the Series G Conversion Price or exercise price then in effect. The term “Event Market Price” is used in Certificate of Designations and the Warrants to refer to, with respect to a reverse stock split, the lowest VWAP (as defined in the Certificate of Designations and the Warrants) of the Common Stock for any trading day during the twenty (20) consecutive trading day period ending and including the trading day immediately preceding the sixteenth (16th) trading day after such reverse stock split. The number of shares of Common Stock issuable upon exercise of the Warrants will be increased in proportion to any such reduction, such that the aggregate exercise price of the Warrants will remain the same following the reduction.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Outstanding Equity Awards and Warrants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all outstanding options entitling their holders to purchase shares of our Common Stock, as well as any other equity awards granted pursuant to, or available under, the 2020 Equity Incentive Plan (the “2020 Plan”) or pursuant to the 2012 Employee, Director and Consultant Equity Incentive Plan (the “2012 Plan” and together with the 2020 Plan, the “Incentive Plans”), will be proportionately reduced, in accordance with the terms of the applicable Incentive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1-for-5, and that an optionee holds options to purchase 1,033 shares of our Common Stock at an exercise price of $1.00 per share, upon the effectiveness of the Reverse Stock Split at such ratio, the number of shares of the Common Stock subject to that option would be reduced to 206 (rounded down from 206.6 to account for fractional shares) and the exercise price would be proportionately increased to $5.00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warrants to purchase up to 5,347,594 shares of Common Stock issued and outstanding at a weighted average exercise price of $1.6592 per share. If the Reverse Stock Split is effected, the outstanding warrants will automatically be reduced in the same ratio as the reduction in the number of shares of outstanding Common Stock. Correspondingly, the per share exercise price of such warrants will be increased in direct proportion to the Reverse Stock Split ratio, so that the aggregate dollar amount payable for the purchase of the shares subject to the warrants will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and 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Stock Split, the Company intends to treat stockholders holding shares of our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“Book-Entry”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stockholders of record hold their shares of our Common Stock in certificate form or a combination of certificate and book-entry form. If any of your shares of our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SHARE CERTIFICATE(S) AND SHOULD NOT SUBMIT ANY CERTIFICATE(S) UNTIL REQUESTED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our officers or directors have interests in this proposal that are different from or greater than those of any other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the Incentive Plans, each fractional share of Common Stock will be rounded down to the nearest whole share of Common Stock in order to comply with the requirements of Sections 409A and 424 of the Code.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CONSULT THEIR TAX ADVISORS AS TO THE PARTICULAR FEDERAL, STATE, LOCAL, OR FOREIGN TAX CONSEQUENCES TO THEM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“U.S. holder” means a holder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05"/>
        <w:gridCol w:w="200"/>
        <w:gridCol w:w="43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taxed as a corporation created or organized in or under the laws of the United States or any political subdivision thereof;</w:t>
            </w:r>
          </w:p>
        </w:tc>
      </w:tr>
    </w:tbl>
    <w:p>
      <w:pPr>
        <w:pStyle w:val="TextBody"/>
        <w:bidi w:val="0"/>
        <w:spacing w:before="0" w:after="0"/>
        <w:ind w:left="72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solely in exchange for shares of Old Common Stock held by such stockholder immediately prior to the Reverse Stock Split.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aggregate tax basis in the shares of New Common Stock received pursuant to the Reverse Stock Split (including any fractional shares) will equal the stockholder’s aggregate basis in the Old Common Stock exchanged therefore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therefore, provided the shares of Old Common Stock surrendered are held as capital assets at the time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recognized by us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Reverse Stock Split Proposal is required to approve the Reverse Stock Split Proposal. “ABSTAIN” votes will have no effect on the Reverse Stock Split Proposal. 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10" w:type="dxa"/>
        <w:tblLayout w:type="fixed"/>
        <w:tblCellMar>
          <w:top w:w="300" w:type="dxa"/>
          <w:left w:w="400" w:type="dxa"/>
          <w:bottom w:w="300" w:type="dxa"/>
          <w:right w:w="400" w:type="dxa"/>
        </w:tblCellMar>
      </w:tblPr>
      <w:tblGrid>
        <w:gridCol w:w="8075"/>
      </w:tblGrid>
      <w:tr>
        <w:trPr/>
        <w:tc>
          <w:tcPr>
            <w:tcW w:w="80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REVERSE STOCK SPLIT proposal.</w:t>
            </w:r>
          </w:p>
        </w:tc>
      </w:tr>
    </w:tbl>
    <w:p>
      <w:pPr>
        <w:pStyle w:val="TextBody"/>
        <w:bidi w:val="0"/>
        <w:spacing w:before="0" w:after="0"/>
        <w:ind w:left="0" w:right="0" w:hanging="0"/>
        <w:jc w:val="center"/>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re14a_008"/>
      <w:bookmarkEnd w:id="9"/>
      <w:r>
        <w:rPr>
          <w:rFonts w:ascii="Times New Roman;Times;Serif" w:hAnsi="Times New Roman;Times;Serif"/>
          <w:b/>
          <w:i w:val="false"/>
          <w:caps w:val="false"/>
          <w:smallCaps w:val="false"/>
          <w:sz w:val="20"/>
        </w:rPr>
        <w:t>PROPOSAL 7 –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Description of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Private Placement and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a Current Report on Form 8-K filed with the Securities and Exchange Commission on January 14, 2025, on January 14, 2025, the Company entered into a Securities Purchase Agreement (the “Purchase Agreement”) with certain accredited investors (the “Investors”), pursuant to which it agreed to sell to the Investors (i) an aggregate of 4,000 shares of our Series G Preferred Stock, with a par value of $0.01 per share and a stated value of $1,000 per share (“Stated Value”), with an initial conversion price equal to $1.496 (the “Series G Conversion Price”), (ii) Series A warrants to acquire shares of our common stock, par value $0.01 per share (“Common Stock”) at an exercise price of $1.496 per share (the “Series A Warrants”), and (iii) Series B warrants to acquire shares of Common Stock at an exercise price of $1.7952 per share (collectively, the “Private Placement”). The Private Placement closed on January 14, 2025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entered into a Securities Exchange and Amendment Agreement (the “Exchange Agreement”) with the Investors, pursuant to which the Company agreed to exchange a portion of its outstanding shares of Series G Preferred Stock, including all accrued and unpaid dividends thereon equal to $1,553,806.00 in aggregate Stated Value, held by the Investors, for senior secured convertible notes (collectively, the “Notes”) in the aggregate principal amount of $3,387,138.80 (collectively, the “Exchange”). The Exchange closed on November 7, 2025. The Notes are convertible into shares of the Company’s Common Stock in accordance with their terms and are secured by a first priority security interest in the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the Company and the Investors agreed to (A) amend certain terms of the Series G Preferred Stock as set forth in a Certificate of Amendment (the “Certificate of Amendment”) to the Certificate of Designations of the Series G Preferred Stock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“Warrants”) to (A) reduce the exercise price of the Warrants to $1.00, and (B) add certain anti-dilution provisions such that the exercise price of the Warrants will be subject to price-based adjustment in the event of, subject to certain exceptions set forth in the Warrants, any issuances of Common Stock, or securities convertible, exercisable or exchangeable for Common Stock, at a price below the then-applicable exercise price. The shares of Common Stock issuable upon conversion of the Series G Preferred Stock, the Notes and exercise of the Warrants are herein referred to as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Amendment amends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Series G Conversion Price will be subject to price-based adjustment in the event of any issuances of Common Stock, or securities convertible, exercisable or exchangeable for Common Stock, at a price below the then-applicable Series G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Reasons for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our cash and cash equivalents totaled approximately $5,263,000. On October 31, 2025, at a duly held meeting of our Board, our Board determined that it was necessary to raise additional funds for general corporate purposes. We believe that the Exchange was necessary in light of our cash and funding requirements and our obligations under the Certificate of Designations. In addition, at the time of the Exchange, our Board considered numerous alternatives to the transactions, none of which proved to be feasible or, in the opinion of our Board, would have resulted in aggregate terms equivalent to, or more favorable than, the terms obtained in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Exchange Agreement, the Company agreed to exchange a portion of its outstanding shares of Series G Preferred Stock, including all accrued and unpaid dividends thereon equal to $1,553,806.00 in aggregate Stated Value, held by the Investors, for the Notes in the aggregate principal amount of $3,387,138.80. The Notes are convertible into shares of the Company’s Common Stock in accordance with their terms and are secured by a first priority security interest in the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Agreement contains certain representations and warranties, covenants and indemnification provisions customary for similar transactions. The representations, warranties and covenants contained in the Exchange Agreement were made solely for the benefit of the applicable parties to the Exchange Agreement and may be subject to limitations agreed upon by the applicable contracting parties. Among other covenants, the Exchange Agreement requires the Company to hold a meeting of its stockholders not later than December 31, 2025, to seek approval (the “Stockholder Approval”) for (i) the issuance of the shares of Common Stock issuable upon conversion of the Notes under Nasdaq Stock Market Rule 5635(d) for the issuance of shares of Common Stock in excess of 19.99% of the Company’s issued and outstanding shares of Common Stock at prices below the “Minimum Price” (as defined in Rule 5635 of the Rules of the Nasdaq Stock Market) on the date of the Exchange Agreement pursuant to the terms of the Notes, (ii) the terms of the Certificate of Amendment, and (iii) the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Proposal is intended to fulfil the covenant as related to the Stockholder Approval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G Preferred Stock are as set forth in the Certificate of Designations, as amended by the Certificate of Amendment. The Certificate of Designations was filed with the Secretary of State for the State of Delaware on January 14, 2025, prior to the closing of the Private Placement and the Certificate of Amendment was filed with the Secretary of State for the State of Delaware on November 5, 2025, prior to the closing of the Exchange. The forms of Certificate of Designations and Certificate of Amendment were filed as Exhibit 3.1 to the Company’s Current Report on Form 8-K, filed with the SEC on January 15, 2025, and November 5, 2025,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capital stock rank junior to shares of the Series G Preferred Stock, with respect to the preferences as to dividends, distributions and payments upon the liquidation, dissolution and winding up. The Preferred Shares are convertible into the Conversion Shares at the election of the holder at any time at an amended Series G Conversion Price of $1.00 per share. The Series G Conversion Price is subject to customary adjustments for stock dividends, stock splits, reclassifications, stock combinations and the like (subject to certain exceptions), as well as certain anti-dilution provisions as related to the Series G Conversion Price pursuant to the terms of the Certificate of Amendment. We are required to redeem the Series G Preferred Stock in six (6)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eighty (80%) percent of the average of the three lowest closing prices of our Common Stock during the thirty (30)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Additionally, the terms of the Certificate of Amendment added certain provisions such that the Company and the holder of the shares of Series G Preferred Stock may agree to accelerate the conversion of such shares (including any Deferral Amounts (as defined in the Certificate of Designations)) at a conversion price equal to the lower of (a) the Installment Conversion Price (as defined in the Certificate of Designations) applicable to the current Installment Date and (b) the greater of the Floor Price and (x) 80% of the dollar VWAP of the Common Stock immediately prior to such acceleration, and (y) the average three daily VWAP during the thirty consecutive trading day immediately prior to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G Preferred Stock are entitled to dividends of eight (8%) percent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Series G Preferred Stock accrues dividends at the rate of 15% per annum. Upon conversion or redemption, the holders of the Series G Preferred Stock are also entitled to receive a dividend make-whole payment, which such make-whole amount now means, pursuant to the terms of the Certificate of Amendment,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Certificate of Amendment additionally removed the restrictive covenant requiring the Company to maintain unencumbered, unrestricted cash and cash equivalents on hand in an amount equal to at least 200% of the shares of Common Stock issuable upon conversion of the outstanding shares of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G Preferred Stock are entitled to vote with holders of the Common Stock on as as-converted basis, with the number of votes to which each holder of Series G Preferred Stock is entitled to be calculated assuming a conversion price of $1.36 per share, which was the Minimum Price (as defined in Nasdaq Listing Rule 5635)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Certificate of Designations contains a certain beneficial ownership limitation after giving effect to the issuance of shares of Common Stock issuable upon conversion of the Series G Preferred Stock or as part of any amortization payment or dividend make-whole payment under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including, among other things, our failure to pay any amounts due to the holders of the Series G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affirmative and negative covenants regarding the incurrence of indebtedness, the existence of liens, the repayment of indebtedness, the payment of cash in respect of dividends (other than dividends pursuant to the Certificate of Designations), and the transfer of assets, among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Series G Preferred Stock and we do not intend to list the Series G Preferred Stock on any national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for shares of Common Stock immediately, at an amended exercise price of $1.00 per and expire five years from the original date of issuance. The exercise price of each of the Amended and Restated Series A Warrants and the Amended and Restated Series B Warrants is subject to anti-dilution provisions as well customary adjustments for stock dividends, stock splits, reclassifications, stock combinations and the like. There is no established public trading market for the Warrants, and we do not intend to list the Warrants on any national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provided that, if there is no effective registration statement available for resale of the Warrant Shares, the Warrants may be exercised on a cashless basis. The exercise price may also be voluntarily reduced by the Company to any amount and for any period of time deemed appropriate by the Board at any time with the prior written consent of the Required Holders (as defined in the Purchase Agreement), subject to the rules and regulations of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include certain events of defaults,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restrictive covenants, including, among other things, requiring the Company to (A) maintain unencumbered, unrestricted cash and cash equivalents on hand in amount equal to at least $1,000,000, and (B) deposit an amount equal to $1,350,000 into a newly established segregated deposit account, which may be reduced proportionally on a dollar-for-dollar basis as (i) the outstanding principal of the applicable Notes is redeemed, converted or otherwise repaid in accordance with such Notes, or (ii) the outstanding shares of Series G Preferred Stock are redeemed, converted or otherwise repaid in accordance with the Certificate of Designations.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Notes. However, any holder may increase or decrease such percentage to any other percentage not in excess of 9.99%, provided that any increase in such percentage shall not be effective until 61 days after such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G Preferred Stock are convertible into up to an aggregate of 862,860shares of our Common Stock at the Series G Conversion Price of $1.00 per share, the Amended and Restated Series A Warrants are exercisable into up to an aggregate of 4,000,000shares of our Common Stock at the amended and restated exercise price of $1.00 and the Amended and Restated Series B Warrants are exercisable into up to an aggregate of 4,800,000shares of our Common Stock at the amended and restated exercise price of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issuance of the additional shares of Common Stock upon the conversion or exercise of the Series G Preferred Stock, the Notes and the Warrants, as the case may be, including but not limited to in connection with any anti-dilution provisions, would result in an increase in the number of shares of Common Stock outstanding, and our stockholders will incur dilution of their percentage ownership to the extent that the Investors convert their shares of Series G Preferred Stock and Notes or exercise their Warrants, or additional shares, if any, of Common Stock are issued pursuant to the dividend and amortization terms of the Series G Preferred Stock and the Notes. Because of potential adjustments to the number of shares of Common Stock issuable upon conversion of the Series G Preferred Stock and the Notes and exercise of the Amended and Restated Warrants issued in connection with the Exchange, the exact magnitude of the dilutive effect of the Series G Preferred Stock, the Notes and Amended and Restated Warrants cannot be conclusively determined. However, the dilutive effect may be material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Approve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which equals 20% or more of our Common Stock or 20% or more of the voting power outstanding immediately prior to the issuance at a price less than the Minimum Price. In the case of the Exchange, the 20% threshold was determined based on the shares of our Common Stock outstanding immediately preceding the signing of the Exchange Agreement, which we signed on November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Exchange Agreement, we had 5,766,703 shares of Common Stock issued and outstanding. Therefore, the potential issuance of the Underlying Shares would have constituted greater than 20% of the shares of Common Stock issued and outstanding prior to giving effect to the Exchange. In addition, if we elect to pay the amortization payments due upon redemption of the Series G Preferred Stock and the Notes in shares of Common Stock, or certain dividend payments or interest payments in shares of Common Stock as related to the Series G Preferred Stock and Notes, respectively, in each case subject to the terms and conditions of the Certificate of Designations, the Certificate of Amendment and the Notes, as the case may be, this may result in the issuance of a greater number of shares of Common Stock than would be issuable at the initial conversion prices of such securities. We are seeking stockholder approval under Nasdaq Listing Rule 5635(d) for the sale, issuance or potential issuance by us of our Common Stock (or securities convertible into or exercisable for our Common Stock) in excess of 1,153,341 shares, which is 20% of the shares of Common Stock issued and outstanding on the original date of entry into the Exchange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make the amortization and dividend payments, as the case may be, due to holders of the Series G Preferred Stock and the Notes in the form of Common Stock to the extent allowed under the Certificate of Designations the Notes and applicable law in order to preserve our cash resources. Because the effective conversion price used to determine the number of shares of Common Stock issuable in such installment payments depends in part on the market price of our Common Stock at the time that an installment payment is due, we cannot predict how many shares of Common Stock issuable upon conversion of the Series G Preferred Stock and the Notes we will be required to issue in such an amortization payment. In addition, we generally have no control over whether the holders of the Series G Preferred Stock and the Notes convert such shares or whether the Warrant holders exercise their Warrants. For these reasons, we are unable to accurately forecast or predict with any certainty the total amount of Underlying Shares that may be issued. Under certain circumstances, however, it is possible, that we will issue more than 20% of our outstanding shares of Common Stock to the Series G Preferred Stock, Notes and Warrant holders under the terms of the Exchange Agreement. Therefore, we are seeking stockholder approval under this proposal to issue more than 20% of our outstanding shares of Common Stock, if necessary, to the Series G Preferred Stock, Notes and Warrant holders pursuant to the terms of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securities in connection with the Exchange, if any, may cause a significant reduction in the percentage interests of our current stockholders in voting power, any liquidation value, our book and market value, and any future earnings. Further, the issuance or resale of Common Stock issued to the Series G Preferred Stock, Notes and Warrant holders could cause the market price of our Common Stock to decline. In addition to the foregoing, the increase in the number of issued shares of Common Stock in connection with the Exchange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not permitted (without risk of delisting) to undertake a transaction that could result in a change in control of us without seeking and obtaining separate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Not Approving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our obligations under the Certificate of Designations, we believed that the Exchange was the only viable option available to us at the time. Unless we obtain stockholder approval for this Issuance Proposal, we will be required to incur additional costs in order to hold an additional stockholder meeting ninety (90) days thereafter, and if such stockholder approval is not obtained at such stockholder meeting, we shall be required to hold stockholder meetings semi-annually thereafter to seek such approval as is required under the Exchange Agreement. Further, until such time as we obtain stockholder approval for this Issuance Proposal, we will not be able to issue shares of Common Stock to the Series G Preferred Stock, Notes and Warrant holders at an effective price per share below the price initially contemplated in the Certificate of Amendment and Warrants, prior to the Exchange, and as previously approved by stockholders on April 10, 2025. If we are unable to make the amortization or dividend payments, as the case may be, due to the holders of the Series G Preferred Stock and the Notes in shares of our Common Stock, or to issue sufficient shares of Common Stock upon conversion of Series G Preferred Stock and the Notes or exercise of the Warrants, as the case may be, we will have to satisfy such payment obligations by means of cash redemption payments to the holders of the Series G Preferred Stock and the Notes. If we do not have sufficient cash resources to make these payments, we may need to delay, reduce or eliminate certain of our programs or other operations, sell some or all of our assets or merge with another entity.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Iroquois Capital Investment Group, LLC (“ICIG”) and its affiliate Iroquois Master Fund Ltd. (“IMF”), participated in the Private Placement. ICIG and IMF may be unable to convert all of its Series G Preferred Stock and Notes and exercise all of the Warrants issued to them in connection with the Private Placement and the Exchange, as applicable, if the Issuance Proposal is not approved by our stockholders. ICIG and IMF, together, may, by virtue of the issuance of the shares of Common Stock issuable upon the conversion or exercise of the Series G Preferred Stock, Notes and Warrants to which each is entitled upon conversion of their respective Series G Preferred Stock and Notes at the applicable conversion price or exercise of their respective Warrants at their exercise price, respectively, acquire rights to a majority of the voting power of us, based on the number of shares of Common Stock outstanding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Exchange Agreement, the Purchase Agreement, the Certificate of Designations, the Certificate of Amendment and the Warrants are only briefly summarized above. For further information, please refer to the forms of the Exchange Agreement, the Purchase Agreement, the Certificate of Designation, the Certificate of Amendment, and the Warrants, which were filed with the SEC as exhibits to our Current Reports on Form 8-K filed on January 15, 2025, and November 5, 2025, as applicable, and are incorporated herein by reference. The discussion herein is qualified in its entirety by reference to the filed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Issuance Proposal is required to approve the Issuance Proposal. “ABSTAIN” votes will have no effect on the Issuance Proposal. 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99" w:type="dxa"/>
          <w:left w:w="400" w:type="dxa"/>
          <w:bottom w:w="299"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The Board recommends that you vote “FOR” the Issuance Proposal, and proxies solicited by the Board will be voted in favor of the ISSUANCE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re14a_009"/>
      <w:bookmarkEnd w:id="10"/>
      <w:r>
        <w:rPr>
          <w:rFonts w:ascii="Times New Roman;Times;Serif" w:hAnsi="Times New Roman;Times;Serif"/>
          <w:b/>
          <w:i w:val="false"/>
          <w:caps w:val="false"/>
          <w:smallCaps w:val="false"/>
          <w:sz w:val="20"/>
        </w:rPr>
        <w:t>PROPOSAL 8 –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and Rationale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adjourn the Annual Meeting to a later date or dates, if necessary or appropriate, to permit further solicitation and vote of proxies in the event that there are insufficient votes for, or otherwise in connection with, the approval of the proposals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(i) the Director Election Proposal requires the affirmative vote of the plurality of the voting power of the shares present in person or represented by proxy at the Annual Meeting and entitled to vote on the Director Election Proposal, (ii) each of the Auditor Ratification Proposal, the Say-on-Pay Proposal, the Say-on-Frequency Proposal, the Reverse Stock Split Proposal and the Adjournment Proposal requires the affirmative vote of the votes cast of the stockholders present in person or represented by proxy at the at the Annual Meeting and entitled to vote on the subject matter; and (iii)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Annual Meeting to enable the Board to continue to seek to obtain a sufficient number of additional votes to approve the aforementioned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proposals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a majority of votes represented by the outstanding stock entitled to vote at the Annual Meeting will be against the proposals at the Annual Meeting, we could adjourn or postpone the Annual Meeting without a vote on such proposals and use the additional time to solicit the holders of those shares to change their vote in favor of such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voting affirmatively or negatively at the Annual Meeting and entitled to vote on the Adjournment Proposal is required to approve the Adjournment Proposal. “ABSTAIN” votes will have no effect on the Adjournment Proposal. Because the Adjournment Proposal is considered a “routine matter,” broker non-votes are not expected to occur with respect to the Adjournment Proposal because your broker has discretionary authority to vote your shares with respect to such proposal. Failure by your broker to exercise its discretionary authority to vote your shares on the Adjournment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10" w:type="dxa"/>
        <w:tblLayout w:type="fixed"/>
        <w:tblCellMar>
          <w:top w:w="300" w:type="dxa"/>
          <w:left w:w="400" w:type="dxa"/>
          <w:bottom w:w="300" w:type="dxa"/>
          <w:right w:w="400" w:type="dxa"/>
        </w:tblCellMar>
      </w:tblPr>
      <w:tblGrid>
        <w:gridCol w:w="7385"/>
      </w:tblGrid>
      <w:tr>
        <w:trPr/>
        <w:tc>
          <w:tcPr>
            <w:tcW w:w="73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BOARD  RECOMMENDS A </w:t>
            </w:r>
            <w:r>
              <w:rPr>
                <w:rFonts w:ascii="Times New Roman;Times;Serif" w:hAnsi="Times New Roman;Times;Serif"/>
                <w:b/>
                <w:caps/>
                <w:sz w:val="20"/>
              </w:rPr>
              <w:t>VOte “for” the ADJOURNEMNT proposal.</w:t>
            </w:r>
          </w:p>
        </w:tc>
      </w:tr>
    </w:tbl>
    <w:p>
      <w:pPr>
        <w:pStyle w:val="TextBody"/>
        <w:bidi w:val="0"/>
        <w:spacing w:before="0" w:after="0"/>
        <w:ind w:left="0" w:right="0" w:hanging="0"/>
        <w:jc w:val="center"/>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re14a_010"/>
      <w:bookmarkEnd w:id="11"/>
      <w:r>
        <w:rPr>
          <w:rFonts w:ascii="Times New Roman;Times;Serif" w:hAnsi="Times New Roman;Times;Serif"/>
          <w:b/>
          <w:i w:val="false"/>
          <w:caps w:val="false"/>
          <w:smallCaps w:val="false"/>
          <w:sz w:val="20"/>
        </w:rPr>
        <w:t>MANAGEMENT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2585"/>
        <w:gridCol w:w="90"/>
        <w:gridCol w:w="380"/>
        <w:gridCol w:w="90"/>
        <w:gridCol w:w="498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with the Company</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Bernstein*(1)(2)(3)(4)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Weinstein*(1)(2)(3)(4)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 (3)(4)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Ian Brown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 of XWELL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Independent director under the rules of The Nasdaq Stock Market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90"/>
        <w:gridCol w:w="57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Compensation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Audit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Nominating and Corporate Governance Committee</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member of Strategic Affairs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pre14a_011"/>
      <w:bookmarkEnd w:id="12"/>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Bruce T. Bernstein</w:t>
      </w:r>
      <w:r>
        <w:rPr>
          <w:rFonts w:ascii="Times New Roman;Times;Serif" w:hAnsi="Times New Roman;Times;Serif"/>
          <w:b w:val="false"/>
          <w:i w:val="false"/>
          <w:caps w:val="false"/>
          <w:smallCaps w:val="false"/>
          <w:sz w:val="20"/>
        </w:rPr>
        <w:t xml:space="preserve"> joined our Board of Directors in February 2016 and has served as the Chairman of our 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Bernstein’s extensive experience in the securities industry qualifies him to serve as the Chairman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Robert Weinstein </w:t>
      </w:r>
      <w:r>
        <w:rPr>
          <w:rFonts w:ascii="Times New Roman;Times;Serif" w:hAnsi="Times New Roman;Times;Serif"/>
          <w:b w:val="false"/>
          <w:i w:val="false"/>
          <w:caps w:val="false"/>
          <w:smallCaps w:val="false"/>
          <w:sz w:val="20"/>
        </w:rPr>
        <w:t>joined our Board of Directors in February 2020. Mr. Weinstein has extensive accounting and finance experience, spanning more than thirty years, as a 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Weinstein’s extensive financial expertise and healthcare experience qualifies him to serve on our Board of Directors and as a member and the chairperson of the audit committee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Michael Lebowitz </w:t>
      </w:r>
      <w:r>
        <w:rPr>
          <w:rFonts w:ascii="Times New Roman;Times;Serif" w:hAnsi="Times New Roman;Times;Serif"/>
          <w:b w:val="false"/>
          <w:i w:val="false"/>
          <w:caps w:val="false"/>
          <w:smallCaps w:val="false"/>
          <w:sz w:val="20"/>
        </w:rPr>
        <w:t>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Lebowitz’s extensive experience in the area of creative brand strategy qualifies him to serve on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Gaëlle Wizenberg</w:t>
      </w:r>
      <w:r>
        <w:rPr>
          <w:rFonts w:ascii="Times New Roman;Times;Serif" w:hAnsi="Times New Roman;Times;Serif"/>
          <w:b w:val="false"/>
          <w:i w:val="false"/>
          <w:caps w:val="false"/>
          <w:smallCaps w:val="false"/>
          <w:sz w:val="20"/>
        </w:rPr>
        <w:t> joined XWELL’s Board of Directors in January 2024. An expert in branding, manufacturing, global distribution of consumer goods and serial 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ecofriendly products and a global cloth diaper manufacturer, in 2007 and served as CEO until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pre14a_012"/>
      <w:bookmarkEnd w:id="13"/>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 joined the Company in January 2022 and has served as our Chief Executive Officer and as a member of our Board of Directors since September 2024. Prior to September 2024, Mr. Ernst served as Executive Vice President of the Company and Chief Executive Officer of 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Ian Brown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pre14a_013"/>
      <w:bookmarkEnd w:id="14"/>
      <w:r>
        <w:rPr>
          <w:rFonts w:ascii="Times New Roman;Times;Serif" w:hAnsi="Times New Roman;Times;Serif"/>
          <w:b/>
          <w:i w:val="false"/>
          <w:caps w:val="false"/>
          <w:smallCaps w:val="false"/>
          <w:sz w:val="20"/>
        </w:rPr>
        <w:t>Director Independence and Committee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pre14a_014"/>
      <w:bookmarkEnd w:id="15"/>
      <w:r>
        <w:rPr>
          <w:rFonts w:ascii="Times New Roman;Times;Serif" w:hAnsi="Times New Roman;Times;Serif"/>
          <w:b/>
          <w:i w:val="false"/>
          <w:caps w:val="false"/>
          <w:smallCaps w:val="false"/>
          <w:sz w:val="20"/>
        </w:rPr>
        <w:t>Committees of the Board of Directors and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Meeting Attendance. </w:t>
      </w:r>
      <w:r>
        <w:rPr>
          <w:rFonts w:ascii="Times New Roman;Times;Serif" w:hAnsi="Times New Roman;Times;Serif"/>
          <w:b w:val="false"/>
          <w:i w:val="false"/>
          <w:caps w:val="false"/>
          <w:smallCaps w:val="false"/>
          <w:sz w:val="20"/>
        </w:rPr>
        <w:t>During the fiscal year ended December 31, 2024, there were fifteen meetings of our Board of Directors as well as nine unanimous written consents of the Board of Directors. The various committees of the Board of Directors met a total of ten times, collectively. Other than Michael Lebowitz, all other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2024. The Board of Directors has adopted a policy under which each member of the Board of Directors is strongly encouraged, but not required, to attend each annual meeting of our stockholders. All five of our 2024 directors attended our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Committee. </w:t>
      </w:r>
      <w:r>
        <w:rPr>
          <w:rFonts w:ascii="Times New Roman;Times;Serif" w:hAnsi="Times New Roman;Times;Serif"/>
          <w:b w:val="false"/>
          <w:i w:val="false"/>
          <w:caps w:val="false"/>
          <w:smallCaps w:val="false"/>
          <w:sz w:val="20"/>
        </w:rPr>
        <w:t>Our Audit Committee met four times during the year ended December 31, 2024. The Audit Committee currently has three members: Robert Weinstein (Chairman),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met two times during the year ended December 31, 2024. This committee currently has three members: Bruce T. 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In March of 2025, the Compensation Committee did engage a third-party compensation consultant, StreeterWyatt Analytics, to review the Board’s compensation structure as well as benchmark it against the Company’s peer group.</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met one time during the year ended December 31, 2024. This committee currently has three members: Robert Weinstein (Chairman), Michael Lebowitz and Bruce T. Bernstein.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and nominate members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 the evaluation of the Board of Directors and management;</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215"/>
        <w:gridCol w:w="6890"/>
      </w:tblGrid>
      <w:tr>
        <w:trPr/>
        <w:tc>
          <w:tcPr>
            <w:tcW w:w="215" w:type="dxa"/>
            <w:tcBorders/>
            <w:vAlign w:val="center"/>
          </w:tcPr>
          <w:p>
            <w:pPr>
              <w:pStyle w:val="TableContents"/>
              <w:bidi w:val="0"/>
              <w:spacing w:before="0" w:after="283"/>
              <w:jc w:val="both"/>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and recommend corporate governance guidelines to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215"/>
        <w:gridCol w:w="5855"/>
      </w:tblGrid>
      <w:tr>
        <w:trPr/>
        <w:tc>
          <w:tcPr>
            <w:tcW w:w="215" w:type="dxa"/>
            <w:tcBorders/>
            <w:vAlign w:val="center"/>
          </w:tcPr>
          <w:p>
            <w:pPr>
              <w:pStyle w:val="TableContents"/>
              <w:bidi w:val="0"/>
              <w:spacing w:before="0" w:after="283"/>
              <w:jc w:val="both"/>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 the performance of the members of the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recommendations to the Board of Directors as to the structure, composition and functioning of the Board of Directors and its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Strategic Affairs Committee. </w:t>
      </w:r>
      <w:r>
        <w:rPr>
          <w:rFonts w:ascii="Times New Roman;Times;Serif" w:hAnsi="Times New Roman;Times;Serif"/>
          <w:b w:val="false"/>
          <w:i w:val="false"/>
          <w:caps w:val="false"/>
          <w:smallCaps w:val="false"/>
          <w:sz w:val="20"/>
        </w:rPr>
        <w:t>The Strategic Affairs Committee (the “Strategic Affairs Committee”) met one time during the year ended December 31, 2024. The 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management with the identification of potential acquisition, joint venture, strategic investment, divestiture and other strategic transaction opportunities and review transaction candidates with management, when and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15"/>
        <w:gridCol w:w="7595"/>
      </w:tblGrid>
      <w:tr>
        <w:trPr/>
        <w:tc>
          <w:tcPr>
            <w:tcW w:w="215"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strategic transactions received by the Company or proposed by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Subcommittee for Financial Planning.</w:t>
      </w:r>
      <w:r>
        <w:rPr>
          <w:rFonts w:ascii="Times New Roman;Times;Serif" w:hAnsi="Times New Roman;Times;Serif"/>
          <w:b w:val="false"/>
          <w:i w:val="false"/>
          <w:caps w:val="false"/>
          <w:smallCaps w:val="false"/>
          <w:sz w:val="20"/>
        </w:rPr>
        <w:t xml:space="preserve"> The Subcommittee for Financial Planning (the “Finance Subcommittee”) met one time during the year ended December 31, 2024. This committee was formed in June 2024 to discuss potential financing strategies for the Company. The Finance Subcommittee currently has three members: Bruce T. Bernstein (Chairman), Robert Weinstein and Gaelle Wizenberg.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pre14a_015"/>
      <w:bookmarkEnd w:id="16"/>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February 5, 2018, the Board appointed Bruce T. Bernstein as the non-executive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pre14a_016"/>
      <w:bookmarkEnd w:id="17"/>
      <w:r>
        <w:rPr>
          <w:rFonts w:ascii="Times New Roman;Times;Serif" w:hAnsi="Times New Roman;Times;Serif"/>
          <w:b/>
          <w:i w:val="false"/>
          <w:caps w:val="false"/>
          <w:smallCaps w:val="false"/>
          <w:sz w:val="20"/>
        </w:rPr>
        <w:t>The Company’s 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issued to executive officers in fiscal year 2024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pre14a_042"/>
      <w:bookmarkEnd w:id="18"/>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been involved in any of the following events during the past ten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bankruptcy petition filed by or against any business of which such person was a general partner or executive officer either at the time of the bankruptcy or within two years prior to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conviction in a criminal proceeding or being subject to a pending criminal proceeding (excluding traffic violations and other minor offences);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pre14a_017"/>
      <w:bookmarkEnd w:id="19"/>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pre14a_018"/>
      <w:bookmarkEnd w:id="20"/>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officers, and persons who own more than ten percent of our Common Stock, to file with the SEC initial reports of ownership and reports of changes in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Gaelle Wizenberg purchased 100 shares of Common Stock, and on May 7, 2024, Ms. Wizenberg purchased 199 shares of Common Stock. Such transactions were reported with the SEC on July 22, 2024, in a Form 4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on our records and a review of the copies of such reports furnished to us, during the fiscal year ended December 31, 2024, other than above, we believe that all reports applicable to our officers, directors and greater than ten percent stockholders which were required to be filed pursuant to Section 16(a) of the Exchange Act were filed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pre14a_019"/>
      <w:bookmarkEnd w:id="21"/>
      <w:r>
        <w:rPr>
          <w:rFonts w:ascii="Times New Roman;Times;Serif" w:hAnsi="Times New Roman;Times;Serif"/>
          <w:b/>
          <w:i w:val="false"/>
          <w:caps w:val="false"/>
          <w:smallCaps w:val="false"/>
          <w:sz w:val="20"/>
        </w:rPr>
        <w:t>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val="false"/>
          <w:i w:val="false"/>
          <w:caps w:val="false"/>
          <w:smallCaps w:val="false"/>
          <w:sz w:val="20"/>
        </w:rPr>
        <w:t>, and will be made available to stockholders without charge, upon request, in writing to the Corporate Secretary at 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re14a_020"/>
      <w:bookmarkEnd w:id="22"/>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pre14a_021"/>
      <w:bookmarkEnd w:id="23"/>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compensation awarded or paid by us during the years ended December 31, 2024 and 2023 to (i) our principal executive officer, (ii) the two most highly compensated executive officers other than the principal executive officer who were serving as executive officers at December 31, 2024, and (iii) up to two additional individuals for whom disclosure would have been provided under clause (ii) but for the fact that the person was not serving as an executive officer at the end of the year ended December 31, 2024 (collectively, the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1"/>
        <w:gridCol w:w="90"/>
        <w:gridCol w:w="90"/>
        <w:gridCol w:w="470"/>
        <w:gridCol w:w="90"/>
        <w:gridCol w:w="90"/>
        <w:gridCol w:w="90"/>
        <w:gridCol w:w="725"/>
        <w:gridCol w:w="90"/>
        <w:gridCol w:w="90"/>
        <w:gridCol w:w="139"/>
        <w:gridCol w:w="1126"/>
        <w:gridCol w:w="90"/>
        <w:gridCol w:w="90"/>
        <w:gridCol w:w="90"/>
        <w:gridCol w:w="620"/>
        <w:gridCol w:w="90"/>
        <w:gridCol w:w="90"/>
        <w:gridCol w:w="130"/>
        <w:gridCol w:w="907"/>
        <w:gridCol w:w="90"/>
        <w:gridCol w:w="90"/>
        <w:gridCol w:w="568"/>
        <w:gridCol w:w="697"/>
        <w:gridCol w:w="90"/>
        <w:gridCol w:w="90"/>
        <w:gridCol w:w="90"/>
        <w:gridCol w:w="725"/>
        <w:gridCol w:w="137"/>
      </w:tblGrid>
      <w:tr>
        <w:trPr/>
        <w:tc>
          <w:tcPr>
            <w:tcW w:w="24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b/>
                <w:sz w:val="20"/>
              </w:rPr>
            </w:pPr>
            <w:r>
              <w:rPr>
                <w:b/>
                <w:sz w:val="20"/>
              </w:rPr>
              <w:t>Name and principal</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409,615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424,715</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Executive Officer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39,150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516,529</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390,100</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Financial Officer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165,476</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24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535,400</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&amp; Chief Executive Officer of XWELL and Director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411,079</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represent the aggregate grant date fair value in accordance with FASB ASC </w:t>
            </w:r>
            <w:r>
              <w:rPr>
                <w:rFonts w:ascii="Times New Roman;Times;Serif" w:hAnsi="Times New Roman;Times;Serif"/>
                <w:i/>
                <w:sz w:val="20"/>
              </w:rPr>
              <w:t>Topic 718</w:t>
            </w:r>
            <w:r>
              <w:rPr>
                <w:rFonts w:ascii="Times New Roman;Times;Serif" w:hAnsi="Times New Roman;Times;Serif"/>
                <w:sz w:val="20"/>
              </w:rPr>
              <w:t>. For the assumptions made in the valuation of our equity awards see Notes 2 and 15 to our consolidated financial statements included in the Original Filing.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Milford served as our Chief Executive Officer from January 19, 2022, until his resignation effective as of September 4, 2024. Prior to that, Mr. Milford served as our Chief Operating Officer since December 14, 2020. Compensation for the year ended December 31, 2024, includes equity awards of stock options. </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290"/>
        <w:gridCol w:w="972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Ms. Scrabis served as our Chief Financial Officer from July 10, 2023 until her resignation effective on January 8,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Ernst is currently our Chief Executive Officer, effective as of September 4, 2024. Prior to that, Mr. Ernst served as the Executive Vice President and the Chief Executive Officer of XpresTest Inc. since January 9, 2022. Compensation for the year ended December 31, 2024, includes equity awards of stock options.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pre14a_022"/>
      <w:bookmarkEnd w:id="24"/>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Scott R. Milford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4, 2024, Mr. Milford stepped down as the President and Chief Executive Officer of the Company and entered into a Transition and Severance Agreement (the “Milford Transition Agreement”). Under the Milford Transition Agreement, Mr. Milford served as a consultant through December 31, 2024, earning $31,250 per month. Mr. Milford received $425,000 in severance payments and also receive up to 12 months of COBRA premium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Suzanne A. Scrabis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pre14a_025"/>
      <w:bookmarkEnd w:id="25"/>
      <w:r>
        <w:rPr>
          <w:rFonts w:ascii="Times New Roman;Times;Serif" w:hAnsi="Times New Roman;Times;Serif"/>
          <w:b/>
          <w:i w:val="false"/>
          <w:caps w:val="false"/>
          <w:smallCaps w:val="false"/>
          <w:sz w:val="20"/>
        </w:rPr>
        <w:t>Outstanding Equity Awards at 2024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grants of stock options and unvested stock awards outstanding on the last day of the fiscal year ended December 31, 2024, to each of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3"/>
        <w:gridCol w:w="90"/>
        <w:gridCol w:w="172"/>
        <w:gridCol w:w="1108"/>
        <w:gridCol w:w="90"/>
        <w:gridCol w:w="90"/>
        <w:gridCol w:w="164"/>
        <w:gridCol w:w="1056"/>
        <w:gridCol w:w="90"/>
        <w:gridCol w:w="90"/>
        <w:gridCol w:w="93"/>
        <w:gridCol w:w="652"/>
        <w:gridCol w:w="90"/>
        <w:gridCol w:w="90"/>
        <w:gridCol w:w="90"/>
        <w:gridCol w:w="1299"/>
        <w:gridCol w:w="90"/>
        <w:gridCol w:w="90"/>
        <w:gridCol w:w="135"/>
        <w:gridCol w:w="812"/>
        <w:gridCol w:w="117"/>
        <w:gridCol w:w="117"/>
        <w:gridCol w:w="267"/>
        <w:gridCol w:w="539"/>
        <w:gridCol w:w="141"/>
      </w:tblGrid>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units</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units</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exercisable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 (1)</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Non-Qualified Stock Options from the 2012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Incentive Stock Options from the 2012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6, 2030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 Non-Qualified Stock Options from the 2020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28, 2030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21, 2031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Non-Qualified Stock Options from the 2020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2032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 (1)</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81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Inducement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14, 2032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2033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Non-Qualified Stock Options from the 2020 Plan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5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9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81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5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Non-Qualified Stock Options from the 2020 Plan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9805" w:type="dxa"/>
        <w:jc w:val="left"/>
        <w:tblInd w:w="0" w:type="dxa"/>
        <w:tblLayout w:type="fixed"/>
        <w:tblCellMar>
          <w:top w:w="0" w:type="dxa"/>
          <w:left w:w="0" w:type="dxa"/>
          <w:bottom w:w="0" w:type="dxa"/>
          <w:right w:w="0" w:type="dxa"/>
        </w:tblCellMar>
      </w:tblPr>
      <w:tblGrid>
        <w:gridCol w:w="290"/>
        <w:gridCol w:w="951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Un-exercisable options vest in equal annual increments over each of the remaining anniversaries of the date of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pre14a_026"/>
      <w:bookmarkEnd w:id="26"/>
      <w:r>
        <w:rPr>
          <w:rFonts w:ascii="Times New Roman;Times;Serif" w:hAnsi="Times New Roman;Times;Serif"/>
          <w:b/>
          <w:i w:val="false"/>
          <w:caps w:val="false"/>
          <w:smallCaps w:val="false"/>
          <w:sz w:val="20"/>
        </w:rPr>
        <w:t>Pension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qualified or nonqualified defined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pre14a_027"/>
      <w:bookmarkEnd w:id="27"/>
      <w:r>
        <w:rPr>
          <w:rFonts w:ascii="Times New Roman;Times;Serif" w:hAnsi="Times New Roman;Times;Serif"/>
          <w:b/>
          <w:i w:val="false"/>
          <w:caps w:val="false"/>
          <w:smallCaps w:val="false"/>
          <w:sz w:val="20"/>
        </w:rPr>
        <w:t>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nonqualified defined contribution plans or other deferred compensation plans.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pre14a_028"/>
      <w:bookmarkEnd w:id="28"/>
      <w:r>
        <w:rPr>
          <w:rFonts w:ascii="Times New Roman;Times;Serif" w:hAnsi="Times New Roman;Times;Serif"/>
          <w:b/>
          <w:i w:val="false"/>
          <w:caps w:val="false"/>
          <w:smallCaps w:val="false"/>
          <w:sz w:val="20"/>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payments and potential payments to each of our named executive officers as of December 31, 2024, upon termination or change-in-control. The discussion assumes that such event occurred on December 31, 2024, the last business day of our fiscal year, at which time the closing price of our Common Stock as listed on Nasdaq was $1.51 per share. For a further discussion of these provisions see the “Narrative Disclosure to Summary Compensation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Scott R. Milford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Mr. Milford received $425,000 in severance payments and will also receive up to 12 months of COBRA premium reimbursement pursuant to the terms of his Transition and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Ezra T.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Suzanne A. Scrabis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2025, Ms. Scrabis began receiving bi-weekly payments of $11,538.46 for six months and will receive up to six months of COBRA premium reimbursement pursuant to the terms of her Resignation, Separation Agreement and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pre14a_023"/>
      <w:bookmarkEnd w:id="29"/>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persons who served as non-employee members of our Board of Directors during the fiscal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7589" w:type="dxa"/>
        <w:jc w:val="left"/>
        <w:tblInd w:w="0" w:type="dxa"/>
        <w:tblLayout w:type="fixed"/>
        <w:tblCellMar>
          <w:top w:w="0" w:type="dxa"/>
          <w:left w:w="0" w:type="dxa"/>
          <w:bottom w:w="0" w:type="dxa"/>
          <w:right w:w="0" w:type="dxa"/>
        </w:tblCellMar>
      </w:tblPr>
      <w:tblGrid>
        <w:gridCol w:w="2030"/>
        <w:gridCol w:w="90"/>
        <w:gridCol w:w="116"/>
        <w:gridCol w:w="803"/>
        <w:gridCol w:w="90"/>
        <w:gridCol w:w="90"/>
        <w:gridCol w:w="407"/>
        <w:gridCol w:w="498"/>
        <w:gridCol w:w="90"/>
        <w:gridCol w:w="90"/>
        <w:gridCol w:w="90"/>
        <w:gridCol w:w="620"/>
        <w:gridCol w:w="90"/>
        <w:gridCol w:w="90"/>
        <w:gridCol w:w="139"/>
        <w:gridCol w:w="1126"/>
        <w:gridCol w:w="90"/>
        <w:gridCol w:w="90"/>
        <w:gridCol w:w="90"/>
        <w:gridCol w:w="725"/>
        <w:gridCol w:w="135"/>
      </w:tblGrid>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Restricted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Earned or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Bernstein(2)(6)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281,496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Wizenberg(1)(2)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80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left"/>
              <w:rPr>
                <w:caps w:val="false"/>
                <w:smallCaps w:val="false"/>
              </w:rPr>
            </w:pPr>
            <w:r>
              <w:rPr>
                <w:caps w:val="false"/>
                <w:smallCaps w:val="false"/>
              </w:rPr>
              <w:t> </w:t>
            </w:r>
          </w:p>
        </w:tc>
        <w:tc>
          <w:tcPr>
            <w:tcW w:w="49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46,546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106,546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80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tcBorders/>
            <w:vAlign w:val="center"/>
          </w:tcPr>
          <w:p>
            <w:pPr>
              <w:pStyle w:val="TableContents"/>
              <w:bidi w:val="0"/>
              <w:spacing w:before="0" w:after="283"/>
              <w:jc w:val="left"/>
              <w:rPr>
                <w:caps w:val="false"/>
                <w:smallCaps w:val="false"/>
              </w:rPr>
            </w:pPr>
            <w:r>
              <w:rPr>
                <w:caps w:val="false"/>
                <w:smallCaps w:val="false"/>
              </w:rPr>
              <w:t> </w:t>
            </w:r>
          </w:p>
        </w:tc>
        <w:tc>
          <w:tcPr>
            <w:tcW w:w="49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represent the aggregate grant date fair value of the RSUs and option awards granted during the fiscal year computed in accordance with FASB ASC </w:t>
            </w:r>
            <w:r>
              <w:rPr>
                <w:rFonts w:ascii="Times New Roman;Times;Serif" w:hAnsi="Times New Roman;Times;Serif"/>
                <w:i/>
                <w:sz w:val="20"/>
              </w:rPr>
              <w:t>Topic 718</w:t>
            </w:r>
            <w:r>
              <w:rPr>
                <w:rFonts w:ascii="Times New Roman;Times;Serif" w:hAnsi="Times New Roman;Times;Serif"/>
                <w:sz w:val="20"/>
              </w:rPr>
              <w:t>. See Notes 2 and 15 to the consolidated financial statements included in the Original Filing for the assumptions made in the valuation of the equity awards.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290"/>
        <w:gridCol w:w="608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Bernstein held 42,511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90"/>
        <w:gridCol w:w="573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Stout held 22,660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290"/>
        <w:gridCol w:w="612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2024, Mr. Weinstein held 22,579 unexercised options.</w:t>
            </w:r>
          </w:p>
        </w:tc>
      </w:tr>
      <w:tr>
        <w:trPr/>
        <w:tc>
          <w:tcPr>
            <w:tcW w:w="290" w:type="dxa"/>
            <w:tcBorders/>
            <w:vAlign w:val="center"/>
          </w:tcPr>
          <w:p>
            <w:pPr>
              <w:pStyle w:val="TableContents"/>
              <w:bidi w:val="0"/>
              <w:spacing w:before="0" w:after="283"/>
              <w:jc w:val="both"/>
              <w:rPr/>
            </w:pPr>
            <w:r>
              <w:rPr/>
              <w:t> </w:t>
            </w:r>
          </w:p>
        </w:tc>
        <w:tc>
          <w:tcPr>
            <w:tcW w:w="6125"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 2024, Mr. Lebowitz held 21,996 unexercised options.</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90"/>
        <w:gridCol w:w="806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$120,000 in cash paid in respect of XpresTest, Inc. board services (as described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Board and the Compensation Committee engaged StreeterWyatt Analytics, an independent third-party compensation analyst, to evaluate and make recommendations regarding-the compensation paid to our directors.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Board reevaluated the Company’s compensation structure. Based on its review, the Compensation Committee recommended, and the full Board approved, a new director compensation program effective December 11, 2023:</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283"/>
              <w:jc w:val="both"/>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Chairman of the Board: </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05"/>
        <w:gridCol w:w="155"/>
        <w:gridCol w:w="138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$75,000 in cash</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both"/>
              <w:rPr/>
            </w:pPr>
            <w:r>
              <w:rPr/>
              <w:t>●</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other non-employee Directors: </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05"/>
        <w:gridCol w:w="155"/>
        <w:gridCol w:w="138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$35,000 in cash</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283"/>
              <w:jc w:val="both"/>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additional cash payments: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05"/>
        <w:gridCol w:w="155"/>
        <w:gridCol w:w="47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$15,000 in cash to the Chairman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155"/>
        <w:gridCol w:w="546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 in cash to the Chairman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155"/>
        <w:gridCol w:w="515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 in cash to each member of the Investment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pre14a_024"/>
      <w:bookmarkEnd w:id="30"/>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aggregate information, as of December 31, 2024, with respect to all of our equity compensation plans then in effect: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2"/>
        <w:gridCol w:w="90"/>
        <w:gridCol w:w="1472"/>
        <w:gridCol w:w="90"/>
        <w:gridCol w:w="347"/>
        <w:gridCol w:w="1168"/>
        <w:gridCol w:w="90"/>
        <w:gridCol w:w="90"/>
        <w:gridCol w:w="1476"/>
      </w:tblGrid>
      <w:tr>
        <w:trPr/>
        <w:tc>
          <w:tcPr>
            <w:tcW w:w="53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securities</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for</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securities</w:t>
            </w:r>
          </w:p>
        </w:tc>
        <w:tc>
          <w:tcPr>
            <w:tcW w:w="9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issuance</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equity</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of</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(excluding</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r>
      <w:tr>
        <w:trPr/>
        <w:tc>
          <w:tcPr>
            <w:tcW w:w="53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w:t>
            </w:r>
          </w:p>
        </w:tc>
      </w:tr>
      <w:tr>
        <w:trPr/>
        <w:tc>
          <w:tcPr>
            <w:tcW w:w="53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first column)</w:t>
            </w:r>
          </w:p>
        </w:tc>
      </w:tr>
      <w:tr>
        <w:trPr/>
        <w:tc>
          <w:tcPr>
            <w:tcW w:w="5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compensation plans approved by security holders (1)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564,383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17,671 shares of Common Stock remained available for issuance as of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1" w:name="pre14a_029"/>
      <w:bookmarkEnd w:id="31"/>
      <w:r>
        <w:rPr>
          <w:rFonts w:ascii="Times New Roman;Times;Serif" w:hAnsi="Times New Roman;Times;Serif"/>
          <w:b/>
          <w:i w:val="false"/>
          <w:caps/>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2024, were Scott R. Milford, Suzanne A. Scrabis and Ezra T. Ernst.</w:t>
      </w:r>
    </w:p>
    <w:p>
      <w:pPr>
        <w:pStyle w:val="TextBody"/>
        <w:bidi w:val="0"/>
        <w:spacing w:before="0" w:after="0"/>
        <w:ind w:left="0" w:right="0" w:hanging="0"/>
        <w:jc w:val="left"/>
        <w:rPr>
          <w:caps w:val="false"/>
          <w:smallCaps w:val="false"/>
        </w:rPr>
      </w:pPr>
      <w:r>
        <w:rPr>
          <w:caps w:val="false"/>
          <w:smallCaps w:val="false"/>
        </w:rPr>
        <w:t> </w:t>
      </w:r>
    </w:p>
    <w:tbl>
      <w:tblPr>
        <w:tblW w:w="14650" w:type="dxa"/>
        <w:jc w:val="left"/>
        <w:tblInd w:w="0" w:type="dxa"/>
        <w:tblLayout w:type="fixed"/>
        <w:tblCellMar>
          <w:top w:w="0" w:type="dxa"/>
          <w:left w:w="0" w:type="dxa"/>
          <w:bottom w:w="28" w:type="dxa"/>
          <w:right w:w="0" w:type="dxa"/>
        </w:tblCellMar>
      </w:tblPr>
      <w:tblGrid>
        <w:gridCol w:w="485"/>
        <w:gridCol w:w="90"/>
        <w:gridCol w:w="90"/>
        <w:gridCol w:w="190"/>
        <w:gridCol w:w="1075"/>
        <w:gridCol w:w="90"/>
        <w:gridCol w:w="90"/>
        <w:gridCol w:w="222"/>
        <w:gridCol w:w="1043"/>
        <w:gridCol w:w="90"/>
        <w:gridCol w:w="90"/>
        <w:gridCol w:w="222"/>
        <w:gridCol w:w="1043"/>
        <w:gridCol w:w="90"/>
        <w:gridCol w:w="90"/>
        <w:gridCol w:w="208"/>
        <w:gridCol w:w="1057"/>
        <w:gridCol w:w="110"/>
        <w:gridCol w:w="90"/>
        <w:gridCol w:w="222"/>
        <w:gridCol w:w="1043"/>
        <w:gridCol w:w="90"/>
        <w:gridCol w:w="90"/>
        <w:gridCol w:w="222"/>
        <w:gridCol w:w="1043"/>
        <w:gridCol w:w="90"/>
        <w:gridCol w:w="90"/>
        <w:gridCol w:w="222"/>
        <w:gridCol w:w="1043"/>
        <w:gridCol w:w="90"/>
        <w:gridCol w:w="90"/>
        <w:gridCol w:w="208"/>
        <w:gridCol w:w="1057"/>
        <w:gridCol w:w="110"/>
        <w:gridCol w:w="90"/>
        <w:gridCol w:w="253"/>
        <w:gridCol w:w="847"/>
        <w:gridCol w:w="90"/>
        <w:gridCol w:w="90"/>
        <w:gridCol w:w="176"/>
        <w:gridCol w:w="774"/>
        <w:gridCol w:w="155"/>
      </w:tblGrid>
      <w:tr>
        <w:trPr/>
        <w:tc>
          <w:tcPr>
            <w:tcW w:w="485" w:type="dxa"/>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w:t>
              <w:br/>
              <w:t>Total</w:t>
              <w:br/>
              <w:t xml:space="preserve">for 1st </w:t>
              <w:br/>
              <w:t>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w:t>
              <w:br/>
              <w:t>Total</w:t>
              <w:br/>
              <w:t>for 2nd</w:t>
              <w:br/>
              <w:t>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w:t>
              <w:br/>
              <w:t>Total</w:t>
              <w:br/>
              <w:t xml:space="preserve">for 3rd </w:t>
              <w:br/>
              <w:t>PEO</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 xml:space="preserve">Actually </w:t>
              <w:br/>
              <w:t>Paid</w:t>
              <w:br/>
              <w:t xml:space="preserve">to 1st </w:t>
              <w:br/>
              <w:t>PEO ($)</w:t>
              <w:br/>
              <w:t>(1)</w:t>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 xml:space="preserve">Actually </w:t>
              <w:br/>
              <w:t>Paid</w:t>
              <w:br/>
              <w:t>to 2nd</w:t>
              <w:br/>
              <w:t>PEO</w:t>
              <w:br/>
              <w:t>($)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Actually</w:t>
              <w:br/>
              <w:t>Paid</w:t>
              <w:br/>
              <w:t xml:space="preserve">to 3rd </w:t>
              <w:br/>
              <w:t>PEO</w:t>
              <w:br/>
              <w:t>($)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Summary</w:t>
              <w:br/>
              <w:t>Compensation</w:t>
              <w:br/>
              <w:t>Table Total</w:t>
              <w:br/>
              <w:t>for Non-PEO</w:t>
              <w:br/>
              <w:t>Named</w:t>
              <w:br/>
              <w:t>Executive</w:t>
              <w:br/>
              <w:t>Officers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Compensation</w:t>
              <w:br/>
              <w:t>Actually Paid</w:t>
              <w:br/>
              <w:t>to Non-PEO</w:t>
              <w:br/>
              <w:t>Named</w:t>
              <w:br/>
              <w:t>Executive</w:t>
              <w:br/>
              <w:t>Officers</w:t>
              <w:br/>
              <w:t>($) (1)</w:t>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w:t>
              <w:br/>
              <w:t>Initial</w:t>
              <w:br/>
              <w:t>Fixed</w:t>
              <w:br/>
              <w:t>$100</w:t>
              <w:br/>
              <w:t>Investment</w:t>
              <w:br/>
              <w:t>Based</w:t>
              <w:br/>
              <w:t>On:</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50" w:type="dxa"/>
            <w:gridSpan w:val="2"/>
            <w:vMerge w:val="restart"/>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Income</w:t>
              <w:br/>
              <w:t>(Loss)</w:t>
              <w:br/>
              <w:t>($)</w:t>
              <w:br/>
              <w:t>(thousands)</w:t>
            </w:r>
          </w:p>
        </w:tc>
        <w:tc>
          <w:tcPr>
            <w:tcW w:w="155" w:type="dxa"/>
            <w:tcBorders/>
            <w:tcMar>
              <w:bottom w:w="0" w:type="dxa"/>
            </w:tcMar>
            <w:vAlign w:val="center"/>
          </w:tcPr>
          <w:p>
            <w:pPr>
              <w:pStyle w:val="TableContents"/>
              <w:bidi w:val="0"/>
              <w:spacing w:before="0" w:after="283"/>
              <w:jc w:val="center"/>
              <w:rPr/>
            </w:pPr>
            <w:r>
              <w:rPr/>
              <w:t> </w:t>
            </w:r>
          </w:p>
        </w:tc>
      </w:tr>
      <w:tr>
        <w:trPr/>
        <w:tc>
          <w:tcPr>
            <w:tcW w:w="485" w:type="dxa"/>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65" w:type="dxa"/>
            <w:gridSpan w:val="2"/>
            <w:vMerge w:val="continue"/>
            <w:tcBorders>
              <w:bottom w:val="single" w:sz="8" w:space="0" w:color="000000"/>
            </w:tcBorders>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Shareholder</w:t>
              <w:br/>
              <w:t>Return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50" w:type="dxa"/>
            <w:gridSpan w:val="2"/>
            <w:vMerge w:val="continue"/>
            <w:tcBorders>
              <w:bottom w:val="single" w:sz="8" w:space="0" w:color="000000"/>
            </w:tcBorders>
            <w:vAlign w:val="center"/>
          </w:tcPr>
          <w:p>
            <w:pPr>
              <w:pStyle w:val="Normal"/>
              <w:bidi w:val="0"/>
              <w:jc w:val="left"/>
              <w:rPr/>
            </w:pPr>
            <w:r>
              <w:rPr/>
            </w:r>
          </w:p>
        </w:tc>
        <w:tc>
          <w:tcPr>
            <w:tcW w:w="155" w:type="dxa"/>
            <w:tcBorders/>
            <w:tcMar>
              <w:bottom w:w="0" w:type="dxa"/>
            </w:tcMar>
            <w:vAlign w:val="center"/>
          </w:tcPr>
          <w:p>
            <w:pPr>
              <w:pStyle w:val="TableContents"/>
              <w:bidi w:val="0"/>
              <w:spacing w:before="0" w:after="283"/>
              <w:jc w:val="center"/>
              <w:rPr/>
            </w:pPr>
            <w:r>
              <w:rPr/>
              <w:t> </w:t>
            </w:r>
          </w:p>
        </w:tc>
      </w:tr>
      <w:tr>
        <w:trPr/>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402,581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424,715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389,238</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(16,490</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516,529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2"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2"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(176,056</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222"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2" w:type="dxa"/>
            <w:tcBorders/>
            <w:tcMar>
              <w:bottom w:w="0" w:type="dxa"/>
            </w:tcMar>
            <w:vAlign w:val="center"/>
          </w:tcPr>
          <w:p>
            <w:pPr>
              <w:pStyle w:val="TableContents"/>
              <w:bidi w:val="0"/>
              <w:spacing w:before="0" w:after="283"/>
              <w:jc w:val="left"/>
              <w:rPr/>
            </w:pPr>
            <w:r>
              <w:rPr/>
              <w:t> </w:t>
            </w:r>
          </w:p>
        </w:tc>
        <w:tc>
          <w:tcPr>
            <w:tcW w:w="1043" w:type="dxa"/>
            <w:tcBorders/>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318,280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(319,681</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2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(28,029</w:t>
            </w:r>
          </w:p>
        </w:tc>
        <w:tc>
          <w:tcPr>
            <w:tcW w:w="1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1,246,956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643,455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59,375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341,629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567,861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669,260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(32,629</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pre14a_030"/>
      <w:bookmarkEnd w:id="32"/>
      <w:r>
        <w:rPr>
          <w:rFonts w:ascii="Times New Roman;Times;Serif" w:hAnsi="Times New Roman;Times;Serif"/>
          <w:b/>
          <w:i w:val="false"/>
          <w:caps w:val="false"/>
          <w:smallCaps w:val="false"/>
          <w:sz w:val="20"/>
        </w:rPr>
        <w:t>Relationship Between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2024, and 2023. The TSR amounts reported in the graph assume an initial fixed investment of $100.</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19725" cy="333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19725" cy="3333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86575" cy="3562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86575" cy="3562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pre14a_031"/>
      <w:bookmarkEnd w:id="33"/>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5,766,703 shares of Common Stock issued and outstanding as of the Record Date, and percentage of Series G Preferred Stock ownership is based on 4,000 shares of Series G Preferred Stock issued and outstanding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44"/>
        <w:gridCol w:w="90"/>
        <w:gridCol w:w="120"/>
        <w:gridCol w:w="979"/>
        <w:gridCol w:w="90"/>
        <w:gridCol w:w="90"/>
        <w:gridCol w:w="148"/>
        <w:gridCol w:w="847"/>
        <w:gridCol w:w="215"/>
        <w:gridCol w:w="90"/>
        <w:gridCol w:w="163"/>
        <w:gridCol w:w="937"/>
        <w:gridCol w:w="90"/>
        <w:gridCol w:w="90"/>
        <w:gridCol w:w="148"/>
        <w:gridCol w:w="847"/>
        <w:gridCol w:w="215"/>
        <w:gridCol w:w="90"/>
        <w:gridCol w:w="116"/>
        <w:gridCol w:w="533"/>
        <w:gridCol w:w="263"/>
      </w:tblGrid>
      <w:tr>
        <w:trPr/>
        <w:tc>
          <w:tcPr>
            <w:tcW w:w="404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w:t>
              <w:br/>
              <w:t>Owner(1)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Common</w:t>
              <w:br/>
              <w:t xml:space="preserve">Stock </w:t>
              <w:br/>
              <w:t xml:space="preserve">Beneficially </w:t>
              <w:br/>
              <w:t>Owned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 xml:space="preserve">of </w:t>
              <w:br/>
              <w:t>Class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 xml:space="preserve">Series G </w:t>
              <w:br/>
              <w:t xml:space="preserve">Preferred </w:t>
              <w:br/>
              <w:t xml:space="preserve">Stock </w:t>
              <w:br/>
              <w:t xml:space="preserve">Beneficially </w:t>
              <w:br/>
              <w:t>Owned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 xml:space="preserve">of </w:t>
              <w:br/>
              <w:t>Class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 xml:space="preserve">Voting </w:t>
              <w:br/>
              <w:t>Power</w:t>
            </w:r>
          </w:p>
        </w:tc>
        <w:tc>
          <w:tcPr>
            <w:tcW w:w="263"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7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33" w:type="dxa"/>
            <w:tcBorders/>
            <w:shd w:fill="CCEEFF" w:val="clear"/>
            <w:tcMar>
              <w:bottom w:w="0" w:type="dxa"/>
            </w:tcMar>
            <w:vAlign w:val="center"/>
          </w:tcPr>
          <w:p>
            <w:pPr>
              <w:pStyle w:val="TableContents"/>
              <w:bidi w:val="0"/>
              <w:spacing w:before="0" w:after="283"/>
              <w:jc w:val="right"/>
              <w:rPr/>
            </w:pPr>
            <w:r>
              <w:rPr/>
              <w:t> </w:t>
            </w:r>
          </w:p>
        </w:tc>
        <w:tc>
          <w:tcPr>
            <w:tcW w:w="26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Capital Investment Group, LLC</w:t>
            </w:r>
            <w:r>
              <w:rPr>
                <w:rFonts w:ascii="Times New Roman;Times;Serif" w:hAnsi="Times New Roman;Times;Serif"/>
                <w:b w:val="false"/>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69.38</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63"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Master Fund Ltd.</w:t>
            </w:r>
            <w:r>
              <w:rPr>
                <w:rFonts w:ascii="Times New Roman;Times;Serif" w:hAnsi="Times New Roman;Times;Serif"/>
                <w:b w:val="false"/>
                <w:i w:val="false"/>
                <w:caps w:val="false"/>
                <w:smallCaps w:val="false"/>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274,801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2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 INV I, LLC</w:t>
            </w:r>
            <w:r>
              <w:rPr>
                <w:rFonts w:ascii="Times New Roman;Times;Serif" w:hAnsi="Times New Roman;Times;Serif"/>
                <w:b w:val="false"/>
                <w:i w:val="false"/>
                <w:caps w:val="false"/>
                <w:smallCaps w:val="false"/>
                <w:position w:val="7"/>
                <w:sz w:val="16"/>
                <w:sz w:val="20"/>
              </w:rPr>
              <w:t>(4)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515,090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263"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CPC Pain &amp; Wellness SPV, LLC</w:t>
            </w:r>
            <w:r>
              <w:rPr>
                <w:rFonts w:ascii="Times New Roman;Times;Serif" w:hAnsi="Times New Roman;Times;Serif"/>
                <w:b w:val="false"/>
                <w:i w:val="false"/>
                <w:caps w:val="false"/>
                <w:smallCaps w:val="false"/>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2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and Directors</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7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847" w:type="dxa"/>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93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847" w:type="dxa"/>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533" w:type="dxa"/>
            <w:tcBorders/>
            <w:tcMar>
              <w:bottom w:w="0" w:type="dxa"/>
            </w:tcMar>
            <w:vAlign w:val="center"/>
          </w:tcPr>
          <w:p>
            <w:pPr>
              <w:pStyle w:val="TableContents"/>
              <w:bidi w:val="0"/>
              <w:spacing w:before="0" w:after="283"/>
              <w:jc w:val="right"/>
              <w:rPr/>
            </w:pPr>
            <w:r>
              <w:rPr/>
              <w:t> </w:t>
            </w:r>
          </w:p>
        </w:tc>
        <w:tc>
          <w:tcPr>
            <w:tcW w:w="263" w:type="dxa"/>
            <w:tcBorders/>
            <w:tcMar>
              <w:bottom w:w="0" w:type="dxa"/>
            </w:tcMar>
            <w:vAlign w:val="center"/>
          </w:tcPr>
          <w:p>
            <w:pPr>
              <w:pStyle w:val="TableContents"/>
              <w:bidi w:val="0"/>
              <w:spacing w:before="0" w:after="283"/>
              <w:ind w:left="0" w:right="0" w:hanging="180"/>
              <w:jc w:val="left"/>
              <w:rPr/>
            </w:pPr>
            <w:r>
              <w:rPr/>
              <w:t> </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3"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w:t>
            </w:r>
            <w:r>
              <w:rPr>
                <w:rFonts w:ascii="Times New Roman;Times;Serif" w:hAnsi="Times New Roman;Times;Serif"/>
                <w:b w:val="false"/>
                <w:i w:val="false"/>
                <w:caps w:val="false"/>
                <w:smallCaps w:val="false"/>
                <w:position w:val="7"/>
                <w:sz w:val="16"/>
                <w:sz w:val="20"/>
              </w:rPr>
              <w:t>(7)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3"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r>
              <w:rPr>
                <w:rFonts w:ascii="Times New Roman;Times;Serif" w:hAnsi="Times New Roman;Times;Serif"/>
                <w:b w:val="false"/>
                <w:i w:val="false"/>
                <w:caps w:val="false"/>
                <w:smallCaps w:val="false"/>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79,463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3"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w:t>
            </w:r>
            <w:r>
              <w:rPr>
                <w:rFonts w:ascii="Times New Roman;Times;Serif" w:hAnsi="Times New Roman;Times;Serif"/>
                <w:b w:val="false"/>
                <w:i w:val="false"/>
                <w:caps w:val="false"/>
                <w:smallCaps w:val="false"/>
                <w:position w:val="7"/>
                <w:sz w:val="16"/>
                <w:sz w:val="20"/>
              </w:rPr>
              <w:t>(9)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298,569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263"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w:t>
            </w:r>
            <w:r>
              <w:rPr>
                <w:rFonts w:ascii="Times New Roman;Times;Serif" w:hAnsi="Times New Roman;Times;Serif"/>
                <w:b w:val="false"/>
                <w:i w:val="false"/>
                <w:caps w:val="false"/>
                <w:smallCaps w:val="false"/>
                <w:position w:val="7"/>
                <w:sz w:val="16"/>
                <w:sz w:val="20"/>
              </w:rPr>
              <w:t>(10)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137,192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w:t>
            </w:r>
            <w:r>
              <w:rPr>
                <w:rFonts w:ascii="Times New Roman;Times;Serif" w:hAnsi="Times New Roman;Times;Serif"/>
                <w:b w:val="false"/>
                <w:i w:val="false"/>
                <w:caps w:val="false"/>
                <w:smallCaps w:val="false"/>
                <w:position w:val="7"/>
                <w:sz w:val="16"/>
                <w:sz w:val="20"/>
              </w:rPr>
              <w:t>(11)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159,457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263"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w:t>
            </w:r>
            <w:r>
              <w:rPr>
                <w:rFonts w:ascii="Times New Roman;Times;Serif" w:hAnsi="Times New Roman;Times;Serif"/>
                <w:b w:val="false"/>
                <w:i w:val="false"/>
                <w:caps w:val="false"/>
                <w:smallCaps w:val="false"/>
                <w:position w:val="7"/>
                <w:sz w:val="16"/>
                <w:sz w:val="20"/>
              </w:rPr>
              <w:t>(12)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160,049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263"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Omar A. Haynes</w:t>
            </w:r>
            <w:r>
              <w:rPr>
                <w:rFonts w:ascii="Times New Roman;Times;Serif" w:hAnsi="Times New Roman;Times;Serif"/>
                <w:b w:val="false"/>
                <w:i w:val="false"/>
                <w:caps w:val="false"/>
                <w:smallCaps w:val="false"/>
                <w:position w:val="7"/>
                <w:sz w:val="16"/>
                <w:sz w:val="20"/>
              </w:rPr>
              <w:t>(13)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263"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044"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executive officers as a group (6 persons)</w:t>
            </w:r>
            <w:r>
              <w:rPr>
                <w:rFonts w:ascii="Times New Roman;Times;Serif" w:hAnsi="Times New Roman;Times;Serif"/>
                <w:b/>
                <w:i w:val="false"/>
                <w:caps w:val="false"/>
                <w:smallCaps w:val="false"/>
                <w:position w:val="7"/>
                <w:sz w:val="16"/>
                <w:sz w:val="20"/>
              </w:rPr>
              <w:t>(14)</w:t>
            </w:r>
            <w:r>
              <w:rPr>
                <w:rFonts w:ascii="Times New Roman;Times;Serif" w:hAnsi="Times New Roman;Times;Serif"/>
                <w:b/>
                <w:i w:val="false"/>
                <w:caps w:val="false"/>
                <w:smallCaps w:val="false"/>
                <w:sz w:val="20"/>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843,980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2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5,756,703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287,259 votes, voting on an as-converted basis, pursuant to the terms of the Certificate of Designations.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276,313 shares of Common Stock issuable upon the conversion of shares of Series G Preferred Stock and (ii) Warrants to purchase up to an aggregate of 1,854,947 shares of Common Stock. The shares of Series G Preferred Stock and the Warrants held by ICIG are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28,791 shares of Common Stock, (ii) 246,010 shares of Common Stock issuable upon the conversion of shares of Series G Preferred Stock and (iii) Warrants to purchase up to an aggregate of 818,850 shares of Common Stock. The shares of Series G Preferred Stock and the Warrants held by IMF are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tc>
      </w:tr>
      <w:tr>
        <w:trPr/>
        <w:tc>
          <w:tcPr>
            <w:tcW w:w="236" w:type="dxa"/>
            <w:tcBorders/>
            <w:vAlign w:val="center"/>
          </w:tcPr>
          <w:p>
            <w:pPr>
              <w:pStyle w:val="TableContents"/>
              <w:bidi w:val="0"/>
              <w:spacing w:before="0" w:after="283"/>
              <w:jc w:val="both"/>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August 9, 2024, by XWEL INV I, LLC. XWEL INV I, LLC’s address is 400 Park Avenue, 4th Floor, New York, New York 10022.</w:t>
            </w:r>
          </w:p>
        </w:tc>
      </w:tr>
      <w:tr>
        <w:trPr/>
        <w:tc>
          <w:tcPr>
            <w:tcW w:w="236" w:type="dxa"/>
            <w:tcBorders/>
            <w:vAlign w:val="center"/>
          </w:tcPr>
          <w:p>
            <w:pPr>
              <w:pStyle w:val="TableContents"/>
              <w:bidi w:val="0"/>
              <w:spacing w:before="0" w:after="283"/>
              <w:jc w:val="both"/>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13D/A filed on August 13, 2024, by CPC Pain &amp; Wellness SPV, LLC (“CPC”). CPC’s address is 301 Edgewater Place, Suite 100 Wakefield, Massachusetts 01880.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2,058 shares of Common Stock and vested options to purchase an aggregate of 58,602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5,000 restricted stock units (“RSUs”) and vested options to purchase an aggregate of 13,750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31,130 shares of Common Stock and vested options to purchase 48,333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200,926 shares of Common Stock and vested options to purchase an aggregate of  97,643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90,698 shares of Common Stock and vested options to purchase an aggregate of  46,494 shares of Common Stock, which are exercisable within 60 days of the Record Date.</w:t>
            </w:r>
          </w:p>
        </w:tc>
      </w:tr>
      <w:tr>
        <w:trPr/>
        <w:tc>
          <w:tcPr>
            <w:tcW w:w="363" w:type="dxa"/>
            <w:tcBorders/>
            <w:vAlign w:val="center"/>
          </w:tcPr>
          <w:p>
            <w:pPr>
              <w:pStyle w:val="TableContents"/>
              <w:bidi w:val="0"/>
              <w:spacing w:before="0" w:after="283"/>
              <w:jc w:val="both"/>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107,407 shares of Common Stock and vested options to purchase an aggregate of 52,050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111,122 shares of Common Stock and vested options to purchase an aggregate of 48,927 shares of Common Stock, which are exercisable within 60 days of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395"/>
        <w:gridCol w:w="6725"/>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5,466 RSUs.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ind w:left="0" w:right="0" w:firstLine="15"/>
              <w:jc w:val="both"/>
              <w:rPr>
                <w:rFonts w:ascii="Times New Roman;Times;Serif" w:hAnsi="Times New Roman;Times;Serif"/>
                <w:sz w:val="20"/>
              </w:rPr>
            </w:pPr>
            <w:r>
              <w:rPr>
                <w:rFonts w:ascii="Times New Roman;Times;Serif" w:hAnsi="Times New Roman;Times;Serif"/>
                <w:sz w:val="20"/>
              </w:rPr>
              <w:t>(14)</w:t>
            </w:r>
          </w:p>
        </w:tc>
        <w:tc>
          <w:tcPr>
            <w:tcW w:w="9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See footnotes (6) through (13). Additionally reflects vested stock options to purchase up to an aggregate of 9,250 shares of Common Stock held by Thomas Ian Brown, who became Chief Financial Officer of the Company effective as of January 6, 2025.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pre14a_032"/>
      <w:bookmarkEnd w:id="34"/>
      <w:r>
        <w:rPr>
          <w:rFonts w:ascii="Times New Roman;Times;Serif" w:hAnsi="Times New Roman;Times;Serif"/>
          <w:b/>
          <w:i w:val="false"/>
          <w:caps w:val="false"/>
          <w:smallCaps w:val="false"/>
          <w:sz w:val="20"/>
        </w:rPr>
        <w:t>REPORT OF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which consists entirely of directors who meet the independence and experience requirements of the Nasdaq Capital Market, has furnished the following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Times;Serif" w:hAnsi="Times New Roman;Times;Serif"/>
          <w:b w:val="false"/>
          <w:i/>
          <w:caps w:val="false"/>
          <w:smallCaps w:val="false"/>
          <w:sz w:val="20"/>
        </w:rPr>
        <w:t>www.xwell.com/corporate-governance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2024, the Audit Committee took the following 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and discussed the audited financial statements for the fiscal year ended December 31, 2024, with management and Marcum, our independent registered public accounting firm;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Discussed with Marcum the matters required to be discussed by the applicable requirements of the Public Company Accounting Oversight Board (“PCAOB”) and the SEC;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written disclosures and the letter from Marcum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Marcum, the Audit Committee recommended to the Board that the audited financial statements be included in our 2024 Annual Report,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 (Chairman)</w:t>
        <w:br/>
        <w:t>Bruce T. Bernstein</w:t>
        <w:br/>
        <w:t>Gaëlle Wizenberg</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e14a_033"/>
      <w:bookmarkEnd w:id="35"/>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Approval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pre14a_034"/>
      <w:bookmarkEnd w:id="3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pre14a_035"/>
      <w:bookmarkEnd w:id="3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You may also find our SEC filings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pre14a_036"/>
      <w:bookmarkEnd w:id="38"/>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stockholders share an address, we may send a single copy of the 2024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2024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2024 Annual Report, this Proxy Statement, the Notice of Internet Availability of Proxy Materials or other proxy materials, such stockholders may make such request to our Corporate Secretary at the same address or telephone number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pre14a_037"/>
      <w:bookmarkEnd w:id="39"/>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pre14a_038"/>
      <w:bookmarkEnd w:id="40"/>
      <w:r>
        <w:rPr>
          <w:rFonts w:ascii="Times New Roman;Times;Serif" w:hAnsi="Times New Roman;Times;Serif"/>
          <w:b/>
          <w:i w:val="false"/>
          <w:caps w:val="false"/>
          <w:smallCaps w:val="false"/>
          <w:sz w:val="20"/>
        </w:rPr>
        <w:t>SUBMISSION OF STOCKHOLDER PROPOSALS AND DIRECTOR NOMINATIONS AT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intends to submit a proposal at the 2026 Annual Meeting to be included in the Company’s proxy statement and form of proxy for the 2026 Annual Meeting in accordance with Rule 14a-8 under the Exchange Act must submit the proposal no later than April 10, 2026, in writing to our corporate offices as follows, XWELL, Inc., 254 West 31st Street, 11th Floor, New York, New York 10001, Attention: Lauren Deutsch, General Counsel. Such proposal must comply with Rule 14a-8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Bylaws, a stockholder who intends to submit a proposal at the 2026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2026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September 19, 2026, and no later than October 19, 2026.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September 19, 2026.</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1" w:name="pre14a_039"/>
      <w:bookmarkEnd w:id="41"/>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Board Classification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br/>
        <w:t>OF</w:t>
        <w:br/>
        <w:t>AMENDED AND RESTATED CERTIFICATE OF INCORPORATION</w:t>
        <w:br/>
        <w:t>OF</w:t>
        <w:b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Section 242 of the General Corporation Law of the State of Delaware, XWELL, Inc., a corporation organized and existing under the laws of the State of Delaware (the “</w:t>
      </w:r>
      <w:r>
        <w:rPr>
          <w:rFonts w:ascii="Times New Roman;Times;Serif" w:hAnsi="Times New Roman;Times;Serif"/>
          <w:b w:val="false"/>
          <w:i w:val="false"/>
          <w:caps w:val="false"/>
          <w:smallCaps w:val="false"/>
          <w:color w:val="231F20"/>
          <w:sz w:val="20"/>
          <w:u w:val="single"/>
        </w:rPr>
        <w:t>Corporation</w:t>
      </w:r>
      <w:r>
        <w:rPr>
          <w:rFonts w:ascii="Times New Roman;Times;Serif" w:hAnsi="Times New Roman;Times;Serif"/>
          <w:b w:val="false"/>
          <w:i w:val="false"/>
          <w:caps w:val="false"/>
          <w:smallCaps w:val="false"/>
          <w:color w:val="231F20"/>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 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as further amended by filing a Certificate of Amendment to Amended and Restated Certificate of Incorporation on September 26, 2023 (collectively, the “</w:t>
      </w:r>
      <w:r>
        <w:rPr>
          <w:rFonts w:ascii="Times New Roman;Times;Serif" w:hAnsi="Times New Roman;Times;Serif"/>
          <w:b w:val="false"/>
          <w:i w:val="false"/>
          <w:caps w:val="false"/>
          <w:smallCaps w:val="false"/>
          <w:color w:val="231F20"/>
          <w:sz w:val="20"/>
          <w:u w:val="single"/>
        </w:rPr>
        <w:t>Amended and Restated Certificate of Incorporation</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 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Times;Serif" w:hAnsi="Times New Roman;Times;Serif"/>
          <w:b w:val="false"/>
          <w:i w:val="false"/>
          <w:caps w:val="false"/>
          <w:smallCaps w:val="false"/>
          <w:color w:val="231F20"/>
          <w:sz w:val="20"/>
          <w:u w:val="single"/>
        </w:rPr>
        <w:t>Certificate of Amendment</w:t>
      </w:r>
      <w:r>
        <w:rPr>
          <w:rFonts w:ascii="Times New Roman;Times;Serif" w:hAnsi="Times New Roman;Times;Serif"/>
          <w:b w:val="false"/>
          <w:i w:val="false"/>
          <w:caps w:val="false"/>
          <w:smallCaps w:val="false"/>
          <w:color w:val="231F20"/>
          <w:sz w:val="20"/>
        </w:rPr>
        <w:t>”) to be advisable. The requisite stockholders of the Corporation have duly approved said proposed amendment in accordance with Section 242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Article V of the Corporation’s Amended and Restated Certificate of Incorporation is hereby amended by adding the following Section 4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Classification of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on [●], 2025 at 5:00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by its Chief Executive Officer on this [●], 2025.</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105"/>
        <w:gridCol w:w="2510"/>
      </w:tblGrid>
      <w:tr>
        <w:trPr/>
        <w:tc>
          <w:tcPr>
            <w:tcW w:w="105" w:type="dxa"/>
            <w:tcBorders/>
            <w:vAlign w:val="center"/>
          </w:tcPr>
          <w:p>
            <w:pPr>
              <w:pStyle w:val="TableContents"/>
              <w:bidi w:val="0"/>
              <w:spacing w:before="0" w:after="283"/>
              <w:jc w:val="left"/>
              <w:rPr/>
            </w:pPr>
            <w:r>
              <w:rPr/>
              <w:t> </w:t>
            </w:r>
          </w:p>
        </w:tc>
        <w:tc>
          <w:tcPr>
            <w:tcW w:w="25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Ezra T. Ernst</w:t>
            </w:r>
          </w:p>
        </w:tc>
      </w:tr>
      <w:tr>
        <w:trPr/>
        <w:tc>
          <w:tcPr>
            <w:tcW w:w="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105"/>
        <w:gridCol w:w="425"/>
        <w:gridCol w:w="135"/>
      </w:tblGrid>
      <w:tr>
        <w:trPr/>
        <w:tc>
          <w:tcPr>
            <w:tcW w:w="10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A-1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2" w:name="pre14a_040"/>
      <w:bookmarkEnd w:id="42"/>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Bylaws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D0D0D"/>
          <w:sz w:val="20"/>
        </w:rPr>
        <w:t xml:space="preserve">Amendment to the THIRD </w:t>
      </w:r>
      <w:r>
        <w:rPr>
          <w:rFonts w:ascii="Times New Roman;Times;Serif" w:hAnsi="Times New Roman;Times;Serif"/>
          <w:b/>
          <w:i w:val="false"/>
          <w:caps/>
          <w:sz w:val="20"/>
        </w:rPr>
        <w:t xml:space="preserve">Amended and Restated </w:t>
      </w:r>
      <w:r>
        <w:rPr>
          <w:rFonts w:ascii="Times New Roman;Times;Serif" w:hAnsi="Times New Roman;Times;Serif"/>
          <w:b/>
          <w:i w:val="false"/>
          <w:caps/>
          <w:color w:val="0D0D0D"/>
          <w:sz w:val="20"/>
        </w:rPr>
        <w:t>Bylaws</w:t>
        <w:br/>
        <w:t>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VII, Section 1 of the of the Amended and Restated Certificate of Incorporation of XWELL,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Article X of the Third Amended and Restated Bylaws of the Company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Section 109 of the General Corporation Law of the State of Delaware, on the date hereof, the Bylaws of the Company are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Election, Qualification and Term of Office of Directors is hereby amended by adding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this amendment to the Bylaws of the Company is executed on [●], 2025.</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35"/>
        <w:gridCol w:w="1970"/>
        <w:gridCol w:w="135"/>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105"/>
        <w:gridCol w:w="410"/>
        <w:gridCol w:w="135"/>
      </w:tblGrid>
      <w:tr>
        <w:trPr/>
        <w:tc>
          <w:tcPr>
            <w:tcW w:w="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B-1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3" w:name="pre14a_041"/>
      <w:bookmarkEnd w:id="43"/>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Reverse Stock Split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 XWELL, Inc., a corporation organized and existing under the laws of the State of Delaware (the “Corporation”),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Article IV of the Corporation’s Amended and Restated Certificate of Incorporation is hereby amended and restated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 Upon the effectiveness of the filing of this Certificate of Amendment (the “Effective Time”) each share of the Corporation’s common stock, $0.01 par value per share (the “Old Common Stock”), either issued or outstanding or held by the Corporation as treasury stock, immediately prior to the Effective Time, will be automatically reclassified and combined (without any further act) into a smaller number of shares such that each [●] shares of Old Common Stock issued and outstanding or held by the Company as treasury stock immediately prior to the Effective Time is reclassified into one share of Common Stock, $0.01 par value per share, of the Corporation (the “New Common Stock”), the exact ratio within such range to be determined by the board of directors of the Corporation prior to the Effective Time and publicly announced by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following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105"/>
        <w:gridCol w:w="410"/>
        <w:gridCol w:w="135"/>
      </w:tblGrid>
      <w:tr>
        <w:trPr/>
        <w:tc>
          <w:tcPr>
            <w:tcW w:w="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C-1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on [●] at [●]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by its Chief Executive Officer on this [●] day of [●], [●].</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35"/>
        <w:gridCol w:w="1970"/>
        <w:gridCol w:w="135"/>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13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105"/>
        <w:gridCol w:w="410"/>
        <w:gridCol w:w="135"/>
      </w:tblGrid>
      <w:tr>
        <w:trPr/>
        <w:tc>
          <w:tcPr>
            <w:tcW w:w="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C-2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805" w:type="dxa"/>
        <w:jc w:val="center"/>
        <w:tblInd w:w="0" w:type="dxa"/>
        <w:tblLayout w:type="fixed"/>
        <w:tblCellMar>
          <w:top w:w="0" w:type="dxa"/>
          <w:left w:w="0" w:type="dxa"/>
          <w:bottom w:w="0" w:type="dxa"/>
          <w:right w:w="0" w:type="dxa"/>
        </w:tblCellMar>
      </w:tblPr>
      <w:tblGrid>
        <w:gridCol w:w="12765"/>
        <w:gridCol w:w="1040"/>
      </w:tblGrid>
      <w:tr>
        <w:trPr/>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0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NAME &amp; ADDRESS HERE BARCODE HERE PLEASE DETACH ALONG PERFORATED LINE AND MAIL IN THE ENVELOPE PROVIDED. NAME &amp; ADDRESS HERE CONTROL NUMBER Address Change: (If you noted any Address Changes above, please mark box.) ☐ XWELL, INC. 2025 ANNUAL MEETING OF STOCKHOLDERS DECEMBER 18, 2025 AT 10:00 a.m. EASTERN TIME THIS PROXY IS SOLICITED ON BEHALF OF THE BOARD OF DIRECTORS OF XWELL, INC. The undersigned hereby appoints Bruce T. Bernstein and Ezra Ernst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2025 annual meeting of stockholders (including any adjournment, postponement or rescheduling thereof, the “Annual Meeting”) to be held at 10:00 a.m. Eastern Time on December 18, 2025. If properly executed, this proxy will be voted as directed on the reverse and in the discretion of the herein Named Proxies or their substitutes with respect to any other matters as may properly come before the Annual Meeting that are unknown to the Company a reasonable time before this solicitation to the extent authorized by Rule 14a-4(c) under the Securities Exchange Act of 1934, as amended. The Annual Meeting will be held in a virtual meeting format only, via live audio webcast on the Internet. In order to attend the Annual Meeting, you must pre-register at https://web.viewproxy.com/XWELL/2025 by 11:59 p.m. Eastern Time on December 15, 2025. Further instructions on how to attend and vote during the Annual Meeting are contained in the Proxy Statement in the section titled “Important Information About the Annual Meeting and Voting.” THE SHARES REPRESENTED BY THIS PROXY, WHEN PROPERLY EXECUTED, WILL BE VOTED AS DIRECTED ON THE REVERSE SIDE HEREOF. THE NAMED PROXIES WILL ALSO EXERCISE THEIR DISCRETION ON ANY OTHER MATTERS THAT MAY PROPERLY COME BEFORE THE ANNUAL MEETING, SUBJECT TO APPLICABLE LAW. IF NO DIRECTION IS INDICATED WITH RESPECT TO ANY OF THE PROPOSALS ON THE REVERSE SIDE, THIS PROXY WILL BE VOTED “FOR” THE DIRECTORS IN ITEM 1, “FOR” EACH OF ITEMS 2, 3, 5, 6, 7 AND 8, AND “3-YEARS” ON ITEM 4. THE NAMED PROXIES WILL VOTE IN THEIR DISCRETION ON ANY OTHER MATTERS THAT MAY PROPERLY COME BEFORE THE ANNUAL MEETING TO THE EXTENT AUTHORIZED BY RULE 14a-4(c). Signature _____________________________________________________ Date _________________________________________________________ Title __________________________________________________________ Signature (Joint Owners) ______________________________________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 PROXY VOTING INSTRUCTIONS Please have your 11-digit control number ready when voting by Internet or Telephone. Vote Your Proxy on the Internet: Go to https://AALvote.com/XWEL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CONTROL NUMBER As a stockholder of XWELL,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December 17, 2025. </w:t>
            </w:r>
          </w:p>
        </w:tc>
      </w:tr>
    </w:tbl>
    <w:tbl>
      <w:tblPr>
        <w:tblW w:w="13040" w:type="dxa"/>
        <w:jc w:val="center"/>
        <w:tblInd w:w="0" w:type="dxa"/>
        <w:tblLayout w:type="fixed"/>
        <w:tblCellMar>
          <w:top w:w="0" w:type="dxa"/>
          <w:left w:w="0" w:type="dxa"/>
          <w:bottom w:w="0" w:type="dxa"/>
          <w:right w:w="0" w:type="dxa"/>
        </w:tblCellMar>
      </w:tblPr>
      <w:tblGrid>
        <w:gridCol w:w="12765"/>
        <w:gridCol w:w="275"/>
      </w:tblGrid>
      <w:tr>
        <w:trPr/>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PLEASE DETACH ALONG PERFORATED LINE AND MAIL IN THE ENVELOPE PROVIDED. Important Notice Regarding the Availability of Proxy Materials for the Annual Meeting of Stockholders to be held on December 18, 2025: The Proxy Statement is available at: https://web.viewproxy.com/XWELL/2025 When properly executed, your proxy card/voting instruction form will be voted in the manner you direct. If you do not specify your choices, your shares will be voted “FOR” all the nominees listed in Item 1, “FOR” Items 2, 3, 5, 6, 7 and 8, and “3-YEARS” on Item 4. Your Board of Directors recommends a vote “FOR” all the nominees listed in Item 1. Please mark your votes like this 1. ELECTION OF DIRECTORS: FOR WITHHOLD (a) Ezra Ernst ☐ ☐ (b) Bruce T. Bernstein ☐ ☐ (c) Robert Weinstein ☐ ☐ (d) Gaëlle Wizenberg ☐ ☐ (e) Michael Lebowitz ☐ ☐ Your Board of Directors recommends a vote “FOR” Items 2, 3, 5, 6, 7 and 8, and “3-YEARS” on Item 4. 2. To ratify the selection of CBIZ CPAs P.C. as the Company’s independent registered public accounting firm for the fiscal year ending December 31, 2025. FOR ☐ AGAINST ☐ ABSTAIN ☐ 3. To approve, on a non-binding advisory basis, the compensation of the Company’s named executive officers. FOR ☐ AGAINST ☐ ABSTAIN ☐ 4. To approve, on a non-binding advisory basis, the frequency of future nonbinding advisory votes of the stockholders’ approval of the executive compensation of the Company. 1-YEAR ☐ 2-YEARS ☐ 3-YEARS ☐ ABSTAIN ☐ 5. To approve an amendment to the Company’s Certificate of Incorporation to classify the Board into two classes, with the directors in each class to serve staggered two-year terms. FOR ☐ AGAINST ☐ ABSTAIN ☐ 6. To approve an amendment to the Company’s Certificate of Incorporation to effect, at the discretion of the Company’s Board but prior to the one-year anniversary the Reverse Stock Split is approved by the Company’s stockholders at the 2025 Annual Meeting, the Reverse Stock Split at a ratio in the range of 1:2 – 1:20, with such ratio to be determined by the Board in its discretion and as disclosed in a public announcement. FOR ☐ AGAINST ☐ ABSTAIN ☐ 7. To approve, for purposes of complying with Nasdaq Listing Rule 5635(d), the issuance of (A) any additional shares of our common stock, par value $0.01 per share (the “Common Stock”) underlying (i) shares of Series G Convertible Preferred Stock, par value $0.01 per share (as adjusted by that certain Certificate of Amendment, dated November 4, 2025, the “Series G Preferred Stock”), (ii) the amended and restated series A warrants to purchase shares of Common Stock (the “Amended and Restated Series A Warrants”), (iii) the amended and restated series B warrants to purchase shares of Common Stock (the “Amended and Restated Series B Warrants,” and together with the Amended and Restated Series A Warrants, the “Warrants”), and (B) shares of our Common Stock underlying the Senior Secured Convertible Notes (the “Notes”), in each case, issued by us pursuant to the terms of that certain Securities Exchange and Amendment Agreement, dated as of November 3, 2025, by and among us and the investors named therein (the “Exchange Agreement”),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FOR ☐ AGAINST ☐ ABSTAIN ☐ 8. To approve the adjournment of the 2025 Annual Meeting to a later date or dates, if necessary or appropriate, to permit further solicitation and vote of proxies in the event that there are insufficient votes for, or otherwise in connection with, the approval of any one or more of the foregoing proposals. FOR ☐ AGAINST ☐ ABSTAIN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37612</Words>
  <Characters>196918</Characters>
  <CharactersWithSpaces>235497</CharactersWithSpaces>
  <Paragraphs>3653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