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(State or other jurisdiction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96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of incorporation)</w:t>
            </w:r>
          </w:p>
        </w:tc>
        <w:tc>
          <w:tcPr>
            <w:tcW w:w="51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9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20" w:type="dxa"/>
            <w:vAlign w:val="bottom"/>
          </w:tcPr>
          <w:p>
            <w:pPr>
              <w:spacing w:after="0"/>
              <w:rPr>
                <w:sz w:val="24"/>
                <w:szCs w:val="24"/>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9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May 5, 2015, announcing certain financial results for the first fiscal quarter ended March 31, 2015.</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May 5, 2015.</w:t>
            </w:r>
          </w:p>
        </w:tc>
      </w:tr>
      <w:tr>
        <w:trPr>
          <w:trHeight w:val="850"/>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3"/>
          </w:tcPr>
          <w:p>
            <w:pPr>
              <w:ind w:left="2360"/>
              <w:spacing w:after="0"/>
              <w:rPr>
                <w:sz w:val="20"/>
                <w:szCs w:val="20"/>
                <w:color w:val="auto"/>
              </w:rPr>
            </w:pPr>
            <w:r>
              <w:rPr>
                <w:rFonts w:ascii="Arial" w:cs="Arial" w:eastAsia="Arial" w:hAnsi="Arial"/>
                <w:sz w:val="18"/>
                <w:szCs w:val="18"/>
                <w:b w:val="1"/>
                <w:bCs w:val="1"/>
                <w:color w:val="auto"/>
              </w:rPr>
              <w:t>VRINGO, INC.</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May 5, 2015</w:t>
            </w:r>
          </w:p>
        </w:tc>
        <w:tc>
          <w:tcPr>
            <w:tcW w:w="3240" w:type="dxa"/>
            <w:vAlign w:val="bottom"/>
            <w:gridSpan w:val="2"/>
          </w:tcPr>
          <w:p>
            <w:pPr>
              <w:ind w:left="2360"/>
              <w:spacing w:after="0"/>
              <w:rPr>
                <w:sz w:val="20"/>
                <w:szCs w:val="20"/>
                <w:color w:val="auto"/>
              </w:rPr>
            </w:pPr>
            <w:r>
              <w:rPr>
                <w:rFonts w:ascii="Arial" w:cs="Arial" w:eastAsia="Arial" w:hAnsi="Arial"/>
                <w:sz w:val="18"/>
                <w:szCs w:val="18"/>
                <w:color w:val="auto"/>
              </w:rPr>
              <w:t>By:</w:t>
            </w:r>
          </w:p>
        </w:tc>
        <w:tc>
          <w:tcPr>
            <w:tcW w:w="4480" w:type="dxa"/>
            <w:vAlign w:val="bottom"/>
          </w:tcPr>
          <w:p>
            <w:pPr>
              <w:ind w:left="120"/>
              <w:spacing w:after="0"/>
              <w:rPr>
                <w:sz w:val="20"/>
                <w:szCs w:val="20"/>
                <w:color w:val="auto"/>
              </w:rPr>
            </w:pPr>
            <w:r>
              <w:rPr>
                <w:rFonts w:ascii="Arial" w:cs="Arial" w:eastAsia="Arial" w:hAnsi="Arial"/>
                <w:sz w:val="18"/>
                <w:szCs w:val="18"/>
                <w:color w:val="auto"/>
              </w:rPr>
              <w:t>/s/ Andrew D. Perlman</w:t>
            </w:r>
          </w:p>
        </w:tc>
      </w:tr>
      <w:tr>
        <w:trPr>
          <w:trHeight w:val="195"/>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44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1297"/>
        </w:trPr>
        <w:tc>
          <w:tcPr>
            <w:tcW w:w="37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2015 FIRST QUARTER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May 5, 2015 — Vringo, Inc. (NASDAQ: VRNG),</w:t>
      </w:r>
      <w:r>
        <w:rPr>
          <w:rFonts w:ascii="Arial" w:cs="Arial" w:eastAsia="Arial" w:hAnsi="Arial"/>
          <w:sz w:val="18"/>
          <w:szCs w:val="18"/>
          <w:color w:val="auto"/>
        </w:rPr>
        <w:t xml:space="preserve"> a company engaged in the innovation, development and monetization of intellectual property, </w:t>
      </w:r>
      <w:r>
        <w:rPr>
          <w:rFonts w:ascii="Arial" w:cs="Arial" w:eastAsia="Arial" w:hAnsi="Arial"/>
          <w:sz w:val="18"/>
          <w:szCs w:val="18"/>
          <w:color w:val="181818"/>
        </w:rPr>
        <w:t>today announced</w:t>
      </w:r>
      <w:r>
        <w:rPr>
          <w:rFonts w:ascii="Arial" w:cs="Arial" w:eastAsia="Arial" w:hAnsi="Arial"/>
          <w:sz w:val="18"/>
          <w:szCs w:val="18"/>
          <w:color w:val="auto"/>
        </w:rPr>
        <w:t xml:space="preserve"> operating results for the quarter ended March 31, 2015 and filed with the Securities and Exchange Commission its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March 31, 2015 and Subsequent Events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4, 2015, we entered into a securities purchase agreement with certain institutional investors (“the Investors”), in a registered direct offering of Senior Secured Convertible Notes (“Notes”) and warrants to purchase shares of our common stock. On that date, we issued $12.5 million of Notes to the Investors, which are convertible into shares of our common stock at $1.00 per share, bear 8% interest and mature in 21 months, unless earlier converted. The Notes may be repaid, at Vringo's election, in either cash or, subject to certain conditions, shares of the company's common stock at a discount to the then-current market price. In addition, we issued the Investors approximately 5.4 million warrants to purchase shares of our common stock, which are exercisable at $1.00 per share and are exercisable for a period of five years. In connection with the issuance of the Notes and warrants, we received net cash proceeds of $12.4 million.</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balance as of May 5, 2015 is approximately $23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2015, we had approximately $14.3 million in cash and court deposits.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quarter ended March 31, 2015, our average monthly cash used in operating activities was approximately $1.2 million compared to approximately $2.8 million during the quarter ended March 31, 2014, a decrease of approximately 57%.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$7.0 million (including non-cash expenses) for the quarter ended March 31, 2015, mainly attributable to the following:</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Operating legal costs of $2.8 million in connection with ongoing litigations against ZTE Corporation, ASUSTeK Computer, Inc., and certain of their affiliates and customers, and other planned enforcements of our intellectual property, net of legal fee reimbursements received of $1.0 million;</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General and administrative expenses of $1.2 million;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expenses of $3.1 million mainly related to equity-based compensation costs and amortization of our patents.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per share basis, our total net loss from continuing operations was $0.07 per basic and diluted share for the quarter ended March 31, 2015, compared to a net loss of $0.13 per basic and diluted share for the quarter ended March 31,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anticipate that approximately 13.2 million publicly traded and privately held warrants exercisable at $5.06 per share will expire in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2019-12-08T20:35:40Z</dcterms:created>
  <dcterms:modified xsi:type="dcterms:W3CDTF">2019-12-08T20:35:40Z</dcterms:modified>
</cp:coreProperties>
</file>