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June 20,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Attention:</w:t>
        <w:tab/>
        <w:t>Cara Wirth</w:t>
      </w:r>
    </w:p>
    <w:p>
      <w:pPr>
        <w:spacing w:after="0" w:line="2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Mara Ransom</w:t>
      </w:r>
    </w:p>
    <w:p>
      <w:pPr>
        <w:sectPr>
          <w:pgSz w:w="11900" w:h="16838" w:orient="portrait"/>
          <w:cols w:equalWidth="0" w:num="1">
            <w:col w:w="11240"/>
          </w:cols>
          <w:pgMar w:left="320" w:top="445" w:right="339" w:bottom="1440" w:gutter="0" w:footer="0" w:header="0"/>
        </w:sectPr>
      </w:pP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2 to Registration Statement on Form S-3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June 3,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333-284768</w:t>
      </w:r>
    </w:p>
    <w:p>
      <w:pPr>
        <w:spacing w:after="0" w:line="200" w:lineRule="exact"/>
        <w:rPr>
          <w:sz w:val="24"/>
          <w:szCs w:val="24"/>
          <w:color w:val="auto"/>
        </w:rPr>
      </w:pPr>
    </w:p>
    <w:p>
      <w:pPr>
        <w:sectPr>
          <w:pgSz w:w="11900" w:h="16838" w:orient="portrait"/>
          <w:cols w:equalWidth="0" w:num="2">
            <w:col w:w="920" w:space="380"/>
            <w:col w:w="9940"/>
          </w:cols>
          <w:pgMar w:left="320" w:top="445"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XWELL,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hereby transmits the Company’s response to the letter, dated June 13, 2025 (the “</w:t>
      </w:r>
      <w:r>
        <w:rPr>
          <w:rFonts w:ascii="Times New Roman" w:cs="Times New Roman" w:eastAsia="Times New Roman" w:hAnsi="Times New Roman"/>
          <w:sz w:val="18"/>
          <w:szCs w:val="18"/>
          <w:b w:val="1"/>
          <w:bCs w:val="1"/>
          <w:color w:val="auto"/>
        </w:rPr>
        <w:t>Comment Letter</w:t>
      </w:r>
      <w:r>
        <w:rPr>
          <w:rFonts w:ascii="Times New Roman" w:cs="Times New Roman" w:eastAsia="Times New Roman" w:hAnsi="Times New Roman"/>
          <w:sz w:val="18"/>
          <w:szCs w:val="18"/>
          <w:color w:val="auto"/>
        </w:rPr>
        <w:t>”),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regarding Amendment No. 2 to the Registration Statement on Form S-3 (“</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and the registration statement on Form S-3,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submitted by the Company with the Commission on June 3, 2025. Concurrently with this response letter, the Company is submitting with the Commission Amendment No. 3 to the Registration Statement (the “</w:t>
      </w:r>
      <w:r>
        <w:rPr>
          <w:rFonts w:ascii="Times New Roman" w:cs="Times New Roman" w:eastAsia="Times New Roman" w:hAnsi="Times New Roman"/>
          <w:sz w:val="18"/>
          <w:szCs w:val="18"/>
          <w:b w:val="1"/>
          <w:bCs w:val="1"/>
          <w:color w:val="auto"/>
        </w:rPr>
        <w:t>Amendment No. 3</w:t>
      </w:r>
      <w:r>
        <w:rPr>
          <w:rFonts w:ascii="Times New Roman" w:cs="Times New Roman" w:eastAsia="Times New Roman" w:hAnsi="Times New Roman"/>
          <w:sz w:val="18"/>
          <w:szCs w:val="18"/>
          <w:color w:val="auto"/>
        </w:rPr>
        <w:t>”), which has been revised to reflect the Company’s responses to the Staff’s comments set forth in the Comment Letter as well as address additional updates due to the passage of time since the filing of Amendment No. 2.</w:t>
      </w:r>
    </w:p>
    <w:p>
      <w:pPr>
        <w:spacing w:after="0" w:line="186"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ease of review, we have set forth below each of the numbered comments in the Comment Letter in italics, followed by the Company’s responses thereto. Unless otherwise indicated, capitalized terms used herein have the meanings assigned to them in Amendment No. 3.</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2 to Registration Statement on Form S-3 filed June 3, 2025</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205" w:lineRule="exact"/>
        <w:rPr>
          <w:sz w:val="24"/>
          <w:szCs w:val="24"/>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prospectus cover page to further explain how you calculated the 32,703,889 shares of common stock that you are registering here. Your revisions should explain the calculations for each of the Preferred Shares, Warrants, and Dividend Shares. With respect to Preferred Shares, please also revise to include the floor price of $0.167 and acknowledge that the first issuance of such shares could occur as soon as July 1, 2025.</w:t>
      </w:r>
    </w:p>
    <w:p>
      <w:pPr>
        <w:spacing w:after="0" w:line="182"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it has revised the cover page to reflect (i) the calculations for each of the Preferred Shares, Warrants and Dividend Shares, including the Floor Price of $0.167 with respect to the Preferred Shares and (ii) that the first issuance of the Dividend Shares could occur as soon as July 1, 2025.</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4"/>
          <w:szCs w:val="24"/>
          <w:color w:val="auto"/>
        </w:rPr>
      </w:pPr>
    </w:p>
    <w:p>
      <w:pPr>
        <w:ind w:right="4560"/>
        <w:spacing w:after="0" w:line="260" w:lineRule="auto"/>
        <w:rPr>
          <w:sz w:val="20"/>
          <w:szCs w:val="20"/>
          <w:color w:val="auto"/>
        </w:rPr>
      </w:pPr>
      <w:r>
        <w:rPr>
          <w:rFonts w:ascii="Times New Roman" w:cs="Times New Roman" w:eastAsia="Times New Roman" w:hAnsi="Times New Roman"/>
          <w:sz w:val="18"/>
          <w:szCs w:val="18"/>
          <w:u w:val="single" w:color="auto"/>
          <w:color w:val="auto"/>
        </w:rPr>
        <w:t>Substantial future sales or other issuances of our Common Stock could depress the market..., page 13</w:t>
      </w:r>
    </w:p>
    <w:p>
      <w:pPr>
        <w:spacing w:after="0" w:line="179" w:lineRule="exact"/>
        <w:rPr>
          <w:sz w:val="24"/>
          <w:szCs w:val="24"/>
          <w:color w:val="auto"/>
        </w:rPr>
      </w:pPr>
    </w:p>
    <w:p>
      <w:pPr>
        <w:jc w:val="both"/>
        <w:ind w:left="660" w:hanging="652"/>
        <w:spacing w:after="0" w:line="26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this risk factor to acknowledge that the issuance and sale of common stock in this offering is likely to further depress your stock price, which would make it more difficult to regain compliance with Nasdaq's Minimum Bid Price Rule and may also increase the likelihood that you implement a reverse stock split to remain listed on Nasdaq.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risk factor on page 13 to acknowledge that the issuance and sale of Common Stock in the offering is likely to further depress the Company’s stock price, which would make it more difficult to regain compliance with Nasdaq’s Minimum Bid Price Rule and that this may also increase the likelihood that the Company may implement a reverse stock split to remain listed on Nasdaq.</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Should the Staff have any questions concerning the enclosed matters, please contact the undersigned at 212- 750-9595.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Ezra T. Ernst President 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Alla Digilova, Esq., Haynes and Boone,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2025-07-29T23:12:25Z</dcterms:created>
  <dcterms:modified xsi:type="dcterms:W3CDTF">2025-07-29T23:12:25Z</dcterms:modified>
</cp:coreProperties>
</file>