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2"/>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274955</wp:posOffset>
            </wp:positionV>
            <wp:extent cx="714565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306070</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t>UNITED STATES</w:t>
      </w:r>
    </w:p>
    <w:p>
      <w:pPr>
        <w:spacing w:after="0" w:line="34" w:lineRule="exact"/>
        <w:rPr>
          <w:sz w:val="24"/>
          <w:szCs w:val="24"/>
          <w:color w:val="auto"/>
        </w:rPr>
      </w:pPr>
    </w:p>
    <w:p>
      <w:pPr>
        <w:jc w:val="center"/>
        <w:ind w:right="-1122"/>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3" w:lineRule="exact"/>
        <w:rPr>
          <w:sz w:val="24"/>
          <w:szCs w:val="24"/>
          <w:color w:val="auto"/>
        </w:rPr>
      </w:pPr>
    </w:p>
    <w:p>
      <w:pPr>
        <w:jc w:val="center"/>
        <w:ind w:right="-1102"/>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2"/>
        <w:spacing w:after="0"/>
        <w:rPr>
          <w:sz w:val="20"/>
          <w:szCs w:val="20"/>
          <w:color w:val="auto"/>
        </w:rPr>
      </w:pPr>
      <w:r>
        <w:rPr>
          <w:rFonts w:ascii="Times New Roman" w:cs="Times New Roman" w:eastAsia="Times New Roman" w:hAnsi="Times New Roman"/>
          <w:sz w:val="23"/>
          <w:szCs w:val="23"/>
          <w:b w:val="1"/>
          <w:bCs w:val="1"/>
          <w:color w:val="auto"/>
        </w:rPr>
        <w:t>SCHEDULE 14A INFORMATION</w:t>
      </w:r>
    </w:p>
    <w:p>
      <w:pPr>
        <w:spacing w:after="0" w:line="209" w:lineRule="exact"/>
        <w:rPr>
          <w:sz w:val="24"/>
          <w:szCs w:val="24"/>
          <w:color w:val="auto"/>
        </w:rPr>
      </w:pPr>
    </w:p>
    <w:p>
      <w:pPr>
        <w:jc w:val="center"/>
        <w:ind w:right="-1122"/>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27" w:lineRule="exact"/>
        <w:rPr>
          <w:sz w:val="24"/>
          <w:szCs w:val="24"/>
          <w:color w:val="auto"/>
        </w:rPr>
      </w:pPr>
    </w:p>
    <w:p>
      <w:pPr>
        <w:jc w:val="center"/>
        <w:ind w:right="-1102"/>
        <w:spacing w:after="0"/>
        <w:rPr>
          <w:sz w:val="20"/>
          <w:szCs w:val="20"/>
          <w:color w:val="auto"/>
        </w:rPr>
      </w:pPr>
      <w:r>
        <w:rPr>
          <w:rFonts w:ascii="Times New Roman" w:cs="Times New Roman" w:eastAsia="Times New Roman" w:hAnsi="Times New Roman"/>
          <w:sz w:val="16"/>
          <w:szCs w:val="16"/>
          <w:color w:val="auto"/>
        </w:rPr>
        <w:t>the Securities Exchange Act of 1934</w:t>
      </w:r>
    </w:p>
    <w:p>
      <w:pPr>
        <w:spacing w:after="0" w:line="11" w:lineRule="exact"/>
        <w:rPr>
          <w:sz w:val="24"/>
          <w:szCs w:val="24"/>
          <w:color w:val="auto"/>
        </w:rPr>
      </w:pPr>
    </w:p>
    <w:p>
      <w:pPr>
        <w:jc w:val="center"/>
        <w:ind w:right="-1102"/>
        <w:spacing w:after="0"/>
        <w:rPr>
          <w:sz w:val="20"/>
          <w:szCs w:val="20"/>
          <w:color w:val="auto"/>
        </w:rPr>
      </w:pPr>
      <w:r>
        <w:rPr>
          <w:rFonts w:ascii="Times New Roman" w:cs="Times New Roman" w:eastAsia="Times New Roman" w:hAnsi="Times New Roman"/>
          <w:sz w:val="16"/>
          <w:szCs w:val="16"/>
          <w:color w:val="auto"/>
        </w:rPr>
        <w:t>(Amendment No. )</w:t>
      </w:r>
    </w:p>
    <w:p>
      <w:pPr>
        <w:spacing w:after="0" w:line="155" w:lineRule="exact"/>
        <w:rPr>
          <w:sz w:val="24"/>
          <w:szCs w:val="24"/>
          <w:color w:val="auto"/>
        </w:rPr>
      </w:pPr>
    </w:p>
    <w:p>
      <w:pPr>
        <w:ind w:left="2"/>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59" w:lineRule="exact"/>
        <w:rPr>
          <w:sz w:val="24"/>
          <w:szCs w:val="24"/>
          <w:color w:val="auto"/>
        </w:rPr>
      </w:pPr>
    </w:p>
    <w:p>
      <w:pPr>
        <w:ind w:left="2"/>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5"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07" w:lineRule="exact"/>
        <w:rPr>
          <w:sz w:val="24"/>
          <w:szCs w:val="24"/>
          <w:color w:val="auto"/>
        </w:rPr>
      </w:pPr>
    </w:p>
    <w:p>
      <w:pPr>
        <w:ind w:left="182" w:hanging="182"/>
        <w:spacing w:after="0"/>
        <w:tabs>
          <w:tab w:leader="none" w:pos="1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29" w:lineRule="exact"/>
        <w:rPr>
          <w:rFonts w:ascii="MS PGothic" w:cs="MS PGothic" w:eastAsia="MS PGothic" w:hAnsi="MS PGothic"/>
          <w:sz w:val="16"/>
          <w:szCs w:val="16"/>
          <w:color w:val="auto"/>
        </w:rPr>
      </w:pPr>
    </w:p>
    <w:p>
      <w:pPr>
        <w:ind w:left="182" w:hanging="182"/>
        <w:spacing w:after="0"/>
        <w:tabs>
          <w:tab w:leader="none" w:pos="1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1" w:lineRule="exact"/>
        <w:rPr>
          <w:rFonts w:ascii="MS PGothic" w:cs="MS PGothic" w:eastAsia="MS PGothic" w:hAnsi="MS PGothic"/>
          <w:sz w:val="16"/>
          <w:szCs w:val="16"/>
          <w:color w:val="auto"/>
        </w:rPr>
      </w:pPr>
    </w:p>
    <w:p>
      <w:pPr>
        <w:ind w:left="2"/>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1" w:lineRule="exact"/>
        <w:rPr>
          <w:rFonts w:ascii="MS PGothic" w:cs="MS PGothic" w:eastAsia="MS PGothic" w:hAnsi="MS PGothic"/>
          <w:sz w:val="16"/>
          <w:szCs w:val="16"/>
          <w:color w:val="auto"/>
        </w:rPr>
      </w:pPr>
    </w:p>
    <w:p>
      <w:pPr>
        <w:ind w:left="182" w:hanging="182"/>
        <w:spacing w:after="0"/>
        <w:tabs>
          <w:tab w:leader="none" w:pos="1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1" w:lineRule="exact"/>
        <w:rPr>
          <w:rFonts w:ascii="MS PGothic" w:cs="MS PGothic" w:eastAsia="MS PGothic" w:hAnsi="MS PGothic"/>
          <w:sz w:val="16"/>
          <w:szCs w:val="16"/>
          <w:color w:val="auto"/>
        </w:rPr>
      </w:pPr>
    </w:p>
    <w:p>
      <w:pPr>
        <w:ind w:left="182" w:hanging="182"/>
        <w:spacing w:after="0"/>
        <w:tabs>
          <w:tab w:leader="none" w:pos="1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Rule 14a-12</w:t>
      </w:r>
    </w:p>
    <w:p>
      <w:pPr>
        <w:spacing w:after="0" w:line="163" w:lineRule="exact"/>
        <w:rPr>
          <w:sz w:val="24"/>
          <w:szCs w:val="24"/>
          <w:color w:val="auto"/>
        </w:rPr>
      </w:pPr>
    </w:p>
    <w:p>
      <w:pPr>
        <w:ind w:left="4662"/>
        <w:spacing w:after="0"/>
        <w:rPr>
          <w:sz w:val="20"/>
          <w:szCs w:val="20"/>
          <w:color w:val="auto"/>
        </w:rPr>
      </w:pPr>
      <w:r>
        <w:rPr>
          <w:rFonts w:ascii="Times New Roman" w:cs="Times New Roman" w:eastAsia="Times New Roman" w:hAnsi="Times New Roman"/>
          <w:sz w:val="29"/>
          <w:szCs w:val="29"/>
          <w:b w:val="1"/>
          <w:bCs w:val="1"/>
          <w:color w:val="auto"/>
        </w:rPr>
        <w:t>XWELL, INC.</w:t>
      </w:r>
    </w:p>
    <w:p>
      <w:pPr>
        <w:spacing w:after="0" w:line="41" w:lineRule="exact"/>
        <w:rPr>
          <w:sz w:val="24"/>
          <w:szCs w:val="24"/>
          <w:color w:val="auto"/>
        </w:rPr>
      </w:pPr>
    </w:p>
    <w:p>
      <w:pPr>
        <w:jc w:val="center"/>
        <w:ind w:right="-1102"/>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189" w:lineRule="exact"/>
        <w:rPr>
          <w:sz w:val="24"/>
          <w:szCs w:val="24"/>
          <w:color w:val="auto"/>
        </w:rPr>
      </w:pPr>
    </w:p>
    <w:p>
      <w:pPr>
        <w:ind w:left="3282"/>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7"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207" w:lineRule="exact"/>
        <w:rPr>
          <w:sz w:val="24"/>
          <w:szCs w:val="24"/>
          <w:color w:val="auto"/>
        </w:rPr>
      </w:pPr>
    </w:p>
    <w:p>
      <w:pPr>
        <w:ind w:left="182" w:hanging="182"/>
        <w:spacing w:after="0"/>
        <w:tabs>
          <w:tab w:leader="none" w:pos="18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3" w:lineRule="exact"/>
        <w:rPr>
          <w:sz w:val="24"/>
          <w:szCs w:val="24"/>
          <w:color w:val="auto"/>
        </w:rPr>
      </w:pPr>
    </w:p>
    <w:p>
      <w:pPr>
        <w:ind w:left="182" w:hanging="182"/>
        <w:spacing w:after="0"/>
        <w:tabs>
          <w:tab w:leader="none" w:pos="182"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7" w:lineRule="exact"/>
        <w:rPr>
          <w:rFonts w:ascii="MS PGothic" w:cs="MS PGothic" w:eastAsia="MS PGothic" w:hAnsi="MS PGothic"/>
          <w:sz w:val="16"/>
          <w:szCs w:val="16"/>
          <w:color w:val="auto"/>
        </w:rPr>
      </w:pPr>
    </w:p>
    <w:p>
      <w:pPr>
        <w:ind w:left="182" w:hanging="182"/>
        <w:spacing w:after="0"/>
        <w:tabs>
          <w:tab w:leader="none" w:pos="182"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145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714565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417830</wp:posOffset>
            </wp:positionV>
            <wp:extent cx="7145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0141"/>
          </w:cols>
          <w:pgMar w:left="318" w:top="66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2567940</wp:posOffset>
            </wp:positionH>
            <wp:positionV relativeFrom="page">
              <wp:posOffset>212725</wp:posOffset>
            </wp:positionV>
            <wp:extent cx="2389505" cy="504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89505" cy="504190"/>
                    </a:xfrm>
                    <a:prstGeom prst="rect">
                      <a:avLst/>
                    </a:prstGeom>
                    <a:noFill/>
                  </pic:spPr>
                </pic:pic>
              </a:graphicData>
            </a:graphic>
          </wp:anchor>
        </w:drawing>
        <w:t>254 West 31st Street, 11th Floor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August 8,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of XWELL, Inc.:</w:t>
      </w:r>
    </w:p>
    <w:p>
      <w:pPr>
        <w:spacing w:after="0" w:line="20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You are cordially invited to attend the annual meeting (the “Annual Meeting”) of the stockholders of XWELL, Inc. (the “Company”), to be conducted in a virtual format only via live audio webcast at 10:00 a.m. Eastern Time, on Tuesday, September 16, 2025.</w:t>
      </w:r>
    </w:p>
    <w:p>
      <w:pPr>
        <w:spacing w:after="0" w:line="14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 xml:space="preserve">In order to facilitate stockholder attendance and participation by enabling stockholders to participate from any location at no cost, this Annual Meeting will be conducted in a virtual format only. Stockholders will not be able to attend the Annual Meeting in person; however, stockholders of record will be able to participate, vote electronically and submit questions during the live webcast of the Annual Meeting by visiting </w:t>
      </w:r>
      <w:r>
        <w:rPr>
          <w:rFonts w:ascii="Times New Roman" w:cs="Times New Roman" w:eastAsia="Times New Roman" w:hAnsi="Times New Roman"/>
          <w:sz w:val="16"/>
          <w:szCs w:val="16"/>
          <w:i w:val="1"/>
          <w:iCs w:val="1"/>
          <w:color w:val="auto"/>
        </w:rPr>
        <w:t>https://web.viewproxy.com/XWELL/2025</w:t>
      </w:r>
      <w:r>
        <w:rPr>
          <w:rFonts w:ascii="Times New Roman" w:cs="Times New Roman" w:eastAsia="Times New Roman" w:hAnsi="Times New Roman"/>
          <w:sz w:val="16"/>
          <w:szCs w:val="16"/>
          <w:color w:val="auto"/>
        </w:rPr>
        <w:t xml:space="preserve"> and entering the 11-digit control number found on the enclosed proxy card or voting form. If you encounter any difficulties accessing the virtual Annual Meeting, please call the technical support number available on the virtual meeting page on the morning of the Annual Meeting.</w:t>
      </w:r>
    </w:p>
    <w:p>
      <w:pPr>
        <w:spacing w:after="0" w:line="16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Your vote is very important, regardless of the number of shares of our voting securities that you own. To vote your shares, you may use the enclosed proxy card, vote by telephone or over the Internet, or attend the meeting and vote in person.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Annual Meeting and vote in person. Failure to do so may result in your shares not being eligible to be voted by proxy at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behalf of the Board of Directors, I urge you to submit your proxy as soon as possible, even if you currently plan to attend the Annual Meeting virtually.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 you for your support of our Company. I look forward to seeing you at the virtual Annual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Ezra T. Ernst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35763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266065</wp:posOffset>
            </wp:positionV>
            <wp:extent cx="7145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355" w:right="319" w:bottom="1440" w:gutter="0" w:footer="0" w:header="0"/>
        </w:sectPr>
      </w:pPr>
    </w:p>
    <w:bookmarkStart w:id="2" w:name="page3"/>
    <w:bookmarkEnd w:id="2"/>
    <w:p>
      <w:pPr>
        <w:jc w:val="center"/>
        <w:ind w:right="-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2567940</wp:posOffset>
            </wp:positionH>
            <wp:positionV relativeFrom="page">
              <wp:posOffset>212725</wp:posOffset>
            </wp:positionV>
            <wp:extent cx="2389505" cy="504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89505" cy="504190"/>
                    </a:xfrm>
                    <a:prstGeom prst="rect">
                      <a:avLst/>
                    </a:prstGeom>
                    <a:noFill/>
                  </pic:spPr>
                </pic:pic>
              </a:graphicData>
            </a:graphic>
          </wp:anchor>
        </w:drawing>
        <w:t>254 West 31st Street, 11th Floor</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August </w:t>
      </w:r>
      <w:r>
        <w:rPr>
          <w:rFonts w:ascii="Times New Roman" w:cs="Times New Roman" w:eastAsia="Times New Roman" w:hAnsi="Times New Roman"/>
          <w:sz w:val="16"/>
          <w:szCs w:val="16"/>
          <w:color w:val="auto"/>
        </w:rPr>
        <w:t>8</w:t>
      </w:r>
      <w:r>
        <w:rPr>
          <w:rFonts w:ascii="Times New Roman" w:cs="Times New Roman" w:eastAsia="Times New Roman" w:hAnsi="Times New Roman"/>
          <w:sz w:val="16"/>
          <w:szCs w:val="16"/>
          <w:b w:val="1"/>
          <w:bCs w:val="1"/>
          <w:color w:val="auto"/>
        </w:rPr>
        <w:t>, 2025</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NOTICE OF 2025 ANNUAL MEETING OF STOCKHOLDERS</w:t>
      </w:r>
    </w:p>
    <w:p>
      <w:pPr>
        <w:spacing w:after="0" w:line="209"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Notice is hereby given to the holders of (i) the shares of common stock, par value $0.01 per share (the “Common Stock”) and (ii) the shares of Series G Preferred Stock, par value $0.01 per share (the “Series G Preferred Stock”) of XWELL, Inc. (the “Company”) of the Company’s 2025 annual meeting of stockholders (including any adjournment, postponement or rescheduling thereof, the “Annual Meeting”).</w:t>
      </w:r>
    </w:p>
    <w:p>
      <w:pPr>
        <w:spacing w:after="0" w:line="154" w:lineRule="exact"/>
        <w:rPr>
          <w:sz w:val="20"/>
          <w:szCs w:val="20"/>
          <w:color w:val="auto"/>
        </w:rPr>
      </w:pPr>
    </w:p>
    <w:p>
      <w:pPr>
        <w:ind w:left="2"/>
        <w:spacing w:after="0"/>
        <w:tabs>
          <w:tab w:leader="none" w:pos="702" w:val="left"/>
        </w:tabs>
        <w:rPr>
          <w:sz w:val="20"/>
          <w:szCs w:val="20"/>
          <w:color w:val="auto"/>
        </w:rPr>
      </w:pPr>
      <w:r>
        <w:rPr>
          <w:rFonts w:ascii="Times New Roman" w:cs="Times New Roman" w:eastAsia="Times New Roman" w:hAnsi="Times New Roman"/>
          <w:sz w:val="16"/>
          <w:szCs w:val="16"/>
          <w:b w:val="1"/>
          <w:bCs w:val="1"/>
          <w:color w:val="auto"/>
        </w:rPr>
        <w:t>DATE:</w:t>
      </w:r>
      <w:r>
        <w:rPr>
          <w:sz w:val="20"/>
          <w:szCs w:val="20"/>
          <w:color w:val="auto"/>
        </w:rPr>
        <w:tab/>
      </w:r>
      <w:r>
        <w:rPr>
          <w:rFonts w:ascii="Times New Roman" w:cs="Times New Roman" w:eastAsia="Times New Roman" w:hAnsi="Times New Roman"/>
          <w:sz w:val="16"/>
          <w:szCs w:val="16"/>
          <w:color w:val="auto"/>
        </w:rPr>
        <w:t>September 16, 2025</w:t>
      </w:r>
    </w:p>
    <w:p>
      <w:pPr>
        <w:spacing w:after="0" w:line="207" w:lineRule="exact"/>
        <w:rPr>
          <w:sz w:val="20"/>
          <w:szCs w:val="20"/>
          <w:color w:val="auto"/>
        </w:rPr>
      </w:pPr>
    </w:p>
    <w:p>
      <w:pPr>
        <w:ind w:left="2"/>
        <w:spacing w:after="0"/>
        <w:tabs>
          <w:tab w:leader="none" w:pos="702" w:val="left"/>
        </w:tabs>
        <w:rPr>
          <w:sz w:val="20"/>
          <w:szCs w:val="20"/>
          <w:color w:val="auto"/>
        </w:rPr>
      </w:pPr>
      <w:r>
        <w:rPr>
          <w:rFonts w:ascii="Times New Roman" w:cs="Times New Roman" w:eastAsia="Times New Roman" w:hAnsi="Times New Roman"/>
          <w:sz w:val="16"/>
          <w:szCs w:val="16"/>
          <w:b w:val="1"/>
          <w:bCs w:val="1"/>
          <w:color w:val="auto"/>
        </w:rPr>
        <w:t>TIME:</w:t>
      </w:r>
      <w:r>
        <w:rPr>
          <w:sz w:val="20"/>
          <w:szCs w:val="20"/>
          <w:color w:val="auto"/>
        </w:rPr>
        <w:tab/>
      </w:r>
      <w:r>
        <w:rPr>
          <w:rFonts w:ascii="Times New Roman" w:cs="Times New Roman" w:eastAsia="Times New Roman" w:hAnsi="Times New Roman"/>
          <w:sz w:val="16"/>
          <w:szCs w:val="16"/>
          <w:color w:val="auto"/>
        </w:rPr>
        <w:t>10:00 a.m. Eastern Time</w:t>
      </w:r>
    </w:p>
    <w:p>
      <w:pPr>
        <w:spacing w:after="0" w:line="207" w:lineRule="exact"/>
        <w:rPr>
          <w:sz w:val="20"/>
          <w:szCs w:val="20"/>
          <w:color w:val="auto"/>
        </w:rPr>
      </w:pPr>
    </w:p>
    <w:p>
      <w:pPr>
        <w:jc w:val="both"/>
        <w:ind w:left="722" w:right="20" w:hanging="7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ACCESS: </w:t>
      </w:r>
      <w:r>
        <w:rPr>
          <w:rFonts w:ascii="Times New Roman" w:cs="Times New Roman" w:eastAsia="Times New Roman" w:hAnsi="Times New Roman"/>
          <w:sz w:val="16"/>
          <w:szCs w:val="16"/>
          <w:color w:val="auto"/>
        </w:rPr>
        <w:t>The Annual Meeting will be held in a virtual meeting format only, via live audio webcast on the Internet. Stockholders will not be able to attend the Annual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Meeting in person. Stockholders will be able to attend the Annual Meeting by first pre-registering at </w:t>
      </w:r>
      <w:r>
        <w:rPr>
          <w:rFonts w:ascii="Times New Roman" w:cs="Times New Roman" w:eastAsia="Times New Roman" w:hAnsi="Times New Roman"/>
          <w:sz w:val="16"/>
          <w:szCs w:val="16"/>
          <w:i w:val="1"/>
          <w:iCs w:val="1"/>
          <w:u w:val="single" w:color="auto"/>
          <w:color w:val="auto"/>
        </w:rPr>
        <w:t>https://web.viewproxy.com/XWELL/2025</w:t>
      </w:r>
      <w:r>
        <w:rPr>
          <w:rFonts w:ascii="Times New Roman" w:cs="Times New Roman" w:eastAsia="Times New Roman" w:hAnsi="Times New Roman"/>
          <w:sz w:val="16"/>
          <w:szCs w:val="16"/>
          <w:color w:val="auto"/>
        </w:rPr>
        <w:t xml:space="preserve"> by 11:59 p.m. Eastern Time on September 13, 2025. You will receive a meeting invitation by email with your unique link, along with a password, prior to the meeting date. If you have any questions or require any assistance with pre-registering, please contact the Company’s proxy solicitor, Alliance Advisors, LLC (“Alliance”), by calling 866-612-8937 or by email at </w:t>
      </w:r>
      <w:r>
        <w:rPr>
          <w:rFonts w:ascii="Times New Roman" w:cs="Times New Roman" w:eastAsia="Times New Roman" w:hAnsi="Times New Roman"/>
          <w:sz w:val="16"/>
          <w:szCs w:val="16"/>
          <w:u w:val="single" w:color="auto"/>
          <w:color w:val="auto"/>
        </w:rPr>
        <w:t>VirtualMeeting@viewproxy.com</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PURPOSE</w:t>
      </w:r>
      <w:r>
        <w:rPr>
          <w:rFonts w:ascii="Times New Roman" w:cs="Times New Roman" w:eastAsia="Times New Roman" w:hAnsi="Times New Roman"/>
          <w:sz w:val="16"/>
          <w:szCs w:val="16"/>
          <w:color w:val="auto"/>
        </w:rPr>
        <w:t>: At the Annual Meeting, we will ask stockholders to consider the following proposals:</w:t>
      </w:r>
    </w:p>
    <w:p>
      <w:pPr>
        <w:spacing w:after="0" w:line="209" w:lineRule="exact"/>
        <w:rPr>
          <w:sz w:val="20"/>
          <w:szCs w:val="20"/>
          <w:color w:val="auto"/>
        </w:rPr>
      </w:pPr>
    </w:p>
    <w:p>
      <w:pPr>
        <w:ind w:left="322" w:right="20" w:hanging="322"/>
        <w:spacing w:after="0" w:line="290" w:lineRule="auto"/>
        <w:tabs>
          <w:tab w:leader="none" w:pos="32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Ezra Ernst, Bruce T. Bernstein, Robert Weinstein, Gaëlle Wizenberg and Michael Lebowitz to our Board of Directors (the “Board”), each to serve until the 2026 annual meeting of stockholders or until his or her respective successor is duly elected and qualified (the “Director Election Proposal”);</w:t>
      </w:r>
    </w:p>
    <w:p>
      <w:pPr>
        <w:spacing w:after="0" w:line="141" w:lineRule="exact"/>
        <w:rPr>
          <w:rFonts w:ascii="Times New Roman" w:cs="Times New Roman" w:eastAsia="Times New Roman" w:hAnsi="Times New Roman"/>
          <w:sz w:val="16"/>
          <w:szCs w:val="16"/>
          <w:color w:val="auto"/>
        </w:rPr>
      </w:pPr>
    </w:p>
    <w:p>
      <w:pPr>
        <w:ind w:left="322" w:right="20" w:hanging="322"/>
        <w:spacing w:after="0" w:line="290" w:lineRule="auto"/>
        <w:tabs>
          <w:tab w:leader="none" w:pos="32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CBIZ CPAs P.C. as our independent registered public accounting firm for the fiscal year ending December 31, 2025 (the “Auditor Ratification Proposal”);</w:t>
      </w:r>
    </w:p>
    <w:p>
      <w:pPr>
        <w:spacing w:after="0" w:line="141" w:lineRule="exact"/>
        <w:rPr>
          <w:rFonts w:ascii="Times New Roman" w:cs="Times New Roman" w:eastAsia="Times New Roman" w:hAnsi="Times New Roman"/>
          <w:sz w:val="16"/>
          <w:szCs w:val="16"/>
          <w:color w:val="auto"/>
        </w:rPr>
      </w:pPr>
    </w:p>
    <w:p>
      <w:pPr>
        <w:ind w:left="322" w:right="20" w:hanging="322"/>
        <w:spacing w:after="0" w:line="290" w:lineRule="auto"/>
        <w:tabs>
          <w:tab w:leader="none" w:pos="32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compensation of our named executive officers, as disclosed in the accompanying Proxy Statement (the “Say-on-Pay Proposal”);</w:t>
      </w:r>
    </w:p>
    <w:p>
      <w:pPr>
        <w:spacing w:after="0" w:line="141" w:lineRule="exact"/>
        <w:rPr>
          <w:rFonts w:ascii="Times New Roman" w:cs="Times New Roman" w:eastAsia="Times New Roman" w:hAnsi="Times New Roman"/>
          <w:sz w:val="16"/>
          <w:szCs w:val="16"/>
          <w:color w:val="auto"/>
        </w:rPr>
      </w:pPr>
    </w:p>
    <w:p>
      <w:pPr>
        <w:ind w:left="322" w:right="40" w:hanging="322"/>
        <w:spacing w:after="0" w:line="290" w:lineRule="auto"/>
        <w:tabs>
          <w:tab w:leader="none" w:pos="32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frequency of future nonbinding advisory votes of the stockholders’ approval of the executive compensation of the Company (the “Say-on-Frequency Proposal”);</w:t>
      </w:r>
    </w:p>
    <w:p>
      <w:pPr>
        <w:spacing w:after="0" w:line="141" w:lineRule="exact"/>
        <w:rPr>
          <w:rFonts w:ascii="Times New Roman" w:cs="Times New Roman" w:eastAsia="Times New Roman" w:hAnsi="Times New Roman"/>
          <w:sz w:val="16"/>
          <w:szCs w:val="16"/>
          <w:color w:val="auto"/>
        </w:rPr>
      </w:pPr>
    </w:p>
    <w:p>
      <w:pPr>
        <w:jc w:val="both"/>
        <w:ind w:left="322" w:right="20" w:hanging="322"/>
        <w:spacing w:after="0" w:line="272" w:lineRule="auto"/>
        <w:tabs>
          <w:tab w:leader="none" w:pos="32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“Board Classification Amendment”), substantially in the form attached hereto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to the Company’s Certificate of Incorporation (the “Certificate of Incorporation”) to classify the Board into two classes, with the directors in each class to serve staggered two-year terms (the “Board Classification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1456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1355" w:right="319" w:bottom="1440" w:gutter="0" w:footer="0" w:header="0"/>
        </w:sectPr>
      </w:pPr>
    </w:p>
    <w:bookmarkStart w:id="3" w:name="page4"/>
    <w:bookmarkEnd w:id="3"/>
    <w:p>
      <w:pPr>
        <w:jc w:val="both"/>
        <w:ind w:left="322" w:right="20" w:hanging="322"/>
        <w:spacing w:after="0" w:line="266" w:lineRule="auto"/>
        <w:tabs>
          <w:tab w:leader="none" w:pos="32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“Reverse Stock Split Amendment”), substantially in the form attached hereto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to the Company’s Certificate of Incorporation to effect, at the discretion of the Board but prior to the one-year anniversary of the reverse stock split (the “Reverse Stock Split”) is approved by the Company’s stockholders at the Annual Meeting, the Reverse Stock Split at a ratio in the range of 1-for-2 to 1-for-20, with such ratio to be determined by the Board in its discretion and included in a public announcement (the “Reverse Stock Split Proposal”);</w:t>
      </w:r>
    </w:p>
    <w:p>
      <w:pPr>
        <w:spacing w:after="0" w:line="161" w:lineRule="exact"/>
        <w:rPr>
          <w:rFonts w:ascii="Times New Roman" w:cs="Times New Roman" w:eastAsia="Times New Roman" w:hAnsi="Times New Roman"/>
          <w:sz w:val="16"/>
          <w:szCs w:val="16"/>
          <w:color w:val="auto"/>
        </w:rPr>
      </w:pPr>
    </w:p>
    <w:p>
      <w:pPr>
        <w:jc w:val="both"/>
        <w:ind w:left="322" w:right="280" w:hanging="322"/>
        <w:spacing w:after="0" w:line="290" w:lineRule="auto"/>
        <w:tabs>
          <w:tab w:leader="none" w:pos="32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w:t>
      </w:r>
    </w:p>
    <w:p>
      <w:pPr>
        <w:spacing w:after="0" w:line="141" w:lineRule="exact"/>
        <w:rPr>
          <w:rFonts w:ascii="Times New Roman" w:cs="Times New Roman" w:eastAsia="Times New Roman" w:hAnsi="Times New Roman"/>
          <w:sz w:val="16"/>
          <w:szCs w:val="16"/>
          <w:color w:val="auto"/>
        </w:rPr>
      </w:pPr>
    </w:p>
    <w:p>
      <w:pPr>
        <w:ind w:left="322" w:hanging="322"/>
        <w:spacing w:after="0"/>
        <w:tabs>
          <w:tab w:leader="none" w:pos="32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adjournments or postponements thereof.</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Stockholders may also consider and act upon such other matters as may properly come before the Annual Meeting.</w:t>
      </w:r>
    </w:p>
    <w:p>
      <w:pPr>
        <w:spacing w:after="0" w:line="207"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The foregoing items of business are more fully described in the Proxy Statement accompanying this Notice of Annual Meeting of Stockholders. Your vote is being solicited on behalf of the Board. The Board unanimously recommends stockholders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Director Election Proposal, the Auditor Ratification Proposal, the Say-on-Pay Proposal, the Board Classification Proposal, the Reverse Stock Split Proposal and the Adjournment Proposal, and “</w:t>
      </w:r>
      <w:r>
        <w:rPr>
          <w:rFonts w:ascii="Times New Roman" w:cs="Times New Roman" w:eastAsia="Times New Roman" w:hAnsi="Times New Roman"/>
          <w:sz w:val="16"/>
          <w:szCs w:val="16"/>
          <w:b w:val="1"/>
          <w:bCs w:val="1"/>
          <w:color w:val="auto"/>
        </w:rPr>
        <w:t>EVERY THREE YEARS</w:t>
      </w:r>
      <w:r>
        <w:rPr>
          <w:rFonts w:ascii="Times New Roman" w:cs="Times New Roman" w:eastAsia="Times New Roman" w:hAnsi="Times New Roman"/>
          <w:sz w:val="16"/>
          <w:szCs w:val="16"/>
          <w:color w:val="auto"/>
        </w:rPr>
        <w:t>” for the Say-on-Frequency Proposal on the enclosed Proxy Card. The Proxy Statement and the Proxy Card are first being made available to stockholders on or about August 8, 2025.</w:t>
      </w:r>
    </w:p>
    <w:p>
      <w:pPr>
        <w:spacing w:after="0" w:line="162"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Director Election Proposal, the Auditor Ratification Proposal, the Say-on-Pay Proposal, the Board Classification Proposal, the Reverse Stock Split Proposal and the Adjournment Proposal, and “</w:t>
      </w:r>
      <w:r>
        <w:rPr>
          <w:rFonts w:ascii="Times New Roman" w:cs="Times New Roman" w:eastAsia="Times New Roman" w:hAnsi="Times New Roman"/>
          <w:sz w:val="16"/>
          <w:szCs w:val="16"/>
          <w:b w:val="1"/>
          <w:bCs w:val="1"/>
          <w:color w:val="auto"/>
        </w:rPr>
        <w:t>EVERY THREE YEARS</w:t>
      </w:r>
      <w:r>
        <w:rPr>
          <w:rFonts w:ascii="Times New Roman" w:cs="Times New Roman" w:eastAsia="Times New Roman" w:hAnsi="Times New Roman"/>
          <w:sz w:val="16"/>
          <w:szCs w:val="16"/>
          <w:color w:val="auto"/>
        </w:rPr>
        <w:t>” for the Say-on-Frequency Proposal.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spacing w:after="0" w:line="163"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Only stockholders of record at the close of business on July 25, 2025 (the “Record Date”), are entitled to notice of the Annual Meeting and to vote at the Annual Meeting or any adjournment, postponement or rescheduling thereof. At any adjourned, postponed or rescheduled meeting, action with respect to matters specified in this Notice of Annual Meeting of Stockholders may be taken without further notice to stockholders, unless required by law or the Company’s Third Amended and Restated Bylaws.</w:t>
      </w:r>
    </w:p>
    <w:p>
      <w:pPr>
        <w:spacing w:after="0" w:line="156"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A list of stockholders of record will be available starting on September 6, 2025, ten days prior to the Annual Meeting, at our headquarters, 254 West 31st Street, 11th Floor, New York, New York 10001. If you would like to view the stockholder list, please contact Cara Soffer, our General Counsel, at 646-389-3412 to schedule an appointment or for alternative arrangements to the extent office access is impracticable. In addition, a list of stockholders of record will be available during the Annual Meeting on the virtual meeting site for inspection by stockholders of record for any legally valid purpose related to the Annual Meeting.</w:t>
      </w:r>
    </w:p>
    <w:p>
      <w:pPr>
        <w:spacing w:after="0" w:line="162"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Stockholders of record may vote (i) by completing, signing, dating and promptly returning the enclosed Proxy Card in the postage-paid envelope provided, (ii) via the Internet by following the instructions on the Proxy Card or (iii) by calling the toll-free number found on the enclosed Proxy Card. Stockholders of record may also vote at the Annual Meeting. Instructions regarding these methods of voting are contained in the Proxy Statement and on the Proxy Card. Please vote by whichever method is most convenient for you to ensure that your shares are represented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1456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8" w:right="31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6"/>
          <w:szCs w:val="16"/>
          <w:b w:val="1"/>
          <w:bCs w:val="1"/>
          <w:color w:val="auto"/>
        </w:rPr>
        <w:t>IT IS IMPORTANT THAT YOUR SHARES ARE REPRESENTED AT THE ANNUAL MEETING, REGARDLESS OF WHETHER YOU PLAN TO ATTEND VIRTUALLY. ACCORDINGLY, WE ENCOURAGE YOU, AS PROMPTLY AS POSSIBLE, TO COMPLETE, SIGN, DATE AND PROMPTLY RETURN THE ENCLOSED PROXY CARD IN ORDER TO ENSURE YOUR REPRESENTATION AT THE ANNUAL MEETING. GIVING YOUR PROXY WILL NOT AFFECT YOUR RIGHT TO VOTE IN PERSON IF YOU ATTEND THE ANNUAL MEETING, BUT WILL HELP ASSURE A QUORUM. ATTENDANCE AT THE ANNUAL MEETING IS LIMITED TO STOCKHOLDERS, THEIR PROXIES AND INVITED GUESTS OF THE COMPANY. FOR IDENTIFICATION PURPOSES, “STREET NAME” STOCKHOLDERS WILL NEED TO OBTAIN A LEGAL PROXY FROM THEIR BROKER, BANK OR OTHER NOMINEE AS OF THE RECORD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have any questions or require any assistance in voting your shares, or if you would like additional copies of the proxy materials, please contact our proxy solicitor,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Alliance Advisors, LLC: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Phone Number: 1-833-215-7321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XWEL@allianceadvisors.com</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 Clove Rd Suite 400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Little Falls, NJ 07424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Ezra T. Ernst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35763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266065</wp:posOffset>
            </wp:positionV>
            <wp:extent cx="71456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STOCKHOLDER MEETING</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VIRTUALLY ON SEPTEMBER 16, 2025</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The Notice of Annual Meeting of Stockholders, the accompanying Proxy Statement and our Annual Report on Form 10-K for the year ended December 31, 2024, as amended (the “2024 Annual Report”) are available free of charge for viewing, printing and downloading at </w:t>
      </w:r>
      <w:r>
        <w:rPr>
          <w:rFonts w:ascii="Times New Roman" w:cs="Times New Roman" w:eastAsia="Times New Roman" w:hAnsi="Times New Roman"/>
          <w:sz w:val="16"/>
          <w:szCs w:val="16"/>
          <w:i w:val="1"/>
          <w:iCs w:val="1"/>
          <w:color w:val="auto"/>
        </w:rPr>
        <w:t>https://web.viewproxy.com/XWELL/2025</w:t>
      </w:r>
      <w:r>
        <w:rPr>
          <w:rFonts w:ascii="Times New Roman" w:cs="Times New Roman" w:eastAsia="Times New Roman" w:hAnsi="Times New Roman"/>
          <w:sz w:val="16"/>
          <w:szCs w:val="16"/>
          <w:color w:val="auto"/>
        </w:rPr>
        <w:t>. Information on this website, other than the Proxy Statement, is not part of the Proxy Statement.</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Additionally, you can find a copy of the Proxy Statement and our 2024 Annual Report on the U.S. Securities and Exchange Commission’s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xml:space="preserve">, or in the “SEC Filings” section of the “Investors” section of our website at </w:t>
      </w:r>
      <w:r>
        <w:rPr>
          <w:rFonts w:ascii="Times New Roman" w:cs="Times New Roman" w:eastAsia="Times New Roman" w:hAnsi="Times New Roman"/>
          <w:sz w:val="16"/>
          <w:szCs w:val="16"/>
          <w:i w:val="1"/>
          <w:iCs w:val="1"/>
          <w:color w:val="auto"/>
        </w:rPr>
        <w:t>www.xwell.com</w:t>
      </w:r>
      <w:r>
        <w:rPr>
          <w:rFonts w:ascii="Times New Roman" w:cs="Times New Roman" w:eastAsia="Times New Roman" w:hAnsi="Times New Roman"/>
          <w:sz w:val="16"/>
          <w:szCs w:val="16"/>
          <w:color w:val="auto"/>
        </w:rPr>
        <w:t>. Information on these websites, other than the Proxy Statement, is not part of the Proxy Statement. You may also obtain a printed copy of our 2024 Annual Report, including our financial statements, free of charge, from us by sending a written request to: XWELL, Inc., 254 West 31st Street, 11th Floor, New York, New York 10001, Attention: Corporate Secretary. Exhibits will be provided upon written request and payment of an appropriate processing fee.</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Please complete, sign, date and promptly return the enclosed Proxy Card in the postage-paid envelope provided or vote your shares promptly via the Internet or by telephone by following the instructions on the Proxy Card, so that you may be represented at the Annual Meeting. Instructions are in the Proxy Statement, on the Proxy Card or, if your shares are held in “street name,” on the voting instruction form provided by your broker, bank, or other nominee.</w:t>
      </w:r>
    </w:p>
    <w:p>
      <w:pPr>
        <w:spacing w:after="0" w:line="1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 accompanying Proxy Statement provides a detailed description of the business to be conducted at the Annual Meeting. We urge you to read the accompanying Proxy Statement carefully and in its entirety.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have any questions or require any assistance in voting your shares, or if you would like additional copies of the proxy materials, please contact our proxy solicitor,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Alliance: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Phone Number: 1-833-215-7321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XWEL@allianceadvisors.com</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 Clove Rd Suite 400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Little Falls, NJ 07424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71456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3"/>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1"/>
        </w:trPr>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23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52"/>
        </w:trPr>
        <w:tc>
          <w:tcPr>
            <w:tcW w:w="10660" w:type="dxa"/>
            <w:vAlign w:val="bottom"/>
            <w:gridSpan w:val="25"/>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EE"/>
              </w:rPr>
              <w:t>IMPORTANT INFORMATION ABOUT THE ANNUAL MEETING AND VOTING</w:t>
            </w:r>
          </w:p>
        </w:tc>
        <w:tc>
          <w:tcPr>
            <w:tcW w:w="600" w:type="dxa"/>
            <w:vAlign w:val="bottom"/>
            <w:gridSpan w:val="3"/>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0000EE"/>
              </w:rPr>
              <w:t>1</w:t>
            </w:r>
          </w:p>
        </w:tc>
      </w:tr>
      <w:tr>
        <w:trPr>
          <w:trHeight w:val="37"/>
        </w:trPr>
        <w:tc>
          <w:tcPr>
            <w:tcW w:w="140" w:type="dxa"/>
            <w:vAlign w:val="bottom"/>
            <w:shd w:val="clear" w:color="auto" w:fill="0000EE"/>
          </w:tcPr>
          <w:p>
            <w:pPr>
              <w:spacing w:after="0"/>
              <w:rPr>
                <w:sz w:val="3"/>
                <w:szCs w:val="3"/>
                <w:color w:val="auto"/>
              </w:rPr>
            </w:pPr>
          </w:p>
        </w:tc>
        <w:tc>
          <w:tcPr>
            <w:tcW w:w="110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r>
      <w:tr>
        <w:trPr>
          <w:trHeight w:val="159"/>
        </w:trPr>
        <w:tc>
          <w:tcPr>
            <w:tcW w:w="3920" w:type="dxa"/>
            <w:vAlign w:val="bottom"/>
            <w:tcBorders>
              <w:bottom w:val="single" w:sz="8" w:color="0000EE"/>
            </w:tcBorders>
            <w:gridSpan w:val="14"/>
          </w:tcPr>
          <w:p>
            <w:pPr>
              <w:spacing w:after="0" w:line="159" w:lineRule="exact"/>
              <w:rPr>
                <w:sz w:val="20"/>
                <w:szCs w:val="20"/>
                <w:color w:val="auto"/>
              </w:rPr>
            </w:pPr>
            <w:r>
              <w:rPr>
                <w:rFonts w:ascii="Times New Roman" w:cs="Times New Roman" w:eastAsia="Times New Roman" w:hAnsi="Times New Roman"/>
                <w:sz w:val="16"/>
                <w:szCs w:val="16"/>
                <w:color w:val="0000EE"/>
              </w:rPr>
              <w:t>PROPOSAL 1: THE DIRECTOR ELECTION PROPOSAL</w:t>
            </w:r>
          </w:p>
        </w:tc>
        <w:tc>
          <w:tcPr>
            <w:tcW w:w="1680" w:type="dxa"/>
            <w:vAlign w:val="bottom"/>
            <w:gridSpan w:val="8"/>
          </w:tcPr>
          <w:p>
            <w:pPr>
              <w:spacing w:after="0"/>
              <w:rPr>
                <w:sz w:val="13"/>
                <w:szCs w:val="13"/>
                <w:color w:val="auto"/>
              </w:rPr>
            </w:pPr>
          </w:p>
        </w:tc>
        <w:tc>
          <w:tcPr>
            <w:tcW w:w="5060" w:type="dxa"/>
            <w:vAlign w:val="bottom"/>
            <w:gridSpan w:val="3"/>
          </w:tcPr>
          <w:p>
            <w:pPr>
              <w:spacing w:after="0"/>
              <w:rPr>
                <w:sz w:val="13"/>
                <w:szCs w:val="13"/>
                <w:color w:val="auto"/>
              </w:rPr>
            </w:pPr>
          </w:p>
        </w:tc>
        <w:tc>
          <w:tcPr>
            <w:tcW w:w="500" w:type="dxa"/>
            <w:vAlign w:val="bottom"/>
            <w:gridSpan w:val="2"/>
          </w:tcPr>
          <w:p>
            <w:pPr>
              <w:spacing w:after="0"/>
              <w:rPr>
                <w:sz w:val="13"/>
                <w:szCs w:val="13"/>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10</w:t>
            </w:r>
          </w:p>
        </w:tc>
      </w:tr>
      <w:tr>
        <w:trPr>
          <w:trHeight w:val="175"/>
        </w:trPr>
        <w:tc>
          <w:tcPr>
            <w:tcW w:w="1066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EE"/>
              </w:rPr>
              <w:t>PROPOSAL 2: THE AUDITOR RATIFICATION PROPOSAL</w:t>
            </w:r>
          </w:p>
        </w:tc>
        <w:tc>
          <w:tcPr>
            <w:tcW w:w="600" w:type="dxa"/>
            <w:vAlign w:val="bottom"/>
            <w:gridSpan w:val="3"/>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0000EE"/>
              </w:rPr>
              <w:t>11</w:t>
            </w:r>
          </w:p>
        </w:tc>
      </w:tr>
      <w:tr>
        <w:trPr>
          <w:trHeight w:val="37"/>
        </w:trPr>
        <w:tc>
          <w:tcPr>
            <w:tcW w:w="140" w:type="dxa"/>
            <w:vAlign w:val="bottom"/>
            <w:shd w:val="clear" w:color="auto" w:fill="0000EE"/>
          </w:tcPr>
          <w:p>
            <w:pPr>
              <w:spacing w:after="0"/>
              <w:rPr>
                <w:sz w:val="3"/>
                <w:szCs w:val="3"/>
                <w:color w:val="auto"/>
              </w:rPr>
            </w:pPr>
          </w:p>
        </w:tc>
        <w:tc>
          <w:tcPr>
            <w:tcW w:w="110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r>
      <w:tr>
        <w:trPr>
          <w:trHeight w:val="159"/>
        </w:trPr>
        <w:tc>
          <w:tcPr>
            <w:tcW w:w="4180" w:type="dxa"/>
            <w:vAlign w:val="bottom"/>
            <w:gridSpan w:val="17"/>
          </w:tcPr>
          <w:p>
            <w:pPr>
              <w:spacing w:after="0" w:line="159" w:lineRule="exact"/>
              <w:rPr>
                <w:sz w:val="20"/>
                <w:szCs w:val="20"/>
                <w:color w:val="auto"/>
              </w:rPr>
            </w:pPr>
            <w:r>
              <w:rPr>
                <w:rFonts w:ascii="Times New Roman" w:cs="Times New Roman" w:eastAsia="Times New Roman" w:hAnsi="Times New Roman"/>
                <w:sz w:val="16"/>
                <w:szCs w:val="16"/>
                <w:color w:val="0000EE"/>
              </w:rPr>
              <w:t>PROPOSAL 3: THE SAY-ON-PAY PROPOSAL</w:t>
            </w:r>
          </w:p>
        </w:tc>
        <w:tc>
          <w:tcPr>
            <w:tcW w:w="6480" w:type="dxa"/>
            <w:vAlign w:val="bottom"/>
            <w:gridSpan w:val="8"/>
          </w:tcPr>
          <w:p>
            <w:pPr>
              <w:spacing w:after="0"/>
              <w:rPr>
                <w:sz w:val="13"/>
                <w:szCs w:val="13"/>
                <w:color w:val="auto"/>
              </w:rPr>
            </w:pPr>
          </w:p>
        </w:tc>
        <w:tc>
          <w:tcPr>
            <w:tcW w:w="6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6"/>
                <w:szCs w:val="16"/>
                <w:color w:val="0000EE"/>
              </w:rPr>
              <w:t>12</w:t>
            </w:r>
          </w:p>
        </w:tc>
      </w:tr>
      <w:tr>
        <w:trPr>
          <w:trHeight w:val="28"/>
        </w:trPr>
        <w:tc>
          <w:tcPr>
            <w:tcW w:w="1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r>
      <w:tr>
        <w:trPr>
          <w:trHeight w:val="167"/>
        </w:trPr>
        <w:tc>
          <w:tcPr>
            <w:tcW w:w="10660" w:type="dxa"/>
            <w:vAlign w:val="bottom"/>
            <w:gridSpan w:val="2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PROPOSAL 4: THE SAY-ON-FREQUENCY PROPOSAL</w:t>
            </w:r>
          </w:p>
        </w:tc>
        <w:tc>
          <w:tcPr>
            <w:tcW w:w="60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13</w:t>
            </w:r>
          </w:p>
        </w:tc>
      </w:tr>
      <w:tr>
        <w:trPr>
          <w:trHeight w:val="37"/>
        </w:trPr>
        <w:tc>
          <w:tcPr>
            <w:tcW w:w="140" w:type="dxa"/>
            <w:vAlign w:val="bottom"/>
            <w:shd w:val="clear" w:color="auto" w:fill="0000EE"/>
          </w:tcPr>
          <w:p>
            <w:pPr>
              <w:spacing w:after="0"/>
              <w:rPr>
                <w:sz w:val="3"/>
                <w:szCs w:val="3"/>
                <w:color w:val="auto"/>
              </w:rPr>
            </w:pPr>
          </w:p>
        </w:tc>
        <w:tc>
          <w:tcPr>
            <w:tcW w:w="110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r>
      <w:tr>
        <w:trPr>
          <w:trHeight w:val="167"/>
        </w:trPr>
        <w:tc>
          <w:tcPr>
            <w:tcW w:w="10660" w:type="dxa"/>
            <w:vAlign w:val="bottom"/>
            <w:gridSpan w:val="25"/>
          </w:tcPr>
          <w:p>
            <w:pPr>
              <w:spacing w:after="0" w:line="159" w:lineRule="exact"/>
              <w:rPr>
                <w:sz w:val="20"/>
                <w:szCs w:val="20"/>
                <w:color w:val="auto"/>
              </w:rPr>
            </w:pPr>
            <w:r>
              <w:rPr>
                <w:rFonts w:ascii="Times New Roman" w:cs="Times New Roman" w:eastAsia="Times New Roman" w:hAnsi="Times New Roman"/>
                <w:sz w:val="16"/>
                <w:szCs w:val="16"/>
                <w:color w:val="0000EE"/>
              </w:rPr>
              <w:t>PROPOSAL 5: THE BOARD CLASSIFICATION PROPOSAL</w:t>
            </w:r>
          </w:p>
        </w:tc>
        <w:tc>
          <w:tcPr>
            <w:tcW w:w="6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6"/>
                <w:szCs w:val="16"/>
                <w:color w:val="0000EE"/>
              </w:rPr>
              <w:t>14</w:t>
            </w:r>
          </w:p>
        </w:tc>
      </w:tr>
      <w:tr>
        <w:trPr>
          <w:trHeight w:val="184"/>
        </w:trPr>
        <w:tc>
          <w:tcPr>
            <w:tcW w:w="4040" w:type="dxa"/>
            <w:vAlign w:val="bottom"/>
            <w:tcBorders>
              <w:top w:val="single" w:sz="8" w:color="0000EE"/>
              <w:bottom w:val="single" w:sz="8" w:color="0000EE"/>
            </w:tcBorders>
            <w:gridSpan w:val="1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PROPOSAL 6: THE REVERSE STOCK SPLIT PROPOSAL</w:t>
            </w:r>
          </w:p>
        </w:tc>
        <w:tc>
          <w:tcPr>
            <w:tcW w:w="140" w:type="dxa"/>
            <w:vAlign w:val="bottom"/>
            <w:tcBorders>
              <w:top w:val="single" w:sz="8" w:color="0000EE"/>
              <w:bottom w:val="single" w:sz="8" w:color="CCEEFF"/>
              <w:right w:val="single" w:sz="8" w:color="CCEEFF"/>
            </w:tcBorders>
            <w:gridSpan w:val="2"/>
            <w:shd w:val="clear" w:color="auto" w:fill="CCEEFF"/>
          </w:tcPr>
          <w:p>
            <w:pPr>
              <w:spacing w:after="0"/>
              <w:rPr>
                <w:sz w:val="15"/>
                <w:szCs w:val="15"/>
                <w:color w:val="auto"/>
              </w:rPr>
            </w:pPr>
          </w:p>
        </w:tc>
        <w:tc>
          <w:tcPr>
            <w:tcW w:w="6480" w:type="dxa"/>
            <w:vAlign w:val="bottom"/>
            <w:tcBorders>
              <w:bottom w:val="single" w:sz="8" w:color="CCEEFF"/>
            </w:tcBorders>
            <w:gridSpan w:val="8"/>
            <w:shd w:val="clear" w:color="auto" w:fill="CCEEFF"/>
          </w:tcPr>
          <w:p>
            <w:pPr>
              <w:spacing w:after="0"/>
              <w:rPr>
                <w:sz w:val="15"/>
                <w:szCs w:val="15"/>
                <w:color w:val="auto"/>
              </w:rPr>
            </w:pPr>
          </w:p>
        </w:tc>
        <w:tc>
          <w:tcPr>
            <w:tcW w:w="50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100" w:type="dxa"/>
            <w:vAlign w:val="bottom"/>
            <w:tcBorders>
              <w:top w:val="single" w:sz="8" w:color="0000EE"/>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16</w:t>
            </w:r>
          </w:p>
        </w:tc>
      </w:tr>
      <w:tr>
        <w:trPr>
          <w:trHeight w:val="167"/>
        </w:trPr>
        <w:tc>
          <w:tcPr>
            <w:tcW w:w="3500" w:type="dxa"/>
            <w:vAlign w:val="bottom"/>
            <w:tcBorders>
              <w:bottom w:val="single" w:sz="8" w:color="0000EE"/>
            </w:tcBorders>
            <w:gridSpan w:val="11"/>
          </w:tcPr>
          <w:p>
            <w:pPr>
              <w:spacing w:after="0" w:line="159" w:lineRule="exact"/>
              <w:rPr>
                <w:sz w:val="20"/>
                <w:szCs w:val="20"/>
                <w:color w:val="auto"/>
              </w:rPr>
            </w:pPr>
            <w:r>
              <w:rPr>
                <w:rFonts w:ascii="Times New Roman" w:cs="Times New Roman" w:eastAsia="Times New Roman" w:hAnsi="Times New Roman"/>
                <w:sz w:val="16"/>
                <w:szCs w:val="16"/>
                <w:color w:val="0000EE"/>
              </w:rPr>
              <w:t>PROPOSAL 7: THE ADJOURNMENT PROPOSAL</w:t>
            </w:r>
          </w:p>
        </w:tc>
        <w:tc>
          <w:tcPr>
            <w:tcW w:w="7160" w:type="dxa"/>
            <w:vAlign w:val="bottom"/>
            <w:gridSpan w:val="14"/>
          </w:tcPr>
          <w:p>
            <w:pPr>
              <w:spacing w:after="0"/>
              <w:rPr>
                <w:sz w:val="14"/>
                <w:szCs w:val="14"/>
                <w:color w:val="auto"/>
              </w:rPr>
            </w:pPr>
          </w:p>
        </w:tc>
        <w:tc>
          <w:tcPr>
            <w:tcW w:w="500" w:type="dxa"/>
            <w:vAlign w:val="bottom"/>
            <w:gridSpan w:val="2"/>
          </w:tcPr>
          <w:p>
            <w:pPr>
              <w:spacing w:after="0"/>
              <w:rPr>
                <w:sz w:val="14"/>
                <w:szCs w:val="1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24</w:t>
            </w:r>
          </w:p>
        </w:tc>
      </w:tr>
      <w:tr>
        <w:trPr>
          <w:trHeight w:val="184"/>
        </w:trPr>
        <w:tc>
          <w:tcPr>
            <w:tcW w:w="10660" w:type="dxa"/>
            <w:vAlign w:val="bottom"/>
            <w:gridSpan w:val="2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MANAGEMENT AND CORPORATE GOVERNANCE</w:t>
            </w:r>
          </w:p>
        </w:tc>
        <w:tc>
          <w:tcPr>
            <w:tcW w:w="60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25</w:t>
            </w:r>
          </w:p>
        </w:tc>
      </w:tr>
      <w:tr>
        <w:trPr>
          <w:trHeight w:val="195"/>
        </w:trPr>
        <w:tc>
          <w:tcPr>
            <w:tcW w:w="140" w:type="dxa"/>
            <w:vAlign w:val="bottom"/>
            <w:tcBorders>
              <w:top w:val="single" w:sz="8" w:color="0000EE"/>
            </w:tcBorders>
          </w:tcPr>
          <w:p>
            <w:pPr>
              <w:spacing w:after="0"/>
              <w:rPr>
                <w:sz w:val="17"/>
                <w:szCs w:val="17"/>
                <w:color w:val="auto"/>
              </w:rPr>
            </w:pPr>
          </w:p>
        </w:tc>
        <w:tc>
          <w:tcPr>
            <w:tcW w:w="36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auto"/>
              </w:rPr>
              <w:t>Stockholder Feedback</w:t>
            </w:r>
          </w:p>
        </w:tc>
        <w:tc>
          <w:tcPr>
            <w:tcW w:w="6900" w:type="dxa"/>
            <w:vAlign w:val="bottom"/>
            <w:tcBorders>
              <w:top w:val="single" w:sz="8" w:color="CCEEFF"/>
            </w:tcBorders>
            <w:gridSpan w:val="12"/>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195"/>
        </w:trPr>
        <w:tc>
          <w:tcPr>
            <w:tcW w:w="140" w:type="dxa"/>
            <w:vAlign w:val="bottom"/>
            <w:shd w:val="clear" w:color="auto" w:fill="CCEEFF"/>
          </w:tcPr>
          <w:p>
            <w:pPr>
              <w:spacing w:after="0"/>
              <w:rPr>
                <w:sz w:val="17"/>
                <w:szCs w:val="17"/>
                <w:color w:val="auto"/>
              </w:rPr>
            </w:pPr>
          </w:p>
        </w:tc>
        <w:tc>
          <w:tcPr>
            <w:tcW w:w="105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140" w:type="dxa"/>
            <w:vAlign w:val="bottom"/>
          </w:tcPr>
          <w:p>
            <w:pPr>
              <w:spacing w:after="0"/>
              <w:rPr>
                <w:sz w:val="17"/>
                <w:szCs w:val="17"/>
                <w:color w:val="auto"/>
              </w:rPr>
            </w:pPr>
          </w:p>
        </w:tc>
        <w:tc>
          <w:tcPr>
            <w:tcW w:w="105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Executive Officers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140" w:type="dxa"/>
            <w:vAlign w:val="bottom"/>
            <w:shd w:val="clear" w:color="auto" w:fill="CCEEFF"/>
          </w:tcPr>
          <w:p>
            <w:pPr>
              <w:spacing w:after="0"/>
              <w:rPr>
                <w:sz w:val="17"/>
                <w:szCs w:val="17"/>
                <w:color w:val="auto"/>
              </w:rPr>
            </w:pPr>
          </w:p>
        </w:tc>
        <w:tc>
          <w:tcPr>
            <w:tcW w:w="105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 Independence and Committee Qualifications</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140" w:type="dxa"/>
            <w:vAlign w:val="bottom"/>
          </w:tcPr>
          <w:p>
            <w:pPr>
              <w:spacing w:after="0"/>
              <w:rPr>
                <w:sz w:val="17"/>
                <w:szCs w:val="17"/>
                <w:color w:val="auto"/>
              </w:rPr>
            </w:pPr>
          </w:p>
        </w:tc>
        <w:tc>
          <w:tcPr>
            <w:tcW w:w="105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Committees of the Board and Meetings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140" w:type="dxa"/>
            <w:vAlign w:val="bottom"/>
            <w:shd w:val="clear" w:color="auto" w:fill="CCEEFF"/>
          </w:tcPr>
          <w:p>
            <w:pPr>
              <w:spacing w:after="0"/>
              <w:rPr>
                <w:sz w:val="17"/>
                <w:szCs w:val="17"/>
                <w:color w:val="auto"/>
              </w:rPr>
            </w:pPr>
          </w:p>
        </w:tc>
        <w:tc>
          <w:tcPr>
            <w:tcW w:w="105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auto"/>
              </w:rPr>
              <w:t>Board Leadership Structure and Role in Risk Oversight</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140" w:type="dxa"/>
            <w:vAlign w:val="bottom"/>
          </w:tcPr>
          <w:p>
            <w:pPr>
              <w:spacing w:after="0"/>
              <w:rPr>
                <w:sz w:val="17"/>
                <w:szCs w:val="17"/>
                <w:color w:val="auto"/>
              </w:rPr>
            </w:pPr>
          </w:p>
        </w:tc>
        <w:tc>
          <w:tcPr>
            <w:tcW w:w="105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Involvement in Certain Legal Proceedings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140" w:type="dxa"/>
            <w:vAlign w:val="bottom"/>
            <w:shd w:val="clear" w:color="auto" w:fill="CCEEFF"/>
          </w:tcPr>
          <w:p>
            <w:pPr>
              <w:spacing w:after="0"/>
              <w:rPr>
                <w:sz w:val="17"/>
                <w:szCs w:val="17"/>
                <w:color w:val="auto"/>
              </w:rPr>
            </w:pPr>
          </w:p>
        </w:tc>
        <w:tc>
          <w:tcPr>
            <w:tcW w:w="105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auto"/>
              </w:rPr>
              <w:t>Arrangements Between Directors and Executive Officers</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140" w:type="dxa"/>
            <w:vAlign w:val="bottom"/>
          </w:tcPr>
          <w:p>
            <w:pPr>
              <w:spacing w:after="0"/>
              <w:rPr>
                <w:sz w:val="17"/>
                <w:szCs w:val="17"/>
                <w:color w:val="auto"/>
              </w:rPr>
            </w:pPr>
          </w:p>
        </w:tc>
        <w:tc>
          <w:tcPr>
            <w:tcW w:w="105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Family Relationships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140" w:type="dxa"/>
            <w:vAlign w:val="bottom"/>
            <w:shd w:val="clear" w:color="auto" w:fill="CCEEFF"/>
          </w:tcPr>
          <w:p>
            <w:pPr>
              <w:spacing w:after="0"/>
              <w:rPr>
                <w:sz w:val="17"/>
                <w:szCs w:val="17"/>
                <w:color w:val="auto"/>
              </w:rPr>
            </w:pPr>
          </w:p>
        </w:tc>
        <w:tc>
          <w:tcPr>
            <w:tcW w:w="105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Delinquent Section 16(a) Reports</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140" w:type="dxa"/>
            <w:vAlign w:val="bottom"/>
          </w:tcPr>
          <w:p>
            <w:pPr>
              <w:spacing w:after="0"/>
              <w:rPr>
                <w:sz w:val="17"/>
                <w:szCs w:val="17"/>
                <w:color w:val="auto"/>
              </w:rPr>
            </w:pPr>
          </w:p>
        </w:tc>
        <w:tc>
          <w:tcPr>
            <w:tcW w:w="105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Code of Conduct and Ethics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140" w:type="dxa"/>
            <w:vAlign w:val="bottom"/>
            <w:shd w:val="clear" w:color="auto" w:fill="CCEEFF"/>
          </w:tcPr>
          <w:p>
            <w:pPr>
              <w:spacing w:after="0"/>
              <w:rPr>
                <w:sz w:val="17"/>
                <w:szCs w:val="17"/>
                <w:color w:val="auto"/>
              </w:rPr>
            </w:pPr>
          </w:p>
        </w:tc>
        <w:tc>
          <w:tcPr>
            <w:tcW w:w="105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auto"/>
              </w:rPr>
              <w:t>Insider Trading Policy and Hedging Prohibition</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7"/>
        </w:trPr>
        <w:tc>
          <w:tcPr>
            <w:tcW w:w="1320" w:type="dxa"/>
            <w:vAlign w:val="bottom"/>
            <w:tcBorders>
              <w:bottom w:val="single" w:sz="8" w:color="0000EE"/>
            </w:tcBorders>
            <w:gridSpan w:val="3"/>
          </w:tcPr>
          <w:p>
            <w:pPr>
              <w:spacing w:after="0" w:line="159" w:lineRule="exact"/>
              <w:rPr>
                <w:sz w:val="20"/>
                <w:szCs w:val="20"/>
                <w:color w:val="auto"/>
              </w:rPr>
            </w:pPr>
            <w:r>
              <w:rPr>
                <w:rFonts w:ascii="Times New Roman" w:cs="Times New Roman" w:eastAsia="Times New Roman" w:hAnsi="Times New Roman"/>
                <w:sz w:val="16"/>
                <w:szCs w:val="16"/>
                <w:color w:val="0000EE"/>
              </w:rPr>
              <w:t>COMPENSATION</w:t>
            </w:r>
          </w:p>
        </w:tc>
        <w:tc>
          <w:tcPr>
            <w:tcW w:w="9340" w:type="dxa"/>
            <w:vAlign w:val="bottom"/>
            <w:gridSpan w:val="22"/>
          </w:tcPr>
          <w:p>
            <w:pPr>
              <w:spacing w:after="0"/>
              <w:rPr>
                <w:sz w:val="14"/>
                <w:szCs w:val="14"/>
                <w:color w:val="auto"/>
              </w:rPr>
            </w:pPr>
          </w:p>
        </w:tc>
        <w:tc>
          <w:tcPr>
            <w:tcW w:w="500" w:type="dxa"/>
            <w:vAlign w:val="bottom"/>
            <w:gridSpan w:val="2"/>
          </w:tcPr>
          <w:p>
            <w:pPr>
              <w:spacing w:after="0"/>
              <w:rPr>
                <w:sz w:val="14"/>
                <w:szCs w:val="1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31</w:t>
            </w:r>
          </w:p>
        </w:tc>
      </w:tr>
      <w:tr>
        <w:trPr>
          <w:trHeight w:val="167"/>
        </w:trPr>
        <w:tc>
          <w:tcPr>
            <w:tcW w:w="140" w:type="dxa"/>
            <w:vAlign w:val="bottom"/>
            <w:shd w:val="clear" w:color="auto" w:fill="CCEEFF"/>
          </w:tcPr>
          <w:p>
            <w:pPr>
              <w:spacing w:after="0"/>
              <w:rPr>
                <w:sz w:val="14"/>
                <w:szCs w:val="14"/>
                <w:color w:val="auto"/>
              </w:rPr>
            </w:pPr>
          </w:p>
        </w:tc>
        <w:tc>
          <w:tcPr>
            <w:tcW w:w="1052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Summary Compensation Table</w:t>
            </w:r>
          </w:p>
        </w:tc>
        <w:tc>
          <w:tcPr>
            <w:tcW w:w="60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31</w:t>
            </w:r>
          </w:p>
        </w:tc>
      </w:tr>
      <w:tr>
        <w:trPr>
          <w:trHeight w:val="37"/>
        </w:trPr>
        <w:tc>
          <w:tcPr>
            <w:tcW w:w="140" w:type="dxa"/>
            <w:vAlign w:val="bottom"/>
            <w:shd w:val="clear" w:color="auto" w:fill="CCEEFF"/>
          </w:tcPr>
          <w:p>
            <w:pPr>
              <w:spacing w:after="0"/>
              <w:rPr>
                <w:sz w:val="3"/>
                <w:szCs w:val="3"/>
                <w:color w:val="auto"/>
              </w:rPr>
            </w:pPr>
          </w:p>
        </w:tc>
        <w:tc>
          <w:tcPr>
            <w:tcW w:w="110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r>
      <w:tr>
        <w:trPr>
          <w:trHeight w:val="167"/>
        </w:trPr>
        <w:tc>
          <w:tcPr>
            <w:tcW w:w="140" w:type="dxa"/>
            <w:vAlign w:val="bottom"/>
          </w:tcPr>
          <w:p>
            <w:pPr>
              <w:spacing w:after="0"/>
              <w:rPr>
                <w:sz w:val="14"/>
                <w:szCs w:val="14"/>
                <w:color w:val="auto"/>
              </w:rPr>
            </w:pPr>
          </w:p>
        </w:tc>
        <w:tc>
          <w:tcPr>
            <w:tcW w:w="1052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EE"/>
              </w:rPr>
              <w:t>Narrative Disclosure to Summary Compensation Table</w:t>
            </w:r>
          </w:p>
        </w:tc>
        <w:tc>
          <w:tcPr>
            <w:tcW w:w="6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6"/>
                <w:szCs w:val="16"/>
                <w:color w:val="0000EE"/>
              </w:rPr>
              <w:t>31</w:t>
            </w:r>
          </w:p>
        </w:tc>
      </w:tr>
      <w:tr>
        <w:trPr>
          <w:trHeight w:val="184"/>
        </w:trPr>
        <w:tc>
          <w:tcPr>
            <w:tcW w:w="1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top w:val="single" w:sz="8" w:color="0000EE"/>
              <w:bottom w:val="single" w:sz="8" w:color="0000EE"/>
              <w:right w:val="single" w:sz="8" w:color="CCEEFF"/>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Director Compensation</w:t>
            </w:r>
          </w:p>
        </w:tc>
        <w:tc>
          <w:tcPr>
            <w:tcW w:w="2020" w:type="dxa"/>
            <w:vAlign w:val="bottom"/>
            <w:tcBorders>
              <w:top w:val="single" w:sz="8" w:color="0000EE"/>
              <w:bottom w:val="single" w:sz="8" w:color="CCEEFF"/>
              <w:right w:val="single" w:sz="8" w:color="CCEEFF"/>
            </w:tcBorders>
            <w:gridSpan w:val="9"/>
            <w:shd w:val="clear" w:color="auto" w:fill="CCEEFF"/>
          </w:tcPr>
          <w:p>
            <w:pPr>
              <w:spacing w:after="0"/>
              <w:rPr>
                <w:sz w:val="15"/>
                <w:szCs w:val="15"/>
                <w:color w:val="auto"/>
              </w:rPr>
            </w:pPr>
          </w:p>
        </w:tc>
        <w:tc>
          <w:tcPr>
            <w:tcW w:w="6900" w:type="dxa"/>
            <w:vAlign w:val="bottom"/>
            <w:tcBorders>
              <w:bottom w:val="single" w:sz="8" w:color="CCEEFF"/>
            </w:tcBorders>
            <w:gridSpan w:val="12"/>
            <w:shd w:val="clear" w:color="auto" w:fill="CCEEFF"/>
          </w:tcPr>
          <w:p>
            <w:pPr>
              <w:spacing w:after="0"/>
              <w:rPr>
                <w:sz w:val="15"/>
                <w:szCs w:val="15"/>
                <w:color w:val="auto"/>
              </w:rPr>
            </w:pPr>
          </w:p>
        </w:tc>
        <w:tc>
          <w:tcPr>
            <w:tcW w:w="50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100" w:type="dxa"/>
            <w:vAlign w:val="bottom"/>
            <w:tcBorders>
              <w:top w:val="single" w:sz="8" w:color="0000EE"/>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34</w:t>
            </w:r>
          </w:p>
        </w:tc>
      </w:tr>
      <w:tr>
        <w:trPr>
          <w:trHeight w:val="167"/>
        </w:trPr>
        <w:tc>
          <w:tcPr>
            <w:tcW w:w="140" w:type="dxa"/>
            <w:vAlign w:val="bottom"/>
          </w:tcPr>
          <w:p>
            <w:pPr>
              <w:spacing w:after="0"/>
              <w:rPr>
                <w:sz w:val="14"/>
                <w:szCs w:val="14"/>
                <w:color w:val="auto"/>
              </w:rPr>
            </w:pPr>
          </w:p>
        </w:tc>
        <w:tc>
          <w:tcPr>
            <w:tcW w:w="2580" w:type="dxa"/>
            <w:vAlign w:val="bottom"/>
            <w:tcBorders>
              <w:bottom w:val="single" w:sz="8" w:color="0000EE"/>
            </w:tcBorders>
            <w:gridSpan w:val="7"/>
          </w:tcPr>
          <w:p>
            <w:pPr>
              <w:spacing w:after="0" w:line="159" w:lineRule="exact"/>
              <w:rPr>
                <w:sz w:val="20"/>
                <w:szCs w:val="20"/>
                <w:color w:val="auto"/>
              </w:rPr>
            </w:pPr>
            <w:r>
              <w:rPr>
                <w:rFonts w:ascii="Times New Roman" w:cs="Times New Roman" w:eastAsia="Times New Roman" w:hAnsi="Times New Roman"/>
                <w:sz w:val="16"/>
                <w:szCs w:val="16"/>
                <w:color w:val="0000EE"/>
              </w:rPr>
              <w:t>Equity Compensation Plan Information</w:t>
            </w:r>
          </w:p>
        </w:tc>
        <w:tc>
          <w:tcPr>
            <w:tcW w:w="7940" w:type="dxa"/>
            <w:vAlign w:val="bottom"/>
            <w:gridSpan w:val="17"/>
          </w:tcPr>
          <w:p>
            <w:pPr>
              <w:spacing w:after="0"/>
              <w:rPr>
                <w:sz w:val="14"/>
                <w:szCs w:val="14"/>
                <w:color w:val="auto"/>
              </w:rPr>
            </w:pPr>
          </w:p>
        </w:tc>
        <w:tc>
          <w:tcPr>
            <w:tcW w:w="500" w:type="dxa"/>
            <w:vAlign w:val="bottom"/>
            <w:gridSpan w:val="2"/>
          </w:tcPr>
          <w:p>
            <w:pPr>
              <w:spacing w:after="0"/>
              <w:rPr>
                <w:sz w:val="14"/>
                <w:szCs w:val="1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35</w:t>
            </w:r>
          </w:p>
        </w:tc>
      </w:tr>
      <w:tr>
        <w:trPr>
          <w:trHeight w:val="184"/>
        </w:trPr>
        <w:tc>
          <w:tcPr>
            <w:tcW w:w="140" w:type="dxa"/>
            <w:vAlign w:val="bottom"/>
            <w:shd w:val="clear" w:color="auto" w:fill="CCEEFF"/>
          </w:tcPr>
          <w:p>
            <w:pPr>
              <w:spacing w:after="0"/>
              <w:rPr>
                <w:sz w:val="15"/>
                <w:szCs w:val="15"/>
                <w:color w:val="auto"/>
              </w:rPr>
            </w:pPr>
          </w:p>
        </w:tc>
        <w:tc>
          <w:tcPr>
            <w:tcW w:w="1052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Outstanding Equity Awards at 2024 Fiscal Year End</w:t>
            </w:r>
          </w:p>
        </w:tc>
        <w:tc>
          <w:tcPr>
            <w:tcW w:w="60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33</w:t>
            </w:r>
          </w:p>
        </w:tc>
      </w:tr>
      <w:tr>
        <w:trPr>
          <w:trHeight w:val="159"/>
        </w:trPr>
        <w:tc>
          <w:tcPr>
            <w:tcW w:w="140" w:type="dxa"/>
            <w:vAlign w:val="bottom"/>
            <w:tcBorders>
              <w:top w:val="single" w:sz="8" w:color="CCEEFF"/>
            </w:tcBorders>
          </w:tcPr>
          <w:p>
            <w:pPr>
              <w:spacing w:after="0"/>
              <w:rPr>
                <w:sz w:val="13"/>
                <w:szCs w:val="13"/>
                <w:color w:val="auto"/>
              </w:rPr>
            </w:pPr>
          </w:p>
        </w:tc>
        <w:tc>
          <w:tcPr>
            <w:tcW w:w="3400" w:type="dxa"/>
            <w:vAlign w:val="bottom"/>
            <w:tcBorders>
              <w:top w:val="single" w:sz="8" w:color="0000EE"/>
            </w:tcBorders>
            <w:gridSpan w:val="11"/>
          </w:tcPr>
          <w:p>
            <w:pPr>
              <w:spacing w:after="0" w:line="159" w:lineRule="exact"/>
              <w:rPr>
                <w:sz w:val="20"/>
                <w:szCs w:val="20"/>
                <w:color w:val="auto"/>
              </w:rPr>
            </w:pPr>
            <w:r>
              <w:rPr>
                <w:rFonts w:ascii="Times New Roman" w:cs="Times New Roman" w:eastAsia="Times New Roman" w:hAnsi="Times New Roman"/>
                <w:sz w:val="16"/>
                <w:szCs w:val="16"/>
                <w:color w:val="0000EE"/>
              </w:rPr>
              <w:t>Pension Benefits</w:t>
            </w:r>
          </w:p>
        </w:tc>
        <w:tc>
          <w:tcPr>
            <w:tcW w:w="7120" w:type="dxa"/>
            <w:vAlign w:val="bottom"/>
            <w:tcBorders>
              <w:top w:val="single" w:sz="8" w:color="CCEEFF"/>
            </w:tcBorders>
            <w:gridSpan w:val="13"/>
          </w:tcPr>
          <w:p>
            <w:pPr>
              <w:spacing w:after="0"/>
              <w:rPr>
                <w:sz w:val="13"/>
                <w:szCs w:val="13"/>
                <w:color w:val="auto"/>
              </w:rPr>
            </w:pPr>
          </w:p>
        </w:tc>
        <w:tc>
          <w:tcPr>
            <w:tcW w:w="500" w:type="dxa"/>
            <w:vAlign w:val="bottom"/>
            <w:tcBorders>
              <w:top w:val="single" w:sz="8" w:color="CCEEFF"/>
            </w:tcBorders>
            <w:gridSpan w:val="2"/>
          </w:tcPr>
          <w:p>
            <w:pPr>
              <w:spacing w:after="0"/>
              <w:rPr>
                <w:sz w:val="13"/>
                <w:szCs w:val="13"/>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33</w:t>
            </w:r>
          </w:p>
        </w:tc>
      </w:tr>
      <w:tr>
        <w:trPr>
          <w:trHeight w:val="28"/>
        </w:trPr>
        <w:tc>
          <w:tcPr>
            <w:tcW w:w="140" w:type="dxa"/>
            <w:vAlign w:val="bottom"/>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r>
      <w:tr>
        <w:trPr>
          <w:trHeight w:val="167"/>
        </w:trPr>
        <w:tc>
          <w:tcPr>
            <w:tcW w:w="140" w:type="dxa"/>
            <w:vAlign w:val="bottom"/>
            <w:shd w:val="clear" w:color="auto" w:fill="CCEEFF"/>
          </w:tcPr>
          <w:p>
            <w:pPr>
              <w:spacing w:after="0"/>
              <w:rPr>
                <w:sz w:val="14"/>
                <w:szCs w:val="14"/>
                <w:color w:val="auto"/>
              </w:rPr>
            </w:pPr>
          </w:p>
        </w:tc>
        <w:tc>
          <w:tcPr>
            <w:tcW w:w="1052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Nonqualified Deferred Compensation</w:t>
            </w:r>
          </w:p>
        </w:tc>
        <w:tc>
          <w:tcPr>
            <w:tcW w:w="60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33</w:t>
            </w:r>
          </w:p>
        </w:tc>
      </w:tr>
      <w:tr>
        <w:trPr>
          <w:trHeight w:val="37"/>
        </w:trPr>
        <w:tc>
          <w:tcPr>
            <w:tcW w:w="140" w:type="dxa"/>
            <w:vAlign w:val="bottom"/>
            <w:shd w:val="clear" w:color="auto" w:fill="CCEEFF"/>
          </w:tcPr>
          <w:p>
            <w:pPr>
              <w:spacing w:after="0"/>
              <w:rPr>
                <w:sz w:val="3"/>
                <w:szCs w:val="3"/>
                <w:color w:val="auto"/>
              </w:rPr>
            </w:pPr>
          </w:p>
        </w:tc>
        <w:tc>
          <w:tcPr>
            <w:tcW w:w="110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r>
      <w:tr>
        <w:trPr>
          <w:trHeight w:val="167"/>
        </w:trPr>
        <w:tc>
          <w:tcPr>
            <w:tcW w:w="140" w:type="dxa"/>
            <w:vAlign w:val="bottom"/>
          </w:tcPr>
          <w:p>
            <w:pPr>
              <w:spacing w:after="0"/>
              <w:rPr>
                <w:sz w:val="14"/>
                <w:szCs w:val="14"/>
                <w:color w:val="auto"/>
              </w:rPr>
            </w:pPr>
          </w:p>
        </w:tc>
        <w:tc>
          <w:tcPr>
            <w:tcW w:w="3920" w:type="dxa"/>
            <w:vAlign w:val="bottom"/>
            <w:tcBorders>
              <w:bottom w:val="single" w:sz="8" w:color="0000EE"/>
            </w:tcBorders>
            <w:gridSpan w:val="15"/>
          </w:tcPr>
          <w:p>
            <w:pPr>
              <w:spacing w:after="0" w:line="159" w:lineRule="exact"/>
              <w:rPr>
                <w:sz w:val="20"/>
                <w:szCs w:val="20"/>
                <w:color w:val="auto"/>
              </w:rPr>
            </w:pPr>
            <w:r>
              <w:rPr>
                <w:rFonts w:ascii="Times New Roman" w:cs="Times New Roman" w:eastAsia="Times New Roman" w:hAnsi="Times New Roman"/>
                <w:sz w:val="16"/>
                <w:szCs w:val="16"/>
                <w:color w:val="0000EE"/>
              </w:rPr>
              <w:t>Potential Payments upon Termination or Change-In-Control</w:t>
            </w:r>
          </w:p>
        </w:tc>
        <w:tc>
          <w:tcPr>
            <w:tcW w:w="6600" w:type="dxa"/>
            <w:vAlign w:val="bottom"/>
            <w:gridSpan w:val="9"/>
          </w:tcPr>
          <w:p>
            <w:pPr>
              <w:spacing w:after="0"/>
              <w:rPr>
                <w:sz w:val="14"/>
                <w:szCs w:val="14"/>
                <w:color w:val="auto"/>
              </w:rPr>
            </w:pPr>
          </w:p>
        </w:tc>
        <w:tc>
          <w:tcPr>
            <w:tcW w:w="500" w:type="dxa"/>
            <w:vAlign w:val="bottom"/>
            <w:gridSpan w:val="2"/>
          </w:tcPr>
          <w:p>
            <w:pPr>
              <w:spacing w:after="0"/>
              <w:rPr>
                <w:sz w:val="14"/>
                <w:szCs w:val="1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34</w:t>
            </w:r>
          </w:p>
        </w:tc>
      </w:tr>
      <w:tr>
        <w:trPr>
          <w:trHeight w:val="167"/>
        </w:trPr>
        <w:tc>
          <w:tcPr>
            <w:tcW w:w="140" w:type="dxa"/>
            <w:vAlign w:val="bottom"/>
            <w:shd w:val="clear" w:color="auto" w:fill="CCEEFF"/>
          </w:tcPr>
          <w:p>
            <w:pPr>
              <w:spacing w:after="0"/>
              <w:rPr>
                <w:sz w:val="14"/>
                <w:szCs w:val="14"/>
                <w:color w:val="auto"/>
              </w:rPr>
            </w:pPr>
          </w:p>
        </w:tc>
        <w:tc>
          <w:tcPr>
            <w:tcW w:w="1052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Pay Versus Performance</w:t>
            </w:r>
          </w:p>
        </w:tc>
        <w:tc>
          <w:tcPr>
            <w:tcW w:w="60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36</w:t>
            </w:r>
          </w:p>
        </w:tc>
      </w:tr>
      <w:tr>
        <w:trPr>
          <w:trHeight w:val="37"/>
        </w:trPr>
        <w:tc>
          <w:tcPr>
            <w:tcW w:w="140" w:type="dxa"/>
            <w:vAlign w:val="bottom"/>
            <w:shd w:val="clear" w:color="auto" w:fill="CCEEFF"/>
          </w:tcPr>
          <w:p>
            <w:pPr>
              <w:spacing w:after="0"/>
              <w:rPr>
                <w:sz w:val="3"/>
                <w:szCs w:val="3"/>
                <w:color w:val="auto"/>
              </w:rPr>
            </w:pPr>
          </w:p>
        </w:tc>
        <w:tc>
          <w:tcPr>
            <w:tcW w:w="110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r>
      <w:tr>
        <w:trPr>
          <w:trHeight w:val="159"/>
        </w:trPr>
        <w:tc>
          <w:tcPr>
            <w:tcW w:w="140" w:type="dxa"/>
            <w:vAlign w:val="bottom"/>
          </w:tcPr>
          <w:p>
            <w:pPr>
              <w:spacing w:after="0"/>
              <w:rPr>
                <w:sz w:val="13"/>
                <w:szCs w:val="13"/>
                <w:color w:val="auto"/>
              </w:rPr>
            </w:pPr>
          </w:p>
        </w:tc>
        <w:tc>
          <w:tcPr>
            <w:tcW w:w="10520" w:type="dxa"/>
            <w:vAlign w:val="bottom"/>
            <w:gridSpan w:val="24"/>
          </w:tcPr>
          <w:p>
            <w:pPr>
              <w:spacing w:after="0" w:line="159" w:lineRule="exact"/>
              <w:rPr>
                <w:sz w:val="20"/>
                <w:szCs w:val="20"/>
                <w:color w:val="auto"/>
              </w:rPr>
            </w:pPr>
            <w:r>
              <w:rPr>
                <w:rFonts w:ascii="Times New Roman" w:cs="Times New Roman" w:eastAsia="Times New Roman" w:hAnsi="Times New Roman"/>
                <w:sz w:val="16"/>
                <w:szCs w:val="16"/>
                <w:color w:val="0000EE"/>
              </w:rPr>
              <w:t>Relationship Between Financial Performance Measures</w:t>
            </w:r>
          </w:p>
        </w:tc>
        <w:tc>
          <w:tcPr>
            <w:tcW w:w="6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6"/>
                <w:szCs w:val="16"/>
                <w:color w:val="0000EE"/>
              </w:rPr>
              <w:t>36</w:t>
            </w:r>
          </w:p>
        </w:tc>
      </w:tr>
      <w:tr>
        <w:trPr>
          <w:trHeight w:val="28"/>
        </w:trPr>
        <w:tc>
          <w:tcPr>
            <w:tcW w:w="140" w:type="dxa"/>
            <w:vAlign w:val="bottom"/>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r>
      <w:tr>
        <w:trPr>
          <w:trHeight w:val="184"/>
        </w:trPr>
        <w:tc>
          <w:tcPr>
            <w:tcW w:w="10660" w:type="dxa"/>
            <w:vAlign w:val="bottom"/>
            <w:gridSpan w:val="2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w:t>
            </w:r>
          </w:p>
        </w:tc>
        <w:tc>
          <w:tcPr>
            <w:tcW w:w="60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38</w:t>
            </w:r>
          </w:p>
        </w:tc>
      </w:tr>
      <w:tr>
        <w:trPr>
          <w:trHeight w:val="167"/>
        </w:trPr>
        <w:tc>
          <w:tcPr>
            <w:tcW w:w="2420" w:type="dxa"/>
            <w:vAlign w:val="bottom"/>
            <w:tcBorders>
              <w:top w:val="single" w:sz="8" w:color="0000EE"/>
              <w:bottom w:val="single" w:sz="8" w:color="0000EE"/>
            </w:tcBorders>
            <w:gridSpan w:val="6"/>
          </w:tcPr>
          <w:p>
            <w:pPr>
              <w:spacing w:after="0" w:line="159" w:lineRule="exact"/>
              <w:rPr>
                <w:sz w:val="20"/>
                <w:szCs w:val="20"/>
                <w:color w:val="auto"/>
              </w:rPr>
            </w:pPr>
            <w:r>
              <w:rPr>
                <w:rFonts w:ascii="Times New Roman" w:cs="Times New Roman" w:eastAsia="Times New Roman" w:hAnsi="Times New Roman"/>
                <w:sz w:val="16"/>
                <w:szCs w:val="16"/>
                <w:color w:val="0000EE"/>
              </w:rPr>
              <w:t>REPORT OF AUDIT COMMITTEE</w:t>
            </w:r>
          </w:p>
        </w:tc>
        <w:tc>
          <w:tcPr>
            <w:tcW w:w="3660" w:type="dxa"/>
            <w:vAlign w:val="bottom"/>
            <w:tcBorders>
              <w:top w:val="single" w:sz="8" w:color="0000EE"/>
            </w:tcBorders>
            <w:gridSpan w:val="17"/>
          </w:tcPr>
          <w:p>
            <w:pPr>
              <w:spacing w:after="0"/>
              <w:rPr>
                <w:sz w:val="14"/>
                <w:szCs w:val="14"/>
                <w:color w:val="auto"/>
              </w:rPr>
            </w:pPr>
          </w:p>
        </w:tc>
        <w:tc>
          <w:tcPr>
            <w:tcW w:w="4580" w:type="dxa"/>
            <w:vAlign w:val="bottom"/>
            <w:tcBorders>
              <w:top w:val="single" w:sz="8" w:color="CCEEFF"/>
            </w:tcBorders>
            <w:gridSpan w:val="2"/>
          </w:tcPr>
          <w:p>
            <w:pPr>
              <w:spacing w:after="0"/>
              <w:rPr>
                <w:sz w:val="14"/>
                <w:szCs w:val="14"/>
                <w:color w:val="auto"/>
              </w:rPr>
            </w:pPr>
          </w:p>
        </w:tc>
        <w:tc>
          <w:tcPr>
            <w:tcW w:w="500" w:type="dxa"/>
            <w:vAlign w:val="bottom"/>
            <w:tcBorders>
              <w:top w:val="single" w:sz="8" w:color="CCEEFF"/>
            </w:tcBorders>
            <w:gridSpan w:val="2"/>
          </w:tcPr>
          <w:p>
            <w:pPr>
              <w:spacing w:after="0"/>
              <w:rPr>
                <w:sz w:val="14"/>
                <w:szCs w:val="14"/>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41</w:t>
            </w:r>
          </w:p>
        </w:tc>
      </w:tr>
      <w:tr>
        <w:trPr>
          <w:trHeight w:val="184"/>
        </w:trPr>
        <w:tc>
          <w:tcPr>
            <w:tcW w:w="10660" w:type="dxa"/>
            <w:vAlign w:val="bottom"/>
            <w:gridSpan w:val="2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CERTAIN RELATIONSHIPS AND RELATED PERSON TRANSACTIONS</w:t>
            </w:r>
          </w:p>
        </w:tc>
        <w:tc>
          <w:tcPr>
            <w:tcW w:w="60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42</w:t>
            </w:r>
          </w:p>
        </w:tc>
      </w:tr>
      <w:tr>
        <w:trPr>
          <w:trHeight w:val="159"/>
        </w:trPr>
        <w:tc>
          <w:tcPr>
            <w:tcW w:w="5060" w:type="dxa"/>
            <w:vAlign w:val="bottom"/>
            <w:tcBorders>
              <w:top w:val="single" w:sz="8" w:color="0000EE"/>
            </w:tcBorders>
            <w:gridSpan w:val="20"/>
          </w:tcPr>
          <w:p>
            <w:pPr>
              <w:spacing w:after="0" w:line="159" w:lineRule="exact"/>
              <w:rPr>
                <w:sz w:val="20"/>
                <w:szCs w:val="20"/>
                <w:color w:val="auto"/>
              </w:rPr>
            </w:pPr>
            <w:r>
              <w:rPr>
                <w:rFonts w:ascii="Times New Roman" w:cs="Times New Roman" w:eastAsia="Times New Roman" w:hAnsi="Times New Roman"/>
                <w:sz w:val="16"/>
                <w:szCs w:val="16"/>
                <w:color w:val="0000EE"/>
              </w:rPr>
              <w:t>OTHER MATTERS</w:t>
            </w:r>
          </w:p>
        </w:tc>
        <w:tc>
          <w:tcPr>
            <w:tcW w:w="5600" w:type="dxa"/>
            <w:vAlign w:val="bottom"/>
            <w:tcBorders>
              <w:top w:val="single" w:sz="8" w:color="CCEEFF"/>
            </w:tcBorders>
            <w:gridSpan w:val="5"/>
          </w:tcPr>
          <w:p>
            <w:pPr>
              <w:spacing w:after="0"/>
              <w:rPr>
                <w:sz w:val="13"/>
                <w:szCs w:val="13"/>
                <w:color w:val="auto"/>
              </w:rPr>
            </w:pPr>
          </w:p>
        </w:tc>
        <w:tc>
          <w:tcPr>
            <w:tcW w:w="500" w:type="dxa"/>
            <w:vAlign w:val="bottom"/>
            <w:tcBorders>
              <w:top w:val="single" w:sz="8" w:color="CCEEFF"/>
            </w:tcBorders>
            <w:gridSpan w:val="2"/>
          </w:tcPr>
          <w:p>
            <w:pPr>
              <w:spacing w:after="0"/>
              <w:rPr>
                <w:sz w:val="13"/>
                <w:szCs w:val="13"/>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43</w:t>
            </w:r>
          </w:p>
        </w:tc>
      </w:tr>
      <w:tr>
        <w:trPr>
          <w:trHeight w:val="28"/>
        </w:trPr>
        <w:tc>
          <w:tcPr>
            <w:tcW w:w="1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r>
      <w:tr>
        <w:trPr>
          <w:trHeight w:val="167"/>
        </w:trPr>
        <w:tc>
          <w:tcPr>
            <w:tcW w:w="10660" w:type="dxa"/>
            <w:vAlign w:val="bottom"/>
            <w:gridSpan w:val="2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WHERE YOU CAN FIND MORE INFORMATION</w:t>
            </w:r>
          </w:p>
        </w:tc>
        <w:tc>
          <w:tcPr>
            <w:tcW w:w="60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43</w:t>
            </w:r>
          </w:p>
        </w:tc>
      </w:tr>
      <w:tr>
        <w:trPr>
          <w:trHeight w:val="37"/>
        </w:trPr>
        <w:tc>
          <w:tcPr>
            <w:tcW w:w="140" w:type="dxa"/>
            <w:vAlign w:val="bottom"/>
            <w:shd w:val="clear" w:color="auto" w:fill="0000EE"/>
          </w:tcPr>
          <w:p>
            <w:pPr>
              <w:spacing w:after="0"/>
              <w:rPr>
                <w:sz w:val="3"/>
                <w:szCs w:val="3"/>
                <w:color w:val="auto"/>
              </w:rPr>
            </w:pPr>
          </w:p>
        </w:tc>
        <w:tc>
          <w:tcPr>
            <w:tcW w:w="110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tcBorders>
              <w:right w:val="single" w:sz="8" w:color="0000EE"/>
            </w:tcBorders>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r>
      <w:tr>
        <w:trPr>
          <w:trHeight w:val="167"/>
        </w:trPr>
        <w:tc>
          <w:tcPr>
            <w:tcW w:w="10660" w:type="dxa"/>
            <w:vAlign w:val="bottom"/>
            <w:gridSpan w:val="25"/>
          </w:tcPr>
          <w:p>
            <w:pPr>
              <w:spacing w:after="0" w:line="159" w:lineRule="exact"/>
              <w:rPr>
                <w:sz w:val="20"/>
                <w:szCs w:val="20"/>
                <w:color w:val="auto"/>
              </w:rPr>
            </w:pPr>
            <w:r>
              <w:rPr>
                <w:rFonts w:ascii="Times New Roman" w:cs="Times New Roman" w:eastAsia="Times New Roman" w:hAnsi="Times New Roman"/>
                <w:sz w:val="16"/>
                <w:szCs w:val="16"/>
                <w:color w:val="0000EE"/>
              </w:rPr>
              <w:t>DELIVERY OF DOCUMENTS TO STOCKHOLDERS SHARING AN ADDRESS</w:t>
            </w:r>
          </w:p>
        </w:tc>
        <w:tc>
          <w:tcPr>
            <w:tcW w:w="6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6"/>
                <w:szCs w:val="16"/>
                <w:color w:val="0000EE"/>
              </w:rPr>
              <w:t>43</w:t>
            </w:r>
          </w:p>
        </w:tc>
      </w:tr>
      <w:tr>
        <w:trPr>
          <w:trHeight w:val="184"/>
        </w:trPr>
        <w:tc>
          <w:tcPr>
            <w:tcW w:w="5500" w:type="dxa"/>
            <w:vAlign w:val="bottom"/>
            <w:tcBorders>
              <w:top w:val="single" w:sz="8" w:color="0000EE"/>
            </w:tcBorders>
            <w:gridSpan w:val="21"/>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STOCKHOLDER COMMUNICATIONS</w:t>
            </w:r>
          </w:p>
        </w:tc>
        <w:tc>
          <w:tcPr>
            <w:tcW w:w="5160" w:type="dxa"/>
            <w:vAlign w:val="bottom"/>
            <w:gridSpan w:val="4"/>
            <w:shd w:val="clear" w:color="auto" w:fill="CCEEFF"/>
          </w:tcPr>
          <w:p>
            <w:pPr>
              <w:spacing w:after="0"/>
              <w:rPr>
                <w:sz w:val="15"/>
                <w:szCs w:val="15"/>
                <w:color w:val="auto"/>
              </w:rPr>
            </w:pPr>
          </w:p>
        </w:tc>
        <w:tc>
          <w:tcPr>
            <w:tcW w:w="500" w:type="dxa"/>
            <w:vAlign w:val="bottom"/>
            <w:tcBorders>
              <w:right w:val="single" w:sz="8" w:color="CCEEFF"/>
            </w:tcBorders>
            <w:gridSpan w:val="2"/>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43</w:t>
            </w:r>
          </w:p>
        </w:tc>
      </w:tr>
      <w:tr>
        <w:trPr>
          <w:trHeight w:val="195"/>
        </w:trPr>
        <w:tc>
          <w:tcPr>
            <w:tcW w:w="27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auto"/>
              </w:rPr>
              <w:t>LEGAL PROCEEDINGS</w:t>
            </w:r>
          </w:p>
        </w:tc>
        <w:tc>
          <w:tcPr>
            <w:tcW w:w="7940" w:type="dxa"/>
            <w:vAlign w:val="bottom"/>
            <w:tcBorders>
              <w:top w:val="single" w:sz="8" w:color="CCEEFF"/>
            </w:tcBorders>
            <w:gridSpan w:val="17"/>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175"/>
        </w:trPr>
        <w:tc>
          <w:tcPr>
            <w:tcW w:w="8320" w:type="dxa"/>
            <w:vAlign w:val="bottom"/>
            <w:tcBorders>
              <w:bottom w:val="single" w:sz="8" w:color="0000EE"/>
            </w:tcBorders>
            <w:gridSpan w:val="24"/>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EE"/>
              </w:rPr>
              <w:t>SUBMISSION OF STOCKHOLDER PROPOSALS AND DIRECTOR NOMINATIONS AT THE 2026 ANNUAL MEETING</w:t>
            </w:r>
          </w:p>
        </w:tc>
        <w:tc>
          <w:tcPr>
            <w:tcW w:w="23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43</w:t>
            </w:r>
          </w:p>
        </w:tc>
      </w:tr>
      <w:tr>
        <w:trPr>
          <w:trHeight w:val="159"/>
        </w:trPr>
        <w:tc>
          <w:tcPr>
            <w:tcW w:w="4660" w:type="dxa"/>
            <w:vAlign w:val="bottom"/>
            <w:tcBorders>
              <w:bottom w:val="single" w:sz="8" w:color="0000EE"/>
            </w:tcBorders>
            <w:gridSpan w:val="19"/>
          </w:tcPr>
          <w:p>
            <w:pPr>
              <w:spacing w:after="0" w:line="159" w:lineRule="exact"/>
              <w:rPr>
                <w:sz w:val="20"/>
                <w:szCs w:val="20"/>
                <w:color w:val="auto"/>
              </w:rPr>
            </w:pPr>
            <w:r>
              <w:rPr>
                <w:rFonts w:ascii="Times New Roman" w:cs="Times New Roman" w:eastAsia="Times New Roman" w:hAnsi="Times New Roman"/>
                <w:sz w:val="16"/>
                <w:szCs w:val="16"/>
                <w:color w:val="0000EE"/>
              </w:rPr>
              <w:t>ANNEX A – FORM OF BOARD CLASSIFICATION AMENDMENT</w:t>
            </w:r>
          </w:p>
        </w:tc>
        <w:tc>
          <w:tcPr>
            <w:tcW w:w="6000" w:type="dxa"/>
            <w:vAlign w:val="bottom"/>
            <w:gridSpan w:val="6"/>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bottom w:val="single" w:sz="8" w:color="0000EE"/>
            </w:tcBorders>
            <w:gridSpan w:val="2"/>
          </w:tcPr>
          <w:p>
            <w:pPr>
              <w:jc w:val="right"/>
              <w:spacing w:after="0" w:line="159" w:lineRule="exact"/>
              <w:rPr>
                <w:sz w:val="20"/>
                <w:szCs w:val="20"/>
                <w:color w:val="auto"/>
              </w:rPr>
            </w:pPr>
            <w:r>
              <w:rPr>
                <w:rFonts w:ascii="Times New Roman" w:cs="Times New Roman" w:eastAsia="Times New Roman" w:hAnsi="Times New Roman"/>
                <w:sz w:val="16"/>
                <w:szCs w:val="16"/>
                <w:color w:val="0000EE"/>
                <w:w w:val="96"/>
              </w:rPr>
              <w:t>A-1</w:t>
            </w:r>
          </w:p>
        </w:tc>
      </w:tr>
      <w:tr>
        <w:trPr>
          <w:trHeight w:val="175"/>
        </w:trPr>
        <w:tc>
          <w:tcPr>
            <w:tcW w:w="10660" w:type="dxa"/>
            <w:vAlign w:val="bottom"/>
            <w:gridSpan w:val="25"/>
          </w:tcPr>
          <w:p>
            <w:pPr>
              <w:spacing w:after="0" w:line="175" w:lineRule="exact"/>
              <w:rPr>
                <w:sz w:val="20"/>
                <w:szCs w:val="20"/>
                <w:color w:val="auto"/>
              </w:rPr>
            </w:pPr>
            <w:r>
              <w:rPr>
                <w:rFonts w:ascii="Times New Roman" w:cs="Times New Roman" w:eastAsia="Times New Roman" w:hAnsi="Times New Roman"/>
                <w:sz w:val="16"/>
                <w:szCs w:val="16"/>
                <w:color w:val="0000EE"/>
              </w:rPr>
              <w:t>ANNEX B – FORM OF BYLAWS AMENDMENT</w:t>
            </w:r>
          </w:p>
        </w:tc>
        <w:tc>
          <w:tcPr>
            <w:tcW w:w="340" w:type="dxa"/>
            <w:vAlign w:val="bottom"/>
          </w:tcPr>
          <w:p>
            <w:pPr>
              <w:spacing w:after="0"/>
              <w:rPr>
                <w:sz w:val="15"/>
                <w:szCs w:val="15"/>
                <w:color w:val="auto"/>
              </w:rPr>
            </w:pPr>
          </w:p>
        </w:tc>
        <w:tc>
          <w:tcPr>
            <w:tcW w:w="2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0000EE"/>
                <w:w w:val="99"/>
              </w:rPr>
              <w:t>B-1</w:t>
            </w:r>
          </w:p>
        </w:tc>
      </w:tr>
      <w:tr>
        <w:trPr>
          <w:trHeight w:val="20"/>
        </w:trPr>
        <w:tc>
          <w:tcPr>
            <w:tcW w:w="3400" w:type="dxa"/>
            <w:vAlign w:val="bottom"/>
            <w:gridSpan w:val="10"/>
            <w:shd w:val="clear" w:color="auto" w:fill="0000EE"/>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6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75"/>
        </w:trPr>
        <w:tc>
          <w:tcPr>
            <w:tcW w:w="10660" w:type="dxa"/>
            <w:vAlign w:val="bottom"/>
            <w:gridSpan w:val="25"/>
          </w:tcPr>
          <w:p>
            <w:pPr>
              <w:spacing w:after="0" w:line="175" w:lineRule="exact"/>
              <w:rPr>
                <w:sz w:val="20"/>
                <w:szCs w:val="20"/>
                <w:color w:val="auto"/>
              </w:rPr>
            </w:pPr>
            <w:r>
              <w:rPr>
                <w:rFonts w:ascii="Times New Roman" w:cs="Times New Roman" w:eastAsia="Times New Roman" w:hAnsi="Times New Roman"/>
                <w:sz w:val="16"/>
                <w:szCs w:val="16"/>
                <w:color w:val="0000EE"/>
              </w:rPr>
              <w:t>ANNEX C – FORM OF REVERSE STOCK SPLIT AMENDMENT</w:t>
            </w:r>
          </w:p>
        </w:tc>
        <w:tc>
          <w:tcPr>
            <w:tcW w:w="340" w:type="dxa"/>
            <w:vAlign w:val="bottom"/>
          </w:tcPr>
          <w:p>
            <w:pPr>
              <w:spacing w:after="0"/>
              <w:rPr>
                <w:sz w:val="15"/>
                <w:szCs w:val="15"/>
                <w:color w:val="auto"/>
              </w:rPr>
            </w:pPr>
          </w:p>
        </w:tc>
        <w:tc>
          <w:tcPr>
            <w:tcW w:w="2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0000EE"/>
                <w:w w:val="99"/>
              </w:rPr>
              <w:t>C-1</w:t>
            </w:r>
          </w:p>
        </w:tc>
      </w:tr>
      <w:tr>
        <w:trPr>
          <w:trHeight w:val="408"/>
        </w:trPr>
        <w:tc>
          <w:tcPr>
            <w:tcW w:w="14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-5725160</wp:posOffset>
            </wp:positionV>
            <wp:extent cx="67729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910" cy="762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7" w:name="page8"/>
    <w:bookmarkEnd w:id="7"/>
    <w:p>
      <w:pPr>
        <w:jc w:val="center"/>
        <w:ind w:right="-1"/>
        <w:spacing w:after="0"/>
        <w:rPr>
          <w:sz w:val="20"/>
          <w:szCs w:val="20"/>
          <w:color w:val="auto"/>
        </w:rPr>
      </w:pPr>
      <w:r>
        <w:rPr>
          <w:rFonts w:ascii="Times New Roman" w:cs="Times New Roman" w:eastAsia="Times New Roman" w:hAnsi="Times New Roman"/>
          <w:sz w:val="23"/>
          <w:szCs w:val="23"/>
          <w:b w:val="1"/>
          <w:bCs w:val="1"/>
          <w:color w:val="auto"/>
        </w:rPr>
        <w:t>XWELL, INC.</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254 West 31st Street, 11th Floor</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89" w:lineRule="exact"/>
        <w:rPr>
          <w:sz w:val="20"/>
          <w:szCs w:val="20"/>
          <w:color w:val="auto"/>
        </w:rPr>
      </w:pPr>
    </w:p>
    <w:p>
      <w:pPr>
        <w:ind w:left="4802"/>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29" w:lineRule="exact"/>
        <w:rPr>
          <w:sz w:val="20"/>
          <w:szCs w:val="20"/>
          <w:color w:val="auto"/>
        </w:rPr>
      </w:pPr>
    </w:p>
    <w:p>
      <w:pPr>
        <w:ind w:left="4002"/>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11" w:lineRule="exact"/>
        <w:rPr>
          <w:sz w:val="20"/>
          <w:szCs w:val="20"/>
          <w:color w:val="auto"/>
        </w:rPr>
      </w:pPr>
    </w:p>
    <w:p>
      <w:pPr>
        <w:ind w:left="4162"/>
        <w:spacing w:after="0"/>
        <w:rPr>
          <w:sz w:val="20"/>
          <w:szCs w:val="20"/>
          <w:color w:val="auto"/>
        </w:rPr>
      </w:pPr>
      <w:r>
        <w:rPr>
          <w:rFonts w:ascii="Times New Roman" w:cs="Times New Roman" w:eastAsia="Times New Roman" w:hAnsi="Times New Roman"/>
          <w:sz w:val="16"/>
          <w:szCs w:val="16"/>
          <w:b w:val="1"/>
          <w:bCs w:val="1"/>
          <w:color w:val="auto"/>
        </w:rPr>
        <w:t>TO BE HELD ON SEPTEMBER 16, 2025</w:t>
      </w:r>
    </w:p>
    <w:p>
      <w:pPr>
        <w:spacing w:after="0" w:line="191" w:lineRule="exact"/>
        <w:rPr>
          <w:sz w:val="20"/>
          <w:szCs w:val="20"/>
          <w:color w:val="auto"/>
        </w:rPr>
      </w:pPr>
    </w:p>
    <w:p>
      <w:pPr>
        <w:jc w:val="both"/>
        <w:ind w:left="2"/>
        <w:spacing w:after="0" w:line="290" w:lineRule="auto"/>
        <w:rPr>
          <w:sz w:val="20"/>
          <w:szCs w:val="20"/>
          <w:color w:val="auto"/>
        </w:rPr>
      </w:pPr>
      <w:r>
        <w:rPr>
          <w:rFonts w:ascii="Times New Roman" w:cs="Times New Roman" w:eastAsia="Times New Roman" w:hAnsi="Times New Roman"/>
          <w:sz w:val="16"/>
          <w:szCs w:val="16"/>
          <w:color w:val="auto"/>
        </w:rPr>
        <w:t>This Proxy Statement, along with the accompanying Notice of the Annual Meeting of Stockholders, contains information about the 2025 annual meeting of stockholders (including any adjournment, postponement or rescheduling thereof, the “Annual Meeting”) of XWELL, Inc. (“XWELL,” the “Company,” “we,” or “us”).</w:t>
      </w:r>
    </w:p>
    <w:p>
      <w:pPr>
        <w:spacing w:after="0" w:line="142"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 xml:space="preserve">The Annual Meeting will be held at 11:00 a.m. Eastern Time on Tuesday, September 16, 2025. 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 w:cs="Times New Roman" w:eastAsia="Times New Roman" w:hAnsi="Times New Roman"/>
          <w:sz w:val="16"/>
          <w:szCs w:val="16"/>
          <w:i w:val="1"/>
          <w:iCs w:val="1"/>
          <w:color w:val="auto"/>
        </w:rPr>
        <w:t>https://web.viewproxy.com/XWELL/2025</w:t>
      </w:r>
      <w:r>
        <w:rPr>
          <w:rFonts w:ascii="Times New Roman" w:cs="Times New Roman" w:eastAsia="Times New Roman" w:hAnsi="Times New Roman"/>
          <w:sz w:val="16"/>
          <w:szCs w:val="16"/>
          <w:color w:val="auto"/>
        </w:rPr>
        <w:t xml:space="preserve"> by 11:59 p.m. Eastern Time on September 13, 2025. You will receive a meeting invitation by email with your unique link, along with a password, prior to the meeting date.</w:t>
      </w:r>
    </w:p>
    <w:p>
      <w:pPr>
        <w:spacing w:after="0" w:line="162" w:lineRule="exact"/>
        <w:rPr>
          <w:sz w:val="20"/>
          <w:szCs w:val="20"/>
          <w:color w:val="auto"/>
        </w:rPr>
      </w:pPr>
    </w:p>
    <w:p>
      <w:pPr>
        <w:jc w:val="both"/>
        <w:ind w:left="2"/>
        <w:spacing w:after="0" w:line="272" w:lineRule="auto"/>
        <w:rPr>
          <w:sz w:val="20"/>
          <w:szCs w:val="20"/>
          <w:color w:val="auto"/>
        </w:rPr>
      </w:pPr>
      <w:r>
        <w:rPr>
          <w:rFonts w:ascii="Times New Roman" w:cs="Times New Roman" w:eastAsia="Times New Roman" w:hAnsi="Times New Roman"/>
          <w:sz w:val="16"/>
          <w:szCs w:val="16"/>
          <w:color w:val="auto"/>
        </w:rPr>
        <w:t>Only stockholders of record of our (i) common stock, par value $0.01 per share (the “Common Stock”) and (ii) Series G Preferred Stock, par value $0.01 per share (the “Series G Preferred Stock”), at the close of business on July 25, 2025 (the “Record Date”), are entitled to notice of the Annual Meeting and to vote at the Annual Meeting. The Proxy Statement and the Proxy Card are first being made available to stockholders on or about August 8, 2025.</w:t>
      </w:r>
    </w:p>
    <w:p>
      <w:pPr>
        <w:spacing w:after="0" w:line="156" w:lineRule="exact"/>
        <w:rPr>
          <w:sz w:val="20"/>
          <w:szCs w:val="20"/>
          <w:color w:val="auto"/>
        </w:rPr>
      </w:pPr>
    </w:p>
    <w:p>
      <w:pPr>
        <w:jc w:val="both"/>
        <w:ind w:left="2"/>
        <w:spacing w:after="0" w:line="290" w:lineRule="auto"/>
        <w:rPr>
          <w:sz w:val="20"/>
          <w:szCs w:val="20"/>
          <w:color w:val="auto"/>
        </w:rPr>
      </w:pPr>
      <w:r>
        <w:rPr>
          <w:rFonts w:ascii="Times New Roman" w:cs="Times New Roman" w:eastAsia="Times New Roman" w:hAnsi="Times New Roman"/>
          <w:sz w:val="16"/>
          <w:szCs w:val="16"/>
          <w:color w:val="auto"/>
        </w:rPr>
        <w:t>Your vote is being solicited on behalf of the Company’s board of directors (the “Board” or the “Board of Directors”). At the Annual Meeting, we will ask stockholders to consider the following proposals:</w:t>
      </w:r>
    </w:p>
    <w:p>
      <w:pPr>
        <w:spacing w:after="0" w:line="142" w:lineRule="exact"/>
        <w:rPr>
          <w:sz w:val="20"/>
          <w:szCs w:val="20"/>
          <w:color w:val="auto"/>
        </w:rPr>
      </w:pPr>
    </w:p>
    <w:p>
      <w:pPr>
        <w:ind w:left="322" w:hanging="322"/>
        <w:spacing w:after="0" w:line="290" w:lineRule="auto"/>
        <w:tabs>
          <w:tab w:leader="none" w:pos="32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Ezra Ernst, Bruce T. Bernstein, Robert Weinstein, Gaëlle Wizenberg and Michael Lebowitz to our Board of Directors (the “Board”), each to serve until the 2026 annual meeting of stockholders or until his or her respective successor is duly elected and qualified (the “Director Election Proposal”);</w:t>
      </w:r>
    </w:p>
    <w:p>
      <w:pPr>
        <w:spacing w:after="0" w:line="141" w:lineRule="exact"/>
        <w:rPr>
          <w:rFonts w:ascii="Times New Roman" w:cs="Times New Roman" w:eastAsia="Times New Roman" w:hAnsi="Times New Roman"/>
          <w:sz w:val="16"/>
          <w:szCs w:val="16"/>
          <w:color w:val="auto"/>
        </w:rPr>
      </w:pPr>
    </w:p>
    <w:p>
      <w:pPr>
        <w:ind w:left="322" w:hanging="322"/>
        <w:spacing w:after="0" w:line="290" w:lineRule="auto"/>
        <w:tabs>
          <w:tab w:leader="none" w:pos="32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CBIZ CPAs P.C. as our independent registered public accounting firm for the fiscal year ending December 31, 2025 (the “Auditor Ratification Proposal”);</w:t>
      </w:r>
    </w:p>
    <w:p>
      <w:pPr>
        <w:spacing w:after="0" w:line="141" w:lineRule="exact"/>
        <w:rPr>
          <w:rFonts w:ascii="Times New Roman" w:cs="Times New Roman" w:eastAsia="Times New Roman" w:hAnsi="Times New Roman"/>
          <w:sz w:val="16"/>
          <w:szCs w:val="16"/>
          <w:color w:val="auto"/>
        </w:rPr>
      </w:pPr>
    </w:p>
    <w:p>
      <w:pPr>
        <w:ind w:left="322" w:hanging="322"/>
        <w:spacing w:after="0" w:line="290" w:lineRule="auto"/>
        <w:tabs>
          <w:tab w:leader="none" w:pos="32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compensation of our named executive officers, as disclosed in the accompanying Proxy Statement (the “Say-on-Pay Proposal”);</w:t>
      </w:r>
    </w:p>
    <w:p>
      <w:pPr>
        <w:spacing w:after="0" w:line="141" w:lineRule="exact"/>
        <w:rPr>
          <w:rFonts w:ascii="Times New Roman" w:cs="Times New Roman" w:eastAsia="Times New Roman" w:hAnsi="Times New Roman"/>
          <w:sz w:val="16"/>
          <w:szCs w:val="16"/>
          <w:color w:val="auto"/>
        </w:rPr>
      </w:pPr>
    </w:p>
    <w:p>
      <w:pPr>
        <w:ind w:left="322" w:right="20" w:hanging="322"/>
        <w:spacing w:after="0" w:line="290" w:lineRule="auto"/>
        <w:tabs>
          <w:tab w:leader="none" w:pos="32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frequency of future nonbinding advisory votes of the stockholders’ approval of the executive compensation of the Company (the “Say-on-Frequency Proposal”);</w:t>
      </w:r>
    </w:p>
    <w:p>
      <w:pPr>
        <w:spacing w:after="0" w:line="141" w:lineRule="exact"/>
        <w:rPr>
          <w:rFonts w:ascii="Times New Roman" w:cs="Times New Roman" w:eastAsia="Times New Roman" w:hAnsi="Times New Roman"/>
          <w:sz w:val="16"/>
          <w:szCs w:val="16"/>
          <w:color w:val="auto"/>
        </w:rPr>
      </w:pPr>
    </w:p>
    <w:p>
      <w:pPr>
        <w:jc w:val="both"/>
        <w:ind w:left="322" w:hanging="322"/>
        <w:spacing w:after="0" w:line="272" w:lineRule="auto"/>
        <w:tabs>
          <w:tab w:leader="none" w:pos="32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“Board Classification Amendment”), substantially in the form attached hereto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to the Company’s Certificate of Incorporation (as amended, the “Certificate of Incorporation”) to classify the Board into two classes, with the directors in each class to serve staggered two-year terms (the “Board Classification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1456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310" w:right="339" w:bottom="1440" w:gutter="0" w:footer="0" w:header="0"/>
        </w:sectPr>
      </w:pPr>
    </w:p>
    <w:bookmarkStart w:id="8" w:name="page9"/>
    <w:bookmarkEnd w:id="8"/>
    <w:p>
      <w:pPr>
        <w:jc w:val="both"/>
        <w:ind w:left="322" w:hanging="322"/>
        <w:spacing w:after="0" w:line="266" w:lineRule="auto"/>
        <w:tabs>
          <w:tab w:leader="none" w:pos="32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“Reverse Stock Split Amendment”), substantially in the form attached hereto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to the Certificate of Incorporation to effect, at the discretion of the Board but prior to the one-year anniversary of the reverse stock split (the “Reverse Stock Split”) is approved by the Company’s stockholders at the Annual Meeting, the Reverse Stock Split at a ratio in the range of 1-for-2 to 1-for-20, with such ratio to be determined by the Board in its discretion and included in a public announcement (the “Reverse Stock Split Proposal”);</w:t>
      </w:r>
    </w:p>
    <w:p>
      <w:pPr>
        <w:spacing w:after="0" w:line="161" w:lineRule="exact"/>
        <w:rPr>
          <w:rFonts w:ascii="Times New Roman" w:cs="Times New Roman" w:eastAsia="Times New Roman" w:hAnsi="Times New Roman"/>
          <w:sz w:val="16"/>
          <w:szCs w:val="16"/>
          <w:color w:val="auto"/>
        </w:rPr>
      </w:pPr>
    </w:p>
    <w:p>
      <w:pPr>
        <w:ind w:left="322" w:hanging="322"/>
        <w:spacing w:after="0" w:line="290" w:lineRule="auto"/>
        <w:tabs>
          <w:tab w:leader="none" w:pos="32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w:t>
      </w:r>
    </w:p>
    <w:p>
      <w:pPr>
        <w:spacing w:after="0" w:line="141" w:lineRule="exact"/>
        <w:rPr>
          <w:rFonts w:ascii="Times New Roman" w:cs="Times New Roman" w:eastAsia="Times New Roman" w:hAnsi="Times New Roman"/>
          <w:sz w:val="16"/>
          <w:szCs w:val="16"/>
          <w:color w:val="auto"/>
        </w:rPr>
      </w:pPr>
    </w:p>
    <w:p>
      <w:pPr>
        <w:ind w:left="322" w:hanging="322"/>
        <w:spacing w:after="0"/>
        <w:tabs>
          <w:tab w:leader="none" w:pos="32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adjournments or postponements thereof.</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Stockholders may also consider and act upon such other matters as may properly come before the Annual Meeting.</w:t>
      </w:r>
    </w:p>
    <w:p>
      <w:pPr>
        <w:spacing w:after="0" w:line="205" w:lineRule="exact"/>
        <w:rPr>
          <w:sz w:val="20"/>
          <w:szCs w:val="20"/>
          <w:color w:val="auto"/>
        </w:rPr>
      </w:pPr>
    </w:p>
    <w:p>
      <w:pPr>
        <w:ind w:left="2"/>
        <w:spacing w:after="0" w:line="292" w:lineRule="auto"/>
        <w:rPr>
          <w:sz w:val="20"/>
          <w:szCs w:val="20"/>
          <w:color w:val="auto"/>
        </w:rPr>
      </w:pPr>
      <w:r>
        <w:rPr>
          <w:rFonts w:ascii="Times New Roman" w:cs="Times New Roman" w:eastAsia="Times New Roman" w:hAnsi="Times New Roman"/>
          <w:sz w:val="16"/>
          <w:szCs w:val="16"/>
          <w:b w:val="1"/>
          <w:bCs w:val="1"/>
          <w:color w:val="auto"/>
        </w:rPr>
        <w:t>YOUR VOTE IS IMPORTANT. WE URGE YOU TO COMPLETE, SIGN, DATE AND PROMPTLY RETURN THE ENCLOSED PROXY CARD. FOR ADDITIONAL INSTRUCTIONS, PLEASE REFER TO THE ENCLOSED PROXY CARD.</w:t>
      </w:r>
    </w:p>
    <w:p>
      <w:pPr>
        <w:spacing w:after="0" w:line="14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If you have any questions, please contact our proxy solicitor, Alliance Advisors, LLC (“Alliance”):</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Phone Number: 1-833-215-7321</w:t>
      </w:r>
    </w:p>
    <w:p>
      <w:pPr>
        <w:spacing w:after="0" w:line="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Email: XWEL@allianceadvisors.com</w:t>
      </w:r>
    </w:p>
    <w:p>
      <w:pPr>
        <w:spacing w:after="0" w:line="1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150 Clove Rd Suite 400</w:t>
      </w:r>
    </w:p>
    <w:p>
      <w:pPr>
        <w:spacing w:after="0" w:line="1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Little Falls, NJ 07424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1456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318" w:right="339" w:bottom="1440" w:gutter="0" w:footer="0" w:header="0"/>
        </w:sectPr>
      </w:pPr>
    </w:p>
    <w:bookmarkStart w:id="9" w:name="page10"/>
    <w:bookmarkEnd w:id="9"/>
    <w:p>
      <w:pPr>
        <w:ind w:left="2682"/>
        <w:spacing w:after="0"/>
        <w:rPr>
          <w:sz w:val="20"/>
          <w:szCs w:val="20"/>
          <w:color w:val="auto"/>
        </w:rPr>
      </w:pPr>
      <w:r>
        <w:rPr>
          <w:rFonts w:ascii="Times New Roman" w:cs="Times New Roman" w:eastAsia="Times New Roman" w:hAnsi="Times New Roman"/>
          <w:sz w:val="16"/>
          <w:szCs w:val="16"/>
          <w:b w:val="1"/>
          <w:bCs w:val="1"/>
          <w:color w:val="auto"/>
        </w:rPr>
        <w:t>IMPORTANT INFORMATION ABOUT THE ANNUAL MEETING AND VOTING</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Why Did I Receive These Proxy Materials?</w:t>
      </w:r>
    </w:p>
    <w:p>
      <w:pPr>
        <w:spacing w:after="0" w:line="209" w:lineRule="exact"/>
        <w:rPr>
          <w:sz w:val="20"/>
          <w:szCs w:val="20"/>
          <w:color w:val="auto"/>
        </w:rPr>
      </w:pPr>
    </w:p>
    <w:p>
      <w:pPr>
        <w:jc w:val="both"/>
        <w:ind w:left="2"/>
        <w:spacing w:after="0" w:line="272" w:lineRule="auto"/>
        <w:rPr>
          <w:sz w:val="20"/>
          <w:szCs w:val="20"/>
          <w:color w:val="auto"/>
        </w:rPr>
      </w:pPr>
      <w:r>
        <w:rPr>
          <w:rFonts w:ascii="Times New Roman" w:cs="Times New Roman" w:eastAsia="Times New Roman" w:hAnsi="Times New Roman"/>
          <w:sz w:val="16"/>
          <w:szCs w:val="16"/>
          <w:color w:val="auto"/>
        </w:rPr>
        <w:t>You are receiving this Proxy Statement as a stockholder of the Company as of the Record Date for purposes of determining the stockholders entitled to receive notice of and vote at the Annual Meeting and in connection with the solicitation by the Board of proxies to be voted at the Annual Meeting. As a stockholder of the Company as of the Record Date, you are entitled to vote at the Annual Meeting on the following proposals:</w:t>
      </w:r>
    </w:p>
    <w:p>
      <w:pPr>
        <w:spacing w:after="0" w:line="156" w:lineRule="exact"/>
        <w:rPr>
          <w:sz w:val="20"/>
          <w:szCs w:val="20"/>
          <w:color w:val="auto"/>
        </w:rPr>
      </w:pPr>
    </w:p>
    <w:p>
      <w:pPr>
        <w:ind w:left="142" w:hanging="142"/>
        <w:spacing w:after="0" w:line="290" w:lineRule="auto"/>
        <w:tabs>
          <w:tab w:leader="none" w:pos="1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Ezra Ernst, Bruce T. Bernstein, Robert Weinstein, Gaëlle Wizenberg and Michael Lebowitz to our Board, each to serve until the 2026 annual meeting of stockholders or until his or her respective successor is duly elected and qualified (the “Director Election Proposal”);</w:t>
      </w:r>
    </w:p>
    <w:p>
      <w:pPr>
        <w:spacing w:after="0" w:line="141" w:lineRule="exact"/>
        <w:rPr>
          <w:rFonts w:ascii="Times New Roman" w:cs="Times New Roman" w:eastAsia="Times New Roman" w:hAnsi="Times New Roman"/>
          <w:sz w:val="16"/>
          <w:szCs w:val="16"/>
          <w:color w:val="auto"/>
        </w:rPr>
      </w:pPr>
    </w:p>
    <w:p>
      <w:pPr>
        <w:ind w:left="142" w:hanging="142"/>
        <w:spacing w:after="0" w:line="290" w:lineRule="auto"/>
        <w:tabs>
          <w:tab w:leader="none" w:pos="1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CBIZ CPAs P.C. as our independent registered public accounting firm for the fiscal year ending December 31, 2025 (the “Auditor Ratification Proposal”);</w:t>
      </w:r>
    </w:p>
    <w:p>
      <w:pPr>
        <w:spacing w:after="0" w:line="141" w:lineRule="exact"/>
        <w:rPr>
          <w:rFonts w:ascii="Times New Roman" w:cs="Times New Roman" w:eastAsia="Times New Roman" w:hAnsi="Times New Roman"/>
          <w:sz w:val="16"/>
          <w:szCs w:val="16"/>
          <w:color w:val="auto"/>
        </w:rPr>
      </w:pPr>
    </w:p>
    <w:p>
      <w:pPr>
        <w:ind w:left="142" w:hanging="142"/>
        <w:spacing w:after="0" w:line="290" w:lineRule="auto"/>
        <w:tabs>
          <w:tab w:leader="none" w:pos="1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compensation of our named executive officers, as disclosed in the accompanying Proxy Statement (the “Say-on-Pay Proposal”);</w:t>
      </w:r>
    </w:p>
    <w:p>
      <w:pPr>
        <w:spacing w:after="0" w:line="141" w:lineRule="exact"/>
        <w:rPr>
          <w:rFonts w:ascii="Times New Roman" w:cs="Times New Roman" w:eastAsia="Times New Roman" w:hAnsi="Times New Roman"/>
          <w:sz w:val="16"/>
          <w:szCs w:val="16"/>
          <w:color w:val="auto"/>
        </w:rPr>
      </w:pPr>
    </w:p>
    <w:p>
      <w:pPr>
        <w:ind w:left="142" w:right="20" w:hanging="142"/>
        <w:spacing w:after="0" w:line="290" w:lineRule="auto"/>
        <w:tabs>
          <w:tab w:leader="none" w:pos="1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frequency of future nonbinding advisory votes of the stockholders’ approval of the executive compensation of the Company (the “Say-on-Frequency Proposal”);</w:t>
      </w:r>
    </w:p>
    <w:p>
      <w:pPr>
        <w:spacing w:after="0" w:line="141" w:lineRule="exact"/>
        <w:rPr>
          <w:rFonts w:ascii="Times New Roman" w:cs="Times New Roman" w:eastAsia="Times New Roman" w:hAnsi="Times New Roman"/>
          <w:sz w:val="16"/>
          <w:szCs w:val="16"/>
          <w:color w:val="auto"/>
        </w:rPr>
      </w:pPr>
    </w:p>
    <w:p>
      <w:pPr>
        <w:jc w:val="both"/>
        <w:ind w:left="142" w:hanging="142"/>
        <w:spacing w:after="0" w:line="272" w:lineRule="auto"/>
        <w:tabs>
          <w:tab w:leader="none" w:pos="1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an amendment (the “Board Classification Amendment”), substantially in the form attached hereto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to the Company’s Certificate of Incorporation (as amended, the “Certificate of Incorporation”) to classify the Board into two classes, with the directors in each class to serve staggered two-year terms (the “Board Classification Proposal”);</w:t>
      </w:r>
    </w:p>
    <w:p>
      <w:pPr>
        <w:spacing w:after="0" w:line="156" w:lineRule="exact"/>
        <w:rPr>
          <w:rFonts w:ascii="Times New Roman" w:cs="Times New Roman" w:eastAsia="Times New Roman" w:hAnsi="Times New Roman"/>
          <w:sz w:val="16"/>
          <w:szCs w:val="16"/>
          <w:color w:val="auto"/>
        </w:rPr>
      </w:pPr>
    </w:p>
    <w:p>
      <w:pPr>
        <w:jc w:val="both"/>
        <w:ind w:left="142" w:hanging="142"/>
        <w:spacing w:after="0" w:line="266" w:lineRule="auto"/>
        <w:tabs>
          <w:tab w:leader="none" w:pos="1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approve the Reverse Stock Split Amendment (as defined herein), substantially in the form attached hereto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to the Company’s Certificate of Incorporation to effect, at the discretion of the Board but prior to the one-year anniversary of the Reverse Stock Split (as defined herein) is approved by the Company’s stockholders at the Annual Meeting, the Reverse Stock Split at a ratio in the range of 1-for-2 to 1-for-20, with such ratio to be determined by the Board in its discretion and included in a public announcement (the “Reverse Stock Split Proposal”);</w:t>
      </w:r>
    </w:p>
    <w:p>
      <w:pPr>
        <w:spacing w:after="0" w:line="161" w:lineRule="exact"/>
        <w:rPr>
          <w:rFonts w:ascii="Times New Roman" w:cs="Times New Roman" w:eastAsia="Times New Roman" w:hAnsi="Times New Roman"/>
          <w:sz w:val="16"/>
          <w:szCs w:val="16"/>
          <w:color w:val="auto"/>
        </w:rPr>
      </w:pPr>
    </w:p>
    <w:p>
      <w:pPr>
        <w:ind w:left="142" w:right="160" w:hanging="142"/>
        <w:spacing w:after="0" w:line="290" w:lineRule="auto"/>
        <w:tabs>
          <w:tab w:leader="none" w:pos="1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w:t>
      </w:r>
    </w:p>
    <w:p>
      <w:pPr>
        <w:spacing w:after="0" w:line="141" w:lineRule="exact"/>
        <w:rPr>
          <w:rFonts w:ascii="Times New Roman" w:cs="Times New Roman" w:eastAsia="Times New Roman" w:hAnsi="Times New Roman"/>
          <w:sz w:val="16"/>
          <w:szCs w:val="16"/>
          <w:color w:val="auto"/>
        </w:rPr>
      </w:pPr>
    </w:p>
    <w:p>
      <w:pPr>
        <w:ind w:left="142" w:hanging="142"/>
        <w:spacing w:after="0"/>
        <w:tabs>
          <w:tab w:leader="none" w:pos="1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adjournments or postponements thereof.</w:t>
      </w:r>
    </w:p>
    <w:p>
      <w:pPr>
        <w:spacing w:after="0" w:line="207"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Stockholders may also consider and act upon such other matters as may properly come before the Annual Meeting. We are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Securities Exchange Act of 1934, as amended, and the rules and regulations promulgated thereunder (the “Exchange Act”).</w:t>
      </w: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3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How Does the Board Recommend That I Vote on the Proposals?</w:t>
      </w:r>
    </w:p>
    <w:p>
      <w:pPr>
        <w:spacing w:after="0" w:line="20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color w:val="auto"/>
        </w:rPr>
        <w:t>The Board unanimously recommends that you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each of the Director Election Proposal, the Auditor Ratification Proposal, the Say-on-Pay Proposal, the Board Classification Proposal, the Reverse Stock Split Proposal and the Adjournment Proposal, and “</w:t>
      </w:r>
      <w:r>
        <w:rPr>
          <w:rFonts w:ascii="Times New Roman" w:cs="Times New Roman" w:eastAsia="Times New Roman" w:hAnsi="Times New Roman"/>
          <w:sz w:val="16"/>
          <w:szCs w:val="16"/>
          <w:b w:val="1"/>
          <w:bCs w:val="1"/>
          <w:color w:val="auto"/>
        </w:rPr>
        <w:t>EVERY THREE YEARS</w:t>
      </w:r>
      <w:r>
        <w:rPr>
          <w:rFonts w:ascii="Times New Roman" w:cs="Times New Roman" w:eastAsia="Times New Roman" w:hAnsi="Times New Roman"/>
          <w:sz w:val="16"/>
          <w:szCs w:val="16"/>
          <w:color w:val="auto"/>
        </w:rPr>
        <w:t>” for the Say-on-Frequency Proposal.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Can Vote?</w:t>
      </w:r>
    </w:p>
    <w:p>
      <w:pPr>
        <w:spacing w:after="0" w:line="20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Only stockholders who owned shares of our Common Stock and our Series G Preferred Stock at the close of business on July 25, 2025 (the “Record Date”), are entitled to vote at the Annual Meeting. On the Record Date, there were (i) 4,000 shares of Common Stock issued and outstanding and entitled to vote and (ii) 5,756,703 shares of Series G Preferred Stock outstanding and entitled to vote. As of the Record Date, the Common Stock and the Series G Preferred Stock are the only classes of voting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 My Vote Important?</w:t>
      </w:r>
    </w:p>
    <w:p>
      <w:pPr>
        <w:spacing w:after="0" w:line="20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Yes, your vote is very important. We urge you to vote, regardless of the number of shares you own or whether you are able to attend the Annual Meeting virtually. Please complete, sign, date and promptly return the enclosed Proxy Card in the postage-paid envelope provided or vote over the Internet or by telephone by following the instructions on the enclosed Proxy Card, even if you plan to attend the Annual Meeting virtually.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Is Soliciting My Vote?</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Board, on behalf of the Company, is soliciting your proxy to vote your shares of our Common Stock on all matters scheduled to come before the Annual Meeting, whether or not you attend the Annual Meeting virtually. By submitting your proxy and voting instructions via the Internet, by telephone or by completing, signing, dating and promptly returning the enclosed Proxy Card, you are authorizing the persons named as proxies to vote your shares of Common Stock at the Annual Meeting as you have instructed. Proxies will be solicited on behalf of the Board by the Company’s directors and certain executive officers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Additionally, the Company has retained Alliance Advisors, LLC (“Alliance”), a proxy solicitation firm, which may solicit proxies on the Board’s behalf. You may also be solicited by press releases issued by us, postings on our website or other websites or otherwise. Unless expressly indicated otherwise, information contained on our website is not part of this Proxy Statement. In addition, none of the information on the other websites, if any, listed in this Proxy Statement is part of this Proxy Statement. Such website addresses are intended to be inactive textual references only.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Can I Access the Proxy Materials on the Internet?</w:t>
      </w:r>
    </w:p>
    <w:p>
      <w:pPr>
        <w:spacing w:after="0" w:line="20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Yes. The Company’s Proxy Statement and the Annual Report on Form 10-K for the year ended December 31, 2024, (as amended, the “2024 Annual Report”) are available free of charge at </w:t>
      </w:r>
      <w:r>
        <w:rPr>
          <w:rFonts w:ascii="Times New Roman" w:cs="Times New Roman" w:eastAsia="Times New Roman" w:hAnsi="Times New Roman"/>
          <w:sz w:val="16"/>
          <w:szCs w:val="16"/>
          <w:i w:val="1"/>
          <w:iCs w:val="1"/>
          <w:color w:val="auto"/>
        </w:rPr>
        <w:t>http://viewproxy.com/XWELL/2025</w:t>
      </w:r>
      <w:r>
        <w:rPr>
          <w:rFonts w:ascii="Times New Roman" w:cs="Times New Roman" w:eastAsia="Times New Roman" w:hAnsi="Times New Roman"/>
          <w:sz w:val="16"/>
          <w:szCs w:val="16"/>
          <w:color w:val="auto"/>
        </w:rPr>
        <w:t xml:space="preserve">. You may also obtain these materials at the U.S. Securities and Exchange Commission (the “SEC”)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Can Stockholders Attend the Annual Meeting? Am I Entitled to Attend the Annual Meeting in Person? Why Are You Holding a Virtual Annual Meeting?</w:t>
      </w:r>
    </w:p>
    <w:p>
      <w:pPr>
        <w:spacing w:after="0" w:line="20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This Annual Meeting will be held in a virtual meeting format only, and it is open to all of our stockholders.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Registering to Attend the Annual Meeting</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Stockholders of Record</w:t>
      </w:r>
    </w:p>
    <w:p>
      <w:pPr>
        <w:spacing w:after="0" w:line="20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 xml:space="preserve">If, as of the Record Date, your shares are registered in your own name, you may register to attend the Annual Meeting by going to </w:t>
      </w:r>
      <w:r>
        <w:rPr>
          <w:rFonts w:ascii="Times New Roman" w:cs="Times New Roman" w:eastAsia="Times New Roman" w:hAnsi="Times New Roman"/>
          <w:sz w:val="16"/>
          <w:szCs w:val="16"/>
          <w:i w:val="1"/>
          <w:iCs w:val="1"/>
          <w:color w:val="auto"/>
        </w:rPr>
        <w:t>https://web.viewproxy.com/XWELL/2025</w:t>
      </w:r>
      <w:r>
        <w:rPr>
          <w:rFonts w:ascii="Times New Roman" w:cs="Times New Roman" w:eastAsia="Times New Roman" w:hAnsi="Times New Roman"/>
          <w:sz w:val="16"/>
          <w:szCs w:val="16"/>
          <w:color w:val="auto"/>
        </w:rPr>
        <w:t xml:space="preserve"> no later than 11:59 p.m. Eastern Time on September 13, 2025, and registering for the meeting exactly as your registration appears on your Proxy Card. You must provide a valid email address to register and to vote at the Annual Meeting.</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1" w:name="page12"/>
    <w:bookmarkEnd w:id="11"/>
    <w:p>
      <w:pPr>
        <w:ind w:left="2"/>
        <w:spacing w:after="0"/>
        <w:rPr>
          <w:sz w:val="20"/>
          <w:szCs w:val="20"/>
          <w:color w:val="auto"/>
        </w:rPr>
      </w:pPr>
      <w:r>
        <w:rPr>
          <w:rFonts w:ascii="Times New Roman" w:cs="Times New Roman" w:eastAsia="Times New Roman" w:hAnsi="Times New Roman"/>
          <w:sz w:val="16"/>
          <w:szCs w:val="16"/>
          <w:i w:val="1"/>
          <w:iCs w:val="1"/>
          <w:color w:val="auto"/>
        </w:rPr>
        <w:t>Registering to Attend the Annual Meeting</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Beneficial Stockholders</w:t>
      </w:r>
    </w:p>
    <w:p>
      <w:pPr>
        <w:spacing w:after="0" w:line="209"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Annual Meeting by going to https://web.viewproxy.com/XWELL/2025 no later than 11:59 p.m. Eastern Time on September 13, 2025, and following the instructions on the website. After registering, you may be asked to provide proof of ownership and, if applicable, a legal proxy, before being approved for attendance at the meeting. You must provide a valid email address to register and to vote at the Annual Meeting.</w:t>
      </w:r>
    </w:p>
    <w:p>
      <w:pPr>
        <w:spacing w:after="0" w:line="16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 xml:space="preserve">After successfully registering, stockholders will receive a meeting invitation by email with your unique link, along with a password, prior to the meeting date. We recommend that stockholders carefully review in advance the procedures needed to gain admission virtually to the Annual Meeting. If you do not comply with the procedures outlined above, you will not be admitted to the Annual Meeting. If you have any questions or require any assistance with pre-registering, please contact the Company’s proxy solicitor, Alliance, by calling 866-612-8937 or by email at </w:t>
      </w:r>
      <w:r>
        <w:rPr>
          <w:rFonts w:ascii="Times New Roman" w:cs="Times New Roman" w:eastAsia="Times New Roman" w:hAnsi="Times New Roman"/>
          <w:sz w:val="16"/>
          <w:szCs w:val="16"/>
          <w:u w:val="single" w:color="auto"/>
          <w:color w:val="auto"/>
        </w:rPr>
        <w:t>VirtualMeeting@viewproxy.com</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What Happens if There Are Technical Difficulties during the Annual Meeting?</w:t>
      </w:r>
    </w:p>
    <w:p>
      <w:pPr>
        <w:spacing w:after="0" w:line="209" w:lineRule="exact"/>
        <w:rPr>
          <w:sz w:val="20"/>
          <w:szCs w:val="20"/>
          <w:color w:val="auto"/>
        </w:rPr>
      </w:pPr>
    </w:p>
    <w:p>
      <w:pPr>
        <w:jc w:val="both"/>
        <w:ind w:left="2"/>
        <w:spacing w:after="0" w:line="272" w:lineRule="auto"/>
        <w:rPr>
          <w:sz w:val="20"/>
          <w:szCs w:val="20"/>
          <w:color w:val="auto"/>
        </w:rPr>
      </w:pPr>
      <w:r>
        <w:rPr>
          <w:rFonts w:ascii="Times New Roman" w:cs="Times New Roman" w:eastAsia="Times New Roman" w:hAnsi="Times New Roman"/>
          <w:sz w:val="16"/>
          <w:szCs w:val="16"/>
          <w:color w:val="auto"/>
        </w:rPr>
        <w:t xml:space="preserve">There will be technicians ready to assist you with any technical difficulties you may have accessing the Annual Meeting live audio webcast. Please be sure to check in 15 minutes prior to the start of the Annual Meeting, so that any technical difficulties may be addressed before the Annual Meeting live audio webcast begins. If you encounter any difficulties accessing the webcast during the check-in or meeting time, please email </w:t>
      </w:r>
      <w:r>
        <w:rPr>
          <w:rFonts w:ascii="Times New Roman" w:cs="Times New Roman" w:eastAsia="Times New Roman" w:hAnsi="Times New Roman"/>
          <w:sz w:val="16"/>
          <w:szCs w:val="16"/>
          <w:u w:val="single" w:color="auto"/>
          <w:color w:val="auto"/>
        </w:rPr>
        <w:t>VirtualMeeting@viewproxy.com</w:t>
      </w:r>
      <w:r>
        <w:rPr>
          <w:rFonts w:ascii="Times New Roman" w:cs="Times New Roman" w:eastAsia="Times New Roman" w:hAnsi="Times New Roman"/>
          <w:sz w:val="16"/>
          <w:szCs w:val="16"/>
          <w:color w:val="auto"/>
        </w:rPr>
        <w:t xml:space="preserve"> or call 866-612-8937.</w:t>
      </w:r>
    </w:p>
    <w:p>
      <w:pPr>
        <w:spacing w:after="0" w:line="1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What are the Voting Rights of the Stockholders?</w:t>
      </w:r>
    </w:p>
    <w:p>
      <w:pPr>
        <w:spacing w:after="0" w:line="209"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We have two outstanding classes of voting stock entitled to vote at the Annual Meeting: Common Stock and Series G Preferred Stock. Each holder of Common Stock is entitled to one vote per share of Common Stock on all matters to be acted upon at the Annual Meeting. Each holder of Series G Preferred Stock is entitled to vote with holders of the Common Stock on as as-converted basis pursuant to the terms of the Certificate of Designation of the Series G Preferred Stock (the “Certificate of Designations”), with the number of votes to which each holder of Series G Preferred Stock is entitled calculated assuming a conversion price of $1.36 per share, subject to certain beneficial ownership limitations as set forth in the Certificate of Designations.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How Do I Vote?</w:t>
      </w:r>
    </w:p>
    <w:p>
      <w:pPr>
        <w:spacing w:after="0" w:line="209"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Whether or not you plan to attend the Annual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under “</w:t>
      </w:r>
      <w:r>
        <w:rPr>
          <w:rFonts w:ascii="Times New Roman" w:cs="Times New Roman" w:eastAsia="Times New Roman" w:hAnsi="Times New Roman"/>
          <w:sz w:val="16"/>
          <w:szCs w:val="16"/>
          <w:i w:val="1"/>
          <w:iCs w:val="1"/>
          <w:color w:val="auto"/>
        </w:rPr>
        <w:t>How Will My Proxy Be Voted?”</w:t>
      </w:r>
      <w:r>
        <w:rPr>
          <w:rFonts w:ascii="Times New Roman" w:cs="Times New Roman" w:eastAsia="Times New Roman" w:hAnsi="Times New Roman"/>
          <w:sz w:val="16"/>
          <w:szCs w:val="16"/>
          <w:color w:val="auto"/>
        </w:rPr>
        <w:t xml:space="preserve"> Voting by proxy will not affect your right to attend the Annual Meeting virtually.</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Stockholder of Record: Shares Registered in Your Name</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If, as of the Record Date, your shares are registered directly in your name, you may vote your shares in one of the following ways:</w:t>
      </w:r>
    </w:p>
    <w:p>
      <w:pPr>
        <w:spacing w:after="0" w:line="205" w:lineRule="exact"/>
        <w:rPr>
          <w:sz w:val="20"/>
          <w:szCs w:val="20"/>
          <w:color w:val="auto"/>
        </w:rPr>
      </w:pPr>
    </w:p>
    <w:p>
      <w:pPr>
        <w:ind w:left="302" w:right="20" w:hanging="302"/>
        <w:spacing w:after="0" w:line="292" w:lineRule="auto"/>
        <w:tabs>
          <w:tab w:leader="none" w:pos="30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Voting Via the Internet</w:t>
      </w:r>
      <w:r>
        <w:rPr>
          <w:rFonts w:ascii="Times New Roman" w:cs="Times New Roman" w:eastAsia="Times New Roman" w:hAnsi="Times New Roman"/>
          <w:sz w:val="16"/>
          <w:szCs w:val="16"/>
          <w:color w:val="auto"/>
        </w:rPr>
        <w:t>: You may vote via the Internet by following the instructions on the Proxy Card. Go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www.AALvote.com/XWEL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have your Proxy Card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available. The Internet voting facilities will close at 11:59 p.m. Eastern Time on September 15, 2025.</w:t>
      </w: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316" w:right="339" w:bottom="1440" w:gutter="0" w:footer="0" w:header="0"/>
        </w:sectPr>
      </w:pPr>
    </w:p>
    <w:bookmarkStart w:id="12" w:name="page13"/>
    <w:bookmarkEnd w:id="12"/>
    <w:p>
      <w:pPr>
        <w:jc w:val="both"/>
        <w:ind w:left="302" w:right="20" w:hanging="302"/>
        <w:spacing w:after="0" w:line="267" w:lineRule="auto"/>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By Mail</w:t>
      </w:r>
      <w:r>
        <w:rPr>
          <w:rFonts w:ascii="Times New Roman" w:cs="Times New Roman" w:eastAsia="Times New Roman" w:hAnsi="Times New Roman"/>
          <w:sz w:val="16"/>
          <w:szCs w:val="16"/>
          <w:color w:val="auto"/>
        </w:rPr>
        <w:t>: If you received a Proxy Card by mail, you can vote by completing, signing, dating and promptly returning the enclosed Proxy Card in the postage-paid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envelope provided. A completed Proxy Card returned by mail must be received at the address stated on the Proxy Card before September 16, 2025. If you sign the enclosed Proxy Card but do not specify how you want your shares voted, they will be voted in accordance with the Board’s recommendations as described below under “</w:t>
      </w:r>
      <w:r>
        <w:rPr>
          <w:rFonts w:ascii="Times New Roman" w:cs="Times New Roman" w:eastAsia="Times New Roman" w:hAnsi="Times New Roman"/>
          <w:sz w:val="16"/>
          <w:szCs w:val="16"/>
          <w:i w:val="1"/>
          <w:iCs w:val="1"/>
          <w:color w:val="auto"/>
        </w:rPr>
        <w:t>How Will My Proxy Be Voted?”</w:t>
      </w:r>
    </w:p>
    <w:p>
      <w:pPr>
        <w:spacing w:after="0" w:line="15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By Telephone</w:t>
      </w:r>
      <w:r>
        <w:rPr>
          <w:rFonts w:ascii="Times New Roman" w:cs="Times New Roman" w:eastAsia="Times New Roman" w:hAnsi="Times New Roman"/>
          <w:sz w:val="16"/>
          <w:szCs w:val="16"/>
          <w:color w:val="auto"/>
        </w:rPr>
        <w:t>: You may vote by telephone by calling (866) 804-9616 and following the instructions on the Proxy Card. The telephone voting facilities will close at</w:t>
      </w:r>
    </w:p>
    <w:p>
      <w:pPr>
        <w:spacing w:after="0" w:line="29"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11:59 p.m. Eastern Time on September 15, 2025.</w:t>
      </w:r>
    </w:p>
    <w:p>
      <w:pPr>
        <w:spacing w:after="0" w:line="189" w:lineRule="exact"/>
        <w:rPr>
          <w:rFonts w:ascii="Times New Roman" w:cs="Times New Roman" w:eastAsia="Times New Roman" w:hAnsi="Times New Roman"/>
          <w:sz w:val="16"/>
          <w:szCs w:val="16"/>
          <w:color w:val="auto"/>
        </w:rPr>
      </w:pPr>
    </w:p>
    <w:p>
      <w:pPr>
        <w:jc w:val="both"/>
        <w:ind w:left="302" w:right="20" w:hanging="302"/>
        <w:spacing w:after="0" w:line="273" w:lineRule="auto"/>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Virtually at the Annual Meeting</w:t>
      </w:r>
      <w:r>
        <w:rPr>
          <w:rFonts w:ascii="Times New Roman" w:cs="Times New Roman" w:eastAsia="Times New Roman" w:hAnsi="Times New Roman"/>
          <w:sz w:val="16"/>
          <w:szCs w:val="16"/>
          <w:color w:val="auto"/>
        </w:rPr>
        <w:t>: You may also vote by attending the virtual Annual Meeting. To attend the virtual Annual Meeting, you must first pre-register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described above under “</w:t>
      </w:r>
      <w:r>
        <w:rPr>
          <w:rFonts w:ascii="Times New Roman" w:cs="Times New Roman" w:eastAsia="Times New Roman" w:hAnsi="Times New Roman"/>
          <w:sz w:val="16"/>
          <w:szCs w:val="16"/>
          <w:i w:val="1"/>
          <w:iCs w:val="1"/>
          <w:color w:val="auto"/>
        </w:rPr>
        <w:t>How Can Stockholders Attend the Annual Meeting? Am I Entitled to Attend the Annual Meeting in Person? Why Are You Holding a Virtual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Annual Meeting?”</w:t>
      </w:r>
    </w:p>
    <w:p>
      <w:pPr>
        <w:spacing w:after="0" w:line="156"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6"/>
          <w:szCs w:val="16"/>
          <w:color w:val="auto"/>
        </w:rPr>
        <w:t xml:space="preserve">If you are a stockholder of record, your virtual control number will be on your Notice of Internet Availability of Proxy Materials or Proxy Card. Even if you plan to attend the Annual Meeting virtually, we recommend that you also submit your proxy via the Internet, by telephone or by mail so that your vote will be counted if you later decide not to attend the Annual Meeting. </w:t>
      </w:r>
      <w:r>
        <w:rPr>
          <w:rFonts w:ascii="Times New Roman" w:cs="Times New Roman" w:eastAsia="Times New Roman" w:hAnsi="Times New Roman"/>
          <w:sz w:val="16"/>
          <w:szCs w:val="16"/>
          <w:b w:val="1"/>
          <w:bCs w:val="1"/>
          <w:color w:val="auto"/>
        </w:rPr>
        <w:t>Internet and telephone voting facilities for record stockholders will be available 24 hours a day and will close at 11:59 p.m.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Eastern Time on September 15, 2025. </w:t>
      </w:r>
      <w:r>
        <w:rPr>
          <w:rFonts w:ascii="Times New Roman" w:cs="Times New Roman" w:eastAsia="Times New Roman" w:hAnsi="Times New Roman"/>
          <w:sz w:val="16"/>
          <w:szCs w:val="16"/>
          <w:color w:val="auto"/>
        </w:rPr>
        <w:t>Please contact our proxy solicitor, Alliance, by calling 1-888-490-5110 or by email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XWEL@allianceadvisors.com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you require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assistance in voting your shares.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Beneficial Owner: Shares Registered in the Name of Broker, Bank or Other Nominee</w:t>
      </w:r>
    </w:p>
    <w:p>
      <w:pPr>
        <w:spacing w:after="0" w:line="209"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6"/>
          <w:szCs w:val="16"/>
          <w:color w:val="auto"/>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partially complete the voting instruction but fail to complete one or more of the voting instructions, then your nominee may be unable to vote your shares with respect to the proposal as to which you provided no voting instructions. See “</w:t>
      </w:r>
      <w:r>
        <w:rPr>
          <w:rFonts w:ascii="Times New Roman" w:cs="Times New Roman" w:eastAsia="Times New Roman" w:hAnsi="Times New Roman"/>
          <w:sz w:val="16"/>
          <w:szCs w:val="16"/>
          <w:i w:val="1"/>
          <w:iCs w:val="1"/>
          <w:color w:val="auto"/>
        </w:rPr>
        <w:t>What is a broker non-vote? What is discretionary voting?</w:t>
      </w:r>
      <w:r>
        <w:rPr>
          <w:rFonts w:ascii="Times New Roman" w:cs="Times New Roman" w:eastAsia="Times New Roman" w:hAnsi="Times New Roman"/>
          <w:sz w:val="16"/>
          <w:szCs w:val="16"/>
          <w:color w:val="auto"/>
        </w:rPr>
        <w:t>” below. Alternatively, if you want to vote your shares during the Annual Meeting, you must contact your nominee directly in order to obtain a proxy issued to you by your nominee holder. Note that a broker letter that identifies you as a stockholder is not the same as a nominee-issued proxy.</w:t>
      </w:r>
    </w:p>
    <w:p>
      <w:pPr>
        <w:spacing w:after="0" w:line="163" w:lineRule="exact"/>
        <w:rPr>
          <w:sz w:val="20"/>
          <w:szCs w:val="20"/>
          <w:color w:val="auto"/>
        </w:rPr>
      </w:pPr>
    </w:p>
    <w:p>
      <w:pPr>
        <w:jc w:val="both"/>
        <w:ind w:left="2"/>
        <w:spacing w:after="0" w:line="272" w:lineRule="auto"/>
        <w:rPr>
          <w:sz w:val="20"/>
          <w:szCs w:val="20"/>
          <w:color w:val="auto"/>
        </w:rPr>
      </w:pPr>
      <w:r>
        <w:rPr>
          <w:rFonts w:ascii="Times New Roman" w:cs="Times New Roman" w:eastAsia="Times New Roman" w:hAnsi="Times New Roman"/>
          <w:sz w:val="16"/>
          <w:szCs w:val="16"/>
          <w:color w:val="auto"/>
        </w:rPr>
        <w:t>If you hold your shares beneficially through a broker, bank or other nominee, you must provide a legal proxy from your broker, bank or other nominee during registration to attend the Annual Meeting. You will then be assigned a virtual control number in order to vote your shares during the Annual Meeting. You may only vote during the Annual Meeting by emailing a copy of your legal proxy to VirtualMeeting@viewproxy.com in advance of the Annual Meeting.</w:t>
      </w:r>
    </w:p>
    <w:p>
      <w:pPr>
        <w:spacing w:after="0" w:line="1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How Will My Proxy Be Voted?</w:t>
      </w:r>
    </w:p>
    <w:p>
      <w:pPr>
        <w:spacing w:after="0" w:line="209"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Shares represented by properly executed Proxy Cards will be voted in accordance with the directions indicated thereon. If you sign the Proxy Card but do not make any specific choices, your proxy will vote your shares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each of the Director Election Proposal, the Auditor Ratification Proposal, the Say-on-Pay Proposal, the Board Classification Proposal, the Reverse Stock Split Proposal and the Adjournment Proposal, and “</w:t>
      </w:r>
      <w:r>
        <w:rPr>
          <w:rFonts w:ascii="Times New Roman" w:cs="Times New Roman" w:eastAsia="Times New Roman" w:hAnsi="Times New Roman"/>
          <w:sz w:val="16"/>
          <w:szCs w:val="16"/>
          <w:b w:val="1"/>
          <w:bCs w:val="1"/>
          <w:color w:val="auto"/>
        </w:rPr>
        <w:t>EVERY THREE YEARS</w:t>
      </w:r>
      <w:r>
        <w:rPr>
          <w:rFonts w:ascii="Times New Roman" w:cs="Times New Roman" w:eastAsia="Times New Roman" w:hAnsi="Times New Roman"/>
          <w:sz w:val="16"/>
          <w:szCs w:val="16"/>
          <w:color w:val="auto"/>
        </w:rPr>
        <w:t>” for the Say-on-Frequency Proposal.</w:t>
      </w:r>
    </w:p>
    <w:p>
      <w:pPr>
        <w:spacing w:after="0" w:line="1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Why Are We Electing to Effect the Reverse Stock Split and How Will the Reverse Stock Split be Effected?</w:t>
      </w:r>
    </w:p>
    <w:p>
      <w:pPr>
        <w:spacing w:after="0" w:line="209"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The Nasdaq Capital Market (“Nasdaq”) pursuant to Nasdaq Listing Rule 5550(a)(2). The letter also indicated that we would be provided with a compliance period of 180 calendar days, or until November 10, 2025 (the “Compliance Period”), in which to regain compliance pursuant to Nasdaq Listing Rule 5810(c)(3) (A).</w:t>
      </w: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7" w:right="319" w:bottom="1440" w:gutter="0" w:footer="0" w:header="0"/>
        </w:sectPr>
      </w:pPr>
    </w:p>
    <w:bookmarkStart w:id="13" w:name="page14"/>
    <w:bookmarkEnd w:id="13"/>
    <w:p>
      <w:pPr>
        <w:jc w:val="both"/>
        <w:spacing w:after="0" w:line="259" w:lineRule="auto"/>
        <w:rPr>
          <w:sz w:val="20"/>
          <w:szCs w:val="20"/>
          <w:color w:val="auto"/>
        </w:rPr>
      </w:pPr>
      <w:r>
        <w:rPr>
          <w:rFonts w:ascii="Times New Roman" w:cs="Times New Roman" w:eastAsia="Times New Roman" w:hAnsi="Times New Roman"/>
          <w:sz w:val="16"/>
          <w:szCs w:val="16"/>
          <w:color w:val="auto"/>
        </w:rPr>
        <w:t>In order to regain compliance with Nasdaq’s minimum bid price requirement,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its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notification, we may appeal the Nasdaq staff’s determination to delist its securities.</w:t>
      </w:r>
    </w:p>
    <w:p>
      <w:pPr>
        <w:spacing w:after="0" w:line="16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 xml:space="preserve">To maintain our listing on Nasdaq and compliance with the continued listing requirements of Nasdaq, our Board has unanimously adopted a resolution declaring advisable, and recommending to our stockholders for their approval, the Reverse Stock Split Amendment authorizing the Reverse Stock Split, and granting the Board the discretion to file the Reverse Stock Split Amendment with the Secretary of State of the State of Delaware effecting the Reverse Stock Split prior to the one-year anniversary of the date on which the Reverse Stock Split is approved by the Company’s stockholders at the Annual Meeting or to abandon the Reverse Stock Split altogether. The form of the proposed Reverse Stock Split Amendment is attached to this Proxy Statement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 xml:space="preserve">The Reverse Stock Split Amendment will effect the Reverse Stock Split by reducing the number of outstanding shares of Common Stock as compared to the number of outstanding shares immediately prior to the effectiveness of the Reverse Stock Split, but will not increase the par value of Common Stock, and will not change the number of authorized shares of our capital stock. Stockholders are urged to carefully read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xml:space="preserve">. If implemented, the number of shares of our Common Stock owned by each of our stockholders will be reduced by the same proportion as the reduction in the total number of shares of our Common Stock outstanding, so that the percentage of our outstanding Common Stock owned by each of our stockholders will remain approximately the same, except to the extent that the Reverse Stock Split could result in some or all of our stockholders receiving one share of Common Stock in lieu of a fractional share. See also </w:t>
      </w:r>
      <w:r>
        <w:rPr>
          <w:rFonts w:ascii="Times New Roman" w:cs="Times New Roman" w:eastAsia="Times New Roman" w:hAnsi="Times New Roman"/>
          <w:sz w:val="16"/>
          <w:szCs w:val="16"/>
          <w:i w:val="1"/>
          <w:iCs w:val="1"/>
          <w:color w:val="auto"/>
        </w:rPr>
        <w:t>“— Reasons for the Reverse Stock Split Amendment</w:t>
      </w:r>
      <w:r>
        <w:rPr>
          <w:rFonts w:ascii="Times New Roman" w:cs="Times New Roman" w:eastAsia="Times New Roman" w:hAnsi="Times New Roman"/>
          <w:sz w:val="16"/>
          <w:szCs w:val="16"/>
          <w:color w:val="auto"/>
        </w:rPr>
        <w:t>” in Proposal 6 – The Reverse Stock Split Proposal on page 16.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Difference Between a Stockholder of Record and a “Street Name” Holder?</w:t>
      </w:r>
    </w:p>
    <w:p>
      <w:pPr>
        <w:spacing w:after="0" w:line="20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If, as of the Record Date, your shares are registered directly in your name with our stock transfer agent, Equiniti Trust Company, LLC, you are considered the stockholder of record with respect to those shares.</w:t>
      </w:r>
    </w:p>
    <w:p>
      <w:pPr>
        <w:spacing w:after="0" w:line="14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If, as of the Record Date, your shares are held with a broker, bank or other nominee, then the organization holding your account is considered the record holder of those shares. You are considered the beneficial owner of these shares, and your shares are held in “street name.” As a beneficial owner, you have the right to direct your broker, bank or other nominee on how to vote the shares in your account. You are also invited to attend the Annual Meeting. However, because you are not the stockholder of record, you may not vote your shares at the Annual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14" w:name="page15"/>
    <w:bookmarkEnd w:id="14"/>
    <w:p>
      <w:pPr>
        <w:ind w:left="2"/>
        <w:spacing w:after="0"/>
        <w:rPr>
          <w:sz w:val="20"/>
          <w:szCs w:val="20"/>
          <w:color w:val="auto"/>
        </w:rPr>
      </w:pPr>
      <w:r>
        <w:rPr>
          <w:rFonts w:ascii="Times New Roman" w:cs="Times New Roman" w:eastAsia="Times New Roman" w:hAnsi="Times New Roman"/>
          <w:sz w:val="16"/>
          <w:szCs w:val="16"/>
          <w:b w:val="1"/>
          <w:bCs w:val="1"/>
          <w:color w:val="auto"/>
        </w:rPr>
        <w:t>What is a Broker Non-Vote? What is Discretionary Voting?</w:t>
      </w:r>
    </w:p>
    <w:p>
      <w:pPr>
        <w:spacing w:after="0" w:line="209"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matters,” if the broker has transmitted proxy-soliciting materials to you, as the beneficial owner of the shares, but has not received voting instructions from you on such proposals.</w:t>
      </w:r>
    </w:p>
    <w:p>
      <w:pPr>
        <w:spacing w:after="0" w:line="165"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If you do not provide voting instructions to your broker, then your shares will not be voted at the Annual Meeting on any proposal with respect to which your broker does not have discretionary authority except as to “routine matters.” At the Annual Meeting, only the Auditor Ratification Proposal and the Reverse Stock Split Proposal will be considered “routine matters” and therefore, if you do not provide voting instructions to your broker regarding the Auditor Ratification Proposal, the Reverse Stock Split Proposal, and the Adjournment Proposal, your broker will be permitted to exercise discretionary voting authority to vote your shares on such proposals. The Director Election Proposal, the Say-on-Pay Proposal, the Say-on-Frequency Proposal, and the Board Classification Proposal are not considered “routine matters,” and accordingly, in the absence of specific instructions from you, your broker does not have discretionary authority to vote your shares with respect to such proposals. If you are a beneficial owner, we encourage you to instruct your broker, bank or other nominee how to vote your shares using the voting instruction form provided by your broker, bank or other nominee so that your vote can be counted.</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May I Change or Revoke My Proxy?</w:t>
      </w:r>
    </w:p>
    <w:p>
      <w:pPr>
        <w:spacing w:after="0" w:line="209" w:lineRule="exact"/>
        <w:rPr>
          <w:sz w:val="20"/>
          <w:szCs w:val="20"/>
          <w:color w:val="auto"/>
        </w:rPr>
      </w:pPr>
    </w:p>
    <w:p>
      <w:pPr>
        <w:jc w:val="both"/>
        <w:ind w:left="2"/>
        <w:spacing w:after="0" w:line="290" w:lineRule="auto"/>
        <w:rPr>
          <w:sz w:val="20"/>
          <w:szCs w:val="20"/>
          <w:color w:val="auto"/>
        </w:rPr>
      </w:pPr>
      <w:r>
        <w:rPr>
          <w:rFonts w:ascii="Times New Roman" w:cs="Times New Roman" w:eastAsia="Times New Roman" w:hAnsi="Times New Roman"/>
          <w:sz w:val="16"/>
          <w:szCs w:val="16"/>
          <w:color w:val="auto"/>
        </w:rPr>
        <w:t>If you are the stockholder of record, you may change your proxy instructions or revoke your proxy at any time before your proxy is voted at the Annual Meeting. You may change or revoke your proxy in any one of the following ways:</w:t>
      </w:r>
    </w:p>
    <w:p>
      <w:pPr>
        <w:spacing w:after="0" w:line="142" w:lineRule="exact"/>
        <w:rPr>
          <w:sz w:val="20"/>
          <w:szCs w:val="20"/>
          <w:color w:val="auto"/>
        </w:rPr>
      </w:pPr>
    </w:p>
    <w:p>
      <w:pPr>
        <w:jc w:val="both"/>
        <w:ind w:left="302" w:right="20" w:hanging="302"/>
        <w:spacing w:after="0" w:line="272" w:lineRule="auto"/>
        <w:tabs>
          <w:tab w:leader="none" w:pos="3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Returning a later-dated proxy (i) by completing, signing, dating and promptly returning the enclosed Proxy Card, (ii) via the Internet by following the instructions on the enclosed Proxy Card or (iii) by calling the toll-free number found on the enclosed Proxy Card (the latest dated proxy is the only one that counts), in each case, the date and time specified above under “</w:t>
      </w:r>
      <w:r>
        <w:rPr>
          <w:rFonts w:ascii="Times New Roman" w:cs="Times New Roman" w:eastAsia="Times New Roman" w:hAnsi="Times New Roman"/>
          <w:sz w:val="16"/>
          <w:szCs w:val="16"/>
          <w:i w:val="1"/>
          <w:iCs w:val="1"/>
          <w:color w:val="auto"/>
        </w:rPr>
        <w:t>How Do I Vote?</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notifying our Corporate Secretary in writing before the Annual Meeting that you have revoked your proxy; or</w:t>
      </w:r>
    </w:p>
    <w:p>
      <w:pPr>
        <w:spacing w:after="0" w:line="206" w:lineRule="exact"/>
        <w:rPr>
          <w:rFonts w:ascii="Times New Roman" w:cs="Times New Roman" w:eastAsia="Times New Roman" w:hAnsi="Times New Roman"/>
          <w:sz w:val="16"/>
          <w:szCs w:val="16"/>
          <w:color w:val="auto"/>
        </w:rPr>
      </w:pPr>
    </w:p>
    <w:p>
      <w:pPr>
        <w:ind w:left="302" w:hanging="302"/>
        <w:spacing w:after="0" w:line="290" w:lineRule="auto"/>
        <w:tabs>
          <w:tab w:leader="none" w:pos="3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attending the Annual Meeting virtually and voting at the Annual Meeting (attending the Annual Meeting virtually will not in and of itself revoke a previously submitted proxy).</w:t>
      </w:r>
    </w:p>
    <w:p>
      <w:pPr>
        <w:spacing w:after="0" w:line="142" w:lineRule="exact"/>
        <w:rPr>
          <w:sz w:val="20"/>
          <w:szCs w:val="20"/>
          <w:color w:val="auto"/>
        </w:rPr>
      </w:pPr>
    </w:p>
    <w:p>
      <w:pPr>
        <w:jc w:val="both"/>
        <w:ind w:left="2"/>
        <w:spacing w:after="0" w:line="290" w:lineRule="auto"/>
        <w:rPr>
          <w:sz w:val="20"/>
          <w:szCs w:val="20"/>
          <w:color w:val="auto"/>
        </w:rPr>
      </w:pPr>
      <w:r>
        <w:rPr>
          <w:rFonts w:ascii="Times New Roman" w:cs="Times New Roman" w:eastAsia="Times New Roman" w:hAnsi="Times New Roman"/>
          <w:sz w:val="16"/>
          <w:szCs w:val="16"/>
          <w:color w:val="auto"/>
        </w:rPr>
        <w:t>Your most current vote, whether via the Internet, by telephone or by completing, signing, dating and promptly returning the enclosed Proxy Card is the one that will be counted.</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What if I Receive More Than One Notice of Annual Meeting of Stockholders or Proxy Card?</w:t>
      </w:r>
    </w:p>
    <w:p>
      <w:pPr>
        <w:spacing w:after="0" w:line="209"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We may conduct multiple mailings before the Annual Meeting to ensure stockholders have our latest proxy information and materials to vote. We may send you a new Proxy Card or voting instruction form with each mailing, regardless of whether you have previously voted. Also, many of our stockholders hold their shares in more than one account and may receive separate proxy cards or voting instructions forms for each of those accounts. If you receive more than one Proxy Card, your shares are registered in more than one name or are registered in different accounts. Please vote in the manner described above under “</w:t>
      </w:r>
      <w:r>
        <w:rPr>
          <w:rFonts w:ascii="Times New Roman" w:cs="Times New Roman" w:eastAsia="Times New Roman" w:hAnsi="Times New Roman"/>
          <w:sz w:val="16"/>
          <w:szCs w:val="16"/>
          <w:i w:val="1"/>
          <w:iCs w:val="1"/>
          <w:color w:val="auto"/>
        </w:rPr>
        <w:t>How Do I Vote?</w:t>
      </w:r>
      <w:r>
        <w:rPr>
          <w:rFonts w:ascii="Times New Roman" w:cs="Times New Roman" w:eastAsia="Times New Roman" w:hAnsi="Times New Roman"/>
          <w:sz w:val="16"/>
          <w:szCs w:val="16"/>
          <w:color w:val="auto"/>
        </w:rPr>
        <w:t>” for each account to ensure that all of your shares are voted.</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ONLY THE LATEST DATED PROXY YOU SUBMIT WILL BE COUNTED.</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What Constitutes a Quorum for the Annual Meeting?</w:t>
      </w:r>
    </w:p>
    <w:p>
      <w:pPr>
        <w:spacing w:after="0" w:line="209"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The presence virtually or by proxy of the holders of shares of stock having one-third (33.33%) of the votes which could be cast by the holders of all outstanding shares of stock entitled to vote at the Annual Meeting shall be necessary and sufficient to constitute a quorum. If, however, such quorum is not present or represented at any meeting of the stockholders, then either (i) the chairperson of the Annual Meeting, or (ii) the stockholders entitled to vote at the meeting, present virtually or represented by proxy, shall have the power to adjourn the Annual Meeting from time to time, in the manner provided in the Third Amended and Restated Bylaws (the “Bylaws”), until a quorum is present or represented.</w:t>
      </w: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3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What Vote is Required to Approve Each Proposal and 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45655" cy="4445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655" cy="4445635"/>
                    </a:xfrm>
                    <a:prstGeom prst="rect">
                      <a:avLst/>
                    </a:prstGeom>
                    <a:noFill/>
                  </pic:spPr>
                </pic:pic>
              </a:graphicData>
            </a:graphic>
          </wp:anchor>
        </w:drawing>
      </w:r>
    </w:p>
    <w:p>
      <w:pPr>
        <w:spacing w:after="0" w:line="211" w:lineRule="exact"/>
        <w:rPr>
          <w:sz w:val="20"/>
          <w:szCs w:val="20"/>
          <w:color w:val="auto"/>
        </w:rPr>
      </w:pPr>
    </w:p>
    <w:p>
      <w:pPr>
        <w:ind w:left="10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Proposal 1</w:t>
      </w:r>
      <w:r>
        <w:rPr>
          <w:sz w:val="20"/>
          <w:szCs w:val="20"/>
          <w:color w:val="auto"/>
        </w:rPr>
        <w:tab/>
      </w:r>
      <w:r>
        <w:rPr>
          <w:rFonts w:ascii="Times New Roman" w:cs="Times New Roman" w:eastAsia="Times New Roman" w:hAnsi="Times New Roman"/>
          <w:sz w:val="16"/>
          <w:szCs w:val="16"/>
          <w:color w:val="auto"/>
        </w:rPr>
        <w:t>Directors shall be elected by a plurality of the voting power of the shares present in person or represented by proxy at the Annual Meeting and entitled to</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 Director</w:t>
      </w:r>
      <w:r>
        <w:rPr>
          <w:rFonts w:ascii="Times New Roman" w:cs="Times New Roman" w:eastAsia="Times New Roman" w:hAnsi="Times New Roman"/>
          <w:sz w:val="16"/>
          <w:szCs w:val="16"/>
          <w:color w:val="auto"/>
        </w:rPr>
        <w:t>vote on the election of directors. That means that the five nominees for director who receive the most votes will be elected.</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Election</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Proposal</w:t>
      </w:r>
      <w:r>
        <w:rPr>
          <w:rFonts w:ascii="Times New Roman" w:cs="Times New Roman" w:eastAsia="Times New Roman" w:hAnsi="Times New Roman"/>
          <w:sz w:val="16"/>
          <w:szCs w:val="16"/>
          <w:color w:val="auto"/>
        </w:rPr>
        <w:t>Stockholders may vote “FOR” each nominee or “WITHHOLD” their vote from each nominee.</w:t>
      </w:r>
    </w:p>
    <w:p>
      <w:pPr>
        <w:spacing w:after="0" w:line="1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Withheld votes and broker non-votes will have no effect on the outcome of the election of directors.</w:t>
      </w:r>
    </w:p>
    <w:p>
      <w:pPr>
        <w:spacing w:after="0" w:line="193" w:lineRule="exact"/>
        <w:rPr>
          <w:sz w:val="20"/>
          <w:szCs w:val="20"/>
          <w:color w:val="auto"/>
        </w:rPr>
      </w:pPr>
    </w:p>
    <w:p>
      <w:pPr>
        <w:ind w:left="10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Proposal 2</w:t>
      </w:r>
      <w:r>
        <w:rPr>
          <w:sz w:val="20"/>
          <w:szCs w:val="20"/>
          <w:color w:val="auto"/>
        </w:rPr>
        <w:tab/>
      </w:r>
      <w:r>
        <w:rPr>
          <w:rFonts w:ascii="Times New Roman" w:cs="Times New Roman" w:eastAsia="Times New Roman" w:hAnsi="Times New Roman"/>
          <w:sz w:val="16"/>
          <w:szCs w:val="16"/>
          <w:color w:val="auto"/>
        </w:rPr>
        <w:t>The affirmative vote of a majority of the votes cast by the stockholders present in person or represented by proxy at the meeting and entitled to vote on</w:t>
      </w:r>
    </w:p>
    <w:p>
      <w:pPr>
        <w:spacing w:after="0" w:line="29" w:lineRule="exact"/>
        <w:rPr>
          <w:sz w:val="20"/>
          <w:szCs w:val="20"/>
          <w:color w:val="auto"/>
        </w:rPr>
      </w:pPr>
    </w:p>
    <w:p>
      <w:pPr>
        <w:ind w:left="10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 Auditor </w:t>
      </w:r>
      <w:r>
        <w:rPr>
          <w:rFonts w:ascii="Times New Roman" w:cs="Times New Roman" w:eastAsia="Times New Roman" w:hAnsi="Times New Roman"/>
          <w:sz w:val="16"/>
          <w:szCs w:val="16"/>
          <w:color w:val="auto"/>
        </w:rPr>
        <w:t>the subject matter, voting affirmatively or negatively at the Annual Meeting and entitled to vote on the Auditor Ratification Proposal is required to</w:t>
      </w:r>
      <w:r>
        <w:rPr>
          <w:rFonts w:ascii="Times New Roman" w:cs="Times New Roman" w:eastAsia="Times New Roman" w:hAnsi="Times New Roman"/>
          <w:sz w:val="16"/>
          <w:szCs w:val="16"/>
          <w:b w:val="1"/>
          <w:bCs w:val="1"/>
          <w:color w:val="auto"/>
        </w:rPr>
        <w:t xml:space="preserve"> Ratification </w:t>
      </w:r>
      <w:r>
        <w:rPr>
          <w:rFonts w:ascii="Times New Roman" w:cs="Times New Roman" w:eastAsia="Times New Roman" w:hAnsi="Times New Roman"/>
          <w:sz w:val="16"/>
          <w:szCs w:val="16"/>
          <w:color w:val="auto"/>
        </w:rPr>
        <w:t>approve the Auditor Ratification Proposal.</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Proposal</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“ABSTAIN” votes will have no effect on the Auditor Ratification Proposal.</w:t>
      </w:r>
    </w:p>
    <w:p>
      <w:pPr>
        <w:spacing w:after="0" w:line="191" w:lineRule="exact"/>
        <w:rPr>
          <w:sz w:val="20"/>
          <w:szCs w:val="20"/>
          <w:color w:val="auto"/>
        </w:rPr>
      </w:pPr>
    </w:p>
    <w:p>
      <w:pPr>
        <w:jc w:val="both"/>
        <w:ind w:left="1160"/>
        <w:spacing w:after="0" w:line="272" w:lineRule="auto"/>
        <w:rPr>
          <w:sz w:val="20"/>
          <w:szCs w:val="20"/>
          <w:color w:val="auto"/>
        </w:rPr>
      </w:pPr>
      <w:r>
        <w:rPr>
          <w:rFonts w:ascii="Times New Roman" w:cs="Times New Roman" w:eastAsia="Times New Roman" w:hAnsi="Times New Roman"/>
          <w:sz w:val="16"/>
          <w:szCs w:val="16"/>
          <w:color w:val="auto"/>
        </w:rPr>
        <w:t>Because the Auditor Ratification Proposal is a “routine matter,” broker non-votes are not expected to occur with respect to the Auditor Ratification Proposal because your broker has discretionary authority to vote your shares with respect to such proposal. Failure by your broker to exercise its discretionary authority to vote your shares on the Auditor Ratification Proposal will have no effect thereon.</w:t>
      </w:r>
    </w:p>
    <w:p>
      <w:pPr>
        <w:spacing w:after="0" w:line="142" w:lineRule="exact"/>
        <w:rPr>
          <w:sz w:val="20"/>
          <w:szCs w:val="20"/>
          <w:color w:val="auto"/>
        </w:rPr>
      </w:pPr>
    </w:p>
    <w:p>
      <w:pPr>
        <w:ind w:left="10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Proposal 3</w:t>
      </w:r>
      <w:r>
        <w:rPr>
          <w:sz w:val="20"/>
          <w:szCs w:val="20"/>
          <w:color w:val="auto"/>
        </w:rPr>
        <w:tab/>
      </w:r>
      <w:r>
        <w:rPr>
          <w:rFonts w:ascii="Times New Roman" w:cs="Times New Roman" w:eastAsia="Times New Roman" w:hAnsi="Times New Roman"/>
          <w:sz w:val="16"/>
          <w:szCs w:val="16"/>
          <w:color w:val="auto"/>
        </w:rPr>
        <w:t>The affirmative vote of a majority of the votes cast by the stockholders present in person or represented by proxy at the meeting and entitled to vote on</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 Say-on-</w:t>
      </w:r>
      <w:r>
        <w:rPr>
          <w:rFonts w:ascii="Times New Roman" w:cs="Times New Roman" w:eastAsia="Times New Roman" w:hAnsi="Times New Roman"/>
          <w:sz w:val="16"/>
          <w:szCs w:val="16"/>
          <w:color w:val="auto"/>
        </w:rPr>
        <w:t>the subject matter, voting affirmatively or negatively is required to approve the Say-on-Pay Proposal on a non-binding, advisory basis.</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Pay</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Proposal</w:t>
      </w:r>
      <w:r>
        <w:rPr>
          <w:rFonts w:ascii="Times New Roman" w:cs="Times New Roman" w:eastAsia="Times New Roman" w:hAnsi="Times New Roman"/>
          <w:sz w:val="16"/>
          <w:szCs w:val="16"/>
          <w:color w:val="auto"/>
        </w:rPr>
        <w:t>“ABSTAIN” votes will have no effect on the Say-on-Pay Proposal.</w:t>
      </w:r>
    </w:p>
    <w:p>
      <w:pPr>
        <w:spacing w:after="0" w:line="191" w:lineRule="exact"/>
        <w:rPr>
          <w:sz w:val="20"/>
          <w:szCs w:val="20"/>
          <w:color w:val="auto"/>
        </w:rPr>
      </w:pPr>
    </w:p>
    <w:p>
      <w:pPr>
        <w:jc w:val="both"/>
        <w:ind w:left="1160"/>
        <w:spacing w:after="0" w:line="272" w:lineRule="auto"/>
        <w:rPr>
          <w:sz w:val="20"/>
          <w:szCs w:val="20"/>
          <w:color w:val="auto"/>
        </w:rPr>
      </w:pPr>
      <w:r>
        <w:rPr>
          <w:rFonts w:ascii="Times New Roman" w:cs="Times New Roman" w:eastAsia="Times New Roman" w:hAnsi="Times New Roman"/>
          <w:sz w:val="16"/>
          <w:szCs w:val="16"/>
          <w:color w:val="auto"/>
        </w:rPr>
        <w:t>Because the Say-on-Pay Proposal is not considered a “routine matter,” your bank, broker, trustee or other nominee, as the case may be, will not be able to vote your shares without your instruction with respect to the Say-on-Pay Proposal. As a result, the failure to instruct your bank, broker, trustee or other nominee as to how to vote on the Say-on-Pay Proposal will result in a broker non-vote, which will have no effect on the results of this vote.</w:t>
      </w:r>
    </w:p>
    <w:p>
      <w:pPr>
        <w:spacing w:after="0" w:line="142"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Proposal 4 –</w:t>
      </w:r>
      <w:r>
        <w:rPr>
          <w:sz w:val="20"/>
          <w:szCs w:val="20"/>
          <w:color w:val="auto"/>
        </w:rPr>
        <w:tab/>
      </w:r>
      <w:r>
        <w:rPr>
          <w:rFonts w:ascii="Times New Roman" w:cs="Times New Roman" w:eastAsia="Times New Roman" w:hAnsi="Times New Roman"/>
          <w:sz w:val="16"/>
          <w:szCs w:val="16"/>
          <w:color w:val="auto"/>
        </w:rPr>
        <w:t>The option among one year, two years, or three years that receives the highest number of votes cast at the Annual Meeting by stockholders entitled to</w:t>
      </w:r>
    </w:p>
    <w:p>
      <w:pPr>
        <w:spacing w:after="0" w:line="29"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Say-on-</w:t>
      </w:r>
      <w:r>
        <w:rPr>
          <w:sz w:val="20"/>
          <w:szCs w:val="20"/>
          <w:color w:val="auto"/>
        </w:rPr>
        <w:tab/>
      </w:r>
      <w:r>
        <w:rPr>
          <w:rFonts w:ascii="Times New Roman" w:cs="Times New Roman" w:eastAsia="Times New Roman" w:hAnsi="Times New Roman"/>
          <w:sz w:val="16"/>
          <w:szCs w:val="16"/>
          <w:color w:val="auto"/>
        </w:rPr>
        <w:t>vote thereon will be deemed to be the frequency preferred by our stockholders.</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Frequency</w:t>
      </w:r>
    </w:p>
    <w:p>
      <w:pPr>
        <w:spacing w:after="0" w:line="11" w:lineRule="exact"/>
        <w:rPr>
          <w:sz w:val="20"/>
          <w:szCs w:val="20"/>
          <w:color w:val="auto"/>
        </w:rPr>
      </w:pPr>
    </w:p>
    <w:p>
      <w:pPr>
        <w:ind w:left="100"/>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Proposal</w:t>
      </w:r>
      <w:r>
        <w:rPr>
          <w:sz w:val="20"/>
          <w:szCs w:val="20"/>
          <w:color w:val="auto"/>
        </w:rPr>
        <w:tab/>
      </w:r>
      <w:r>
        <w:rPr>
          <w:rFonts w:ascii="Times New Roman" w:cs="Times New Roman" w:eastAsia="Times New Roman" w:hAnsi="Times New Roman"/>
          <w:sz w:val="16"/>
          <w:szCs w:val="16"/>
          <w:color w:val="auto"/>
        </w:rPr>
        <w:t>Abstentions will have no effect on the Say-on-Frequency Proposal.</w:t>
      </w:r>
    </w:p>
    <w:p>
      <w:pPr>
        <w:spacing w:after="0" w:line="191" w:lineRule="exact"/>
        <w:rPr>
          <w:sz w:val="20"/>
          <w:szCs w:val="20"/>
          <w:color w:val="auto"/>
        </w:rPr>
      </w:pPr>
    </w:p>
    <w:p>
      <w:pPr>
        <w:jc w:val="both"/>
        <w:ind w:left="1140"/>
        <w:spacing w:after="0" w:line="270" w:lineRule="auto"/>
        <w:rPr>
          <w:sz w:val="20"/>
          <w:szCs w:val="20"/>
          <w:color w:val="auto"/>
        </w:rPr>
      </w:pPr>
      <w:r>
        <w:rPr>
          <w:rFonts w:ascii="Times New Roman" w:cs="Times New Roman" w:eastAsia="Times New Roman" w:hAnsi="Times New Roman"/>
          <w:sz w:val="16"/>
          <w:szCs w:val="16"/>
          <w:color w:val="auto"/>
        </w:rPr>
        <w:t>Because the Say-on-Frequency Proposal is not considered a “routine matter,” your bank, broker, trustee or other nominee, as the case may be, will not be able to vote your shares without your instruction with respect to the Say-on-Frequency Proposal. As a result, the failure to instruct your bank, broker, trustee or other nominee as to how to vote on the Say-on-Frequency Proposal will result in a broker non-vote, which will have no effect on the results of this vote.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160"/>
          </w:cols>
          <w:pgMar w:left="320" w:top="316" w:right="419" w:bottom="1440" w:gutter="0" w:footer="0" w:header="0"/>
        </w:sectPr>
      </w:pPr>
    </w:p>
    <w:bookmarkStart w:id="16" w:name="page17"/>
    <w:bookmarkEnd w:id="16"/>
    <w:p>
      <w:pPr>
        <w:ind w:left="1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213360</wp:posOffset>
            </wp:positionV>
            <wp:extent cx="7145655" cy="3460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5655" cy="3460115"/>
                    </a:xfrm>
                    <a:prstGeom prst="rect">
                      <a:avLst/>
                    </a:prstGeom>
                    <a:noFill/>
                  </pic:spPr>
                </pic:pic>
              </a:graphicData>
            </a:graphic>
          </wp:anchor>
        </w:drawing>
        <w:t>Proposal 5 –</w:t>
      </w:r>
      <w:r>
        <w:rPr>
          <w:sz w:val="20"/>
          <w:szCs w:val="20"/>
          <w:color w:val="auto"/>
        </w:rPr>
        <w:tab/>
      </w:r>
      <w:r>
        <w:rPr>
          <w:rFonts w:ascii="Times New Roman" w:cs="Times New Roman" w:eastAsia="Times New Roman" w:hAnsi="Times New Roman"/>
          <w:sz w:val="16"/>
          <w:szCs w:val="16"/>
          <w:color w:val="auto"/>
        </w:rPr>
        <w:t>The affirmative vote of a majority of the votes cast by the stockholders present in person or represented by proxy at the meeting and entitled to vote on</w:t>
      </w:r>
    </w:p>
    <w:p>
      <w:pPr>
        <w:spacing w:after="0" w:line="29" w:lineRule="exact"/>
        <w:rPr>
          <w:sz w:val="20"/>
          <w:szCs w:val="20"/>
          <w:color w:val="auto"/>
        </w:rPr>
      </w:pPr>
    </w:p>
    <w:p>
      <w:pPr>
        <w:ind w:left="1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Board</w:t>
      </w:r>
      <w:r>
        <w:rPr>
          <w:sz w:val="20"/>
          <w:szCs w:val="20"/>
          <w:color w:val="auto"/>
        </w:rPr>
        <w:tab/>
      </w:r>
      <w:r>
        <w:rPr>
          <w:rFonts w:ascii="Times New Roman" w:cs="Times New Roman" w:eastAsia="Times New Roman" w:hAnsi="Times New Roman"/>
          <w:sz w:val="16"/>
          <w:szCs w:val="16"/>
          <w:color w:val="auto"/>
        </w:rPr>
        <w:t>the subject matter, voting affirmatively or negatively is required to approve the Board Classification Proposal.</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Classification</w:t>
      </w:r>
    </w:p>
    <w:p>
      <w:pPr>
        <w:spacing w:after="0" w:line="11" w:lineRule="exact"/>
        <w:rPr>
          <w:sz w:val="20"/>
          <w:szCs w:val="20"/>
          <w:color w:val="auto"/>
        </w:rPr>
      </w:pPr>
    </w:p>
    <w:p>
      <w:pPr>
        <w:ind w:left="1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Proposal</w:t>
      </w:r>
      <w:r>
        <w:rPr>
          <w:sz w:val="20"/>
          <w:szCs w:val="20"/>
          <w:color w:val="auto"/>
        </w:rPr>
        <w:tab/>
      </w:r>
      <w:r>
        <w:rPr>
          <w:rFonts w:ascii="Times New Roman" w:cs="Times New Roman" w:eastAsia="Times New Roman" w:hAnsi="Times New Roman"/>
          <w:sz w:val="16"/>
          <w:szCs w:val="16"/>
          <w:color w:val="auto"/>
        </w:rPr>
        <w:t>“ABSTAIN” votes will have the same effect as votes cast “AGAINST” the Board Classification Proposal.</w:t>
      </w:r>
    </w:p>
    <w:p>
      <w:pPr>
        <w:spacing w:after="0" w:line="191" w:lineRule="exact"/>
        <w:rPr>
          <w:sz w:val="20"/>
          <w:szCs w:val="20"/>
          <w:color w:val="auto"/>
        </w:rPr>
      </w:pPr>
    </w:p>
    <w:p>
      <w:pPr>
        <w:jc w:val="both"/>
        <w:ind w:left="1260" w:right="80"/>
        <w:spacing w:after="0" w:line="266" w:lineRule="auto"/>
        <w:rPr>
          <w:sz w:val="20"/>
          <w:szCs w:val="20"/>
          <w:color w:val="auto"/>
        </w:rPr>
      </w:pPr>
      <w:r>
        <w:rPr>
          <w:rFonts w:ascii="Times New Roman" w:cs="Times New Roman" w:eastAsia="Times New Roman" w:hAnsi="Times New Roman"/>
          <w:sz w:val="16"/>
          <w:szCs w:val="16"/>
          <w:color w:val="auto"/>
        </w:rPr>
        <w:t>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p>
      <w:pPr>
        <w:spacing w:after="0" w:line="148" w:lineRule="exact"/>
        <w:rPr>
          <w:sz w:val="20"/>
          <w:szCs w:val="20"/>
          <w:color w:val="auto"/>
        </w:rPr>
      </w:pPr>
    </w:p>
    <w:p>
      <w:pPr>
        <w:ind w:left="1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Proposal 6 –</w:t>
      </w:r>
      <w:r>
        <w:rPr>
          <w:sz w:val="20"/>
          <w:szCs w:val="20"/>
          <w:color w:val="auto"/>
        </w:rPr>
        <w:tab/>
      </w:r>
      <w:r>
        <w:rPr>
          <w:rFonts w:ascii="Times New Roman" w:cs="Times New Roman" w:eastAsia="Times New Roman" w:hAnsi="Times New Roman"/>
          <w:sz w:val="16"/>
          <w:szCs w:val="16"/>
          <w:color w:val="auto"/>
        </w:rPr>
        <w:t>The affirmative vote of a majority of the votes cast by the stockholders present in person or represented by proxy at the meeting and entitled to vote on</w:t>
      </w:r>
    </w:p>
    <w:p>
      <w:pPr>
        <w:spacing w:after="0" w:line="29" w:lineRule="exact"/>
        <w:rPr>
          <w:sz w:val="20"/>
          <w:szCs w:val="20"/>
          <w:color w:val="auto"/>
        </w:rPr>
      </w:pPr>
    </w:p>
    <w:p>
      <w:pPr>
        <w:ind w:left="1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Reverse</w:t>
      </w:r>
      <w:r>
        <w:rPr>
          <w:sz w:val="20"/>
          <w:szCs w:val="20"/>
          <w:color w:val="auto"/>
        </w:rPr>
        <w:tab/>
      </w:r>
      <w:r>
        <w:rPr>
          <w:rFonts w:ascii="Times New Roman" w:cs="Times New Roman" w:eastAsia="Times New Roman" w:hAnsi="Times New Roman"/>
          <w:sz w:val="16"/>
          <w:szCs w:val="16"/>
          <w:color w:val="auto"/>
        </w:rPr>
        <w:t>the subject matter, voting affirmatively or negatively is required to approve the Reverse Stock Split Proposal.</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Stock Split</w:t>
      </w:r>
    </w:p>
    <w:p>
      <w:pPr>
        <w:spacing w:after="0" w:line="11" w:lineRule="exact"/>
        <w:rPr>
          <w:sz w:val="20"/>
          <w:szCs w:val="20"/>
          <w:color w:val="auto"/>
        </w:rPr>
      </w:pPr>
    </w:p>
    <w:p>
      <w:pPr>
        <w:ind w:left="1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Proposal</w:t>
      </w:r>
      <w:r>
        <w:rPr>
          <w:sz w:val="20"/>
          <w:szCs w:val="20"/>
          <w:color w:val="auto"/>
        </w:rPr>
        <w:tab/>
      </w:r>
      <w:r>
        <w:rPr>
          <w:rFonts w:ascii="Times New Roman" w:cs="Times New Roman" w:eastAsia="Times New Roman" w:hAnsi="Times New Roman"/>
          <w:sz w:val="16"/>
          <w:szCs w:val="16"/>
          <w:color w:val="auto"/>
        </w:rPr>
        <w:t>“ABSTAIN” votes will have no effect on the Reverse Stock Proposal.</w:t>
      </w:r>
    </w:p>
    <w:p>
      <w:pPr>
        <w:spacing w:after="0" w:line="191" w:lineRule="exact"/>
        <w:rPr>
          <w:sz w:val="20"/>
          <w:szCs w:val="20"/>
          <w:color w:val="auto"/>
        </w:rPr>
      </w:pPr>
    </w:p>
    <w:p>
      <w:pPr>
        <w:jc w:val="both"/>
        <w:ind w:left="1260" w:right="100"/>
        <w:spacing w:after="0" w:line="272" w:lineRule="auto"/>
        <w:rPr>
          <w:sz w:val="20"/>
          <w:szCs w:val="20"/>
          <w:color w:val="auto"/>
        </w:rPr>
      </w:pPr>
      <w:r>
        <w:rPr>
          <w:rFonts w:ascii="Times New Roman" w:cs="Times New Roman" w:eastAsia="Times New Roman" w:hAnsi="Times New Roman"/>
          <w:sz w:val="16"/>
          <w:szCs w:val="16"/>
          <w:color w:val="auto"/>
        </w:rPr>
        <w:t>Because the Reverse Stock Split Proposal is a “routine matter,” broker non-votes are not expected to occur with respect to the Reverse Stock Split Proposal because your broker has discretionary authority to vote your shares with respect to such proposal. Failure by your broker to exercise its discretionary authority to vote your shares on the Reverse Stock Split Proposal will have no effect thereon.</w:t>
      </w:r>
    </w:p>
    <w:p>
      <w:pPr>
        <w:spacing w:after="0" w:line="142" w:lineRule="exact"/>
        <w:rPr>
          <w:sz w:val="20"/>
          <w:szCs w:val="20"/>
          <w:color w:val="auto"/>
        </w:rPr>
      </w:pPr>
    </w:p>
    <w:p>
      <w:pPr>
        <w:ind w:left="100" w:right="10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Proposal 7 – </w:t>
      </w:r>
      <w:r>
        <w:rPr>
          <w:rFonts w:ascii="Times New Roman" w:cs="Times New Roman" w:eastAsia="Times New Roman" w:hAnsi="Times New Roman"/>
          <w:sz w:val="16"/>
          <w:szCs w:val="16"/>
          <w:color w:val="auto"/>
        </w:rPr>
        <w:t>The affirmative vote of a majority of the votes cast by the stockholders present in person or represented by proxy at the meeting and entitled to vote on</w:t>
      </w:r>
      <w:r>
        <w:rPr>
          <w:rFonts w:ascii="Times New Roman" w:cs="Times New Roman" w:eastAsia="Times New Roman" w:hAnsi="Times New Roman"/>
          <w:sz w:val="16"/>
          <w:szCs w:val="16"/>
          <w:b w:val="1"/>
          <w:bCs w:val="1"/>
          <w:color w:val="auto"/>
        </w:rPr>
        <w:t xml:space="preserve"> Adjournment </w:t>
      </w:r>
      <w:r>
        <w:rPr>
          <w:rFonts w:ascii="Times New Roman" w:cs="Times New Roman" w:eastAsia="Times New Roman" w:hAnsi="Times New Roman"/>
          <w:sz w:val="16"/>
          <w:szCs w:val="16"/>
          <w:color w:val="auto"/>
        </w:rPr>
        <w:t>the subject matter, voting affirmatively or negatively is required to approve the Adjournment Proposal.</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Proposal</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“ABSTAIN” votes will have no effect the Adjournment Proposal.</w:t>
      </w:r>
    </w:p>
    <w:p>
      <w:pPr>
        <w:spacing w:after="0" w:line="191" w:lineRule="exact"/>
        <w:rPr>
          <w:sz w:val="20"/>
          <w:szCs w:val="20"/>
          <w:color w:val="auto"/>
        </w:rPr>
      </w:pPr>
    </w:p>
    <w:p>
      <w:pPr>
        <w:jc w:val="both"/>
        <w:ind w:left="1240" w:right="80"/>
        <w:spacing w:after="0" w:line="272" w:lineRule="auto"/>
        <w:rPr>
          <w:sz w:val="20"/>
          <w:szCs w:val="20"/>
          <w:color w:val="auto"/>
        </w:rPr>
      </w:pPr>
      <w:r>
        <w:rPr>
          <w:rFonts w:ascii="Times New Roman" w:cs="Times New Roman" w:eastAsia="Times New Roman" w:hAnsi="Times New Roman"/>
          <w:sz w:val="16"/>
          <w:szCs w:val="16"/>
          <w:color w:val="auto"/>
        </w:rPr>
        <w:t>Because the Adjournment Proposal is a “routine matter,” broker non-votes are not expected to occur with respect to the Adjournment Proposal because your broker has discretionary authority to vote your shares with respect to such proposal. Failure by your broker to exercise its discretionary authority to vote your shares on the Adjournment will have no effect thereon.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Counts the Votes?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votes will be tabulated by Alliance, the inspector of election appointed for the Annual Meeting. Each proposal will be tabulated separately.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 I Have Any Dissenters’ Or Appraisal Rights With Respect to Any of the Matters to be Voted on at the Annual Meeting?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None of our stockholders has any dissenters’ or appraisal rights with respect to the matters to be voted on at the Annual Meeting.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 Can I Find the Voting Results of the Annual Meeting?</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final voting results will be reported on Form 8-K, which will be filed with the SEC within four business days after the Annual Meeting. If our final voting results are not available within four business days after the Annual Meeting, we will file a Form 8-K reporting the preliminary voting results and subsequently file the final voting results in an amendment to the Form 8-K within four business days after the final voting results are known to us.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What Are the Costs of Soliciting these Proxies?</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costs and expenses of the Board’s solicitation of proxies, including the preparation, printing and mailing of this Proxy Statement, the Proxy Card, the Notice of the Annual Meeting of Stockholders and any additional information furnished to stockholders by us, will be borne by us. Solicitation of proxies may be in person, by telephone, electronic mail or personal solicitation by our directors, officers or staff members. Other than the persons described in this Proxy Statement, no general class of our employees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our engagement of Alliance as a proxy solicitor, we anticipate that certain employees of Alliance may communicate in person, by telephone or otherwise with a limited number of institutions, brokers or other persons who are our stockholders for the purpose of assisting in the solicitation of proxies for the Annual Meeting. We expect to pay Alliance up to $115,170 for its services in connection with the solicitation of proxies for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Are There Any Other Matters to be Acted upon at the Annual Meeting?</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Management does not intend to present any business at the Annual Meeting for a vote other than the matters set forth in the Notice and has no information that others will do so. If other matters requiring a vote of the stockholders properly come before the Annual Meeting, it is the intention of the person named in the form of proxy to vote the shares represented by the proxies held by them in accordance with applicable law and their judgment on such matters.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can help answer my questions?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1-833-215-7321 or by email at </w:t>
      </w:r>
      <w:r>
        <w:rPr>
          <w:rFonts w:ascii="Times New Roman" w:cs="Times New Roman" w:eastAsia="Times New Roman" w:hAnsi="Times New Roman"/>
          <w:sz w:val="16"/>
          <w:szCs w:val="16"/>
          <w:u w:val="single" w:color="auto"/>
          <w:color w:val="auto"/>
        </w:rPr>
        <w:t>XWEL@allianceadvisors.com</w:t>
      </w:r>
      <w:r>
        <w:rPr>
          <w:rFonts w:ascii="Times New Roman" w:cs="Times New Roman" w:eastAsia="Times New Roman" w:hAnsi="Times New Roman"/>
          <w:sz w:val="16"/>
          <w:szCs w:val="16"/>
          <w:color w:val="auto"/>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PROPOSAL 1 – THE DIRECTOR ELECTION PROPOSAL</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Board currently consists of five members. Prior to each annual meeting of stockholders, the Board considers the recommendations of the Nominating and Corporate Governance Committee of the Board (the “Nominating and Corporate Governance Committee”) and votes to nominate individuals for election or re-election for a term of one year or until their successors are duly elected and qualified or until their earlier death, resignation, or removal. In accordance with the recommendation of the Nominating and Corporate Governance Committee, the Board has nominated Ezra Ernst, Bruce T. Bernstein, Robert Weinstein, Gaëlle Wizenberg and Michael Lebowitz for election as directors at the Annual Meeting, each to serve until the 2026 annual meeting of stockholders or until his or her respective successor is duly elected and qualified.</w:t>
      </w:r>
    </w:p>
    <w:p>
      <w:pPr>
        <w:spacing w:after="0" w:line="3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of Ezra Ernst, Bruce T. Bernstein, Robert Weinstein, Gaëlle Wizenberg and Michael Lebowitz has consented to being named in a proxy statement relating to the Annual Meeting and to serve as a director if elected. Each of the nominees listed has expressed his or her willingness to serve. If any of the nominees become unable to accept nomination or election, the persons named in the proxy may vote for a substitute nominee selected by our Board. We have no present reason to believe that any nominee will be unable or unwilling to serve as a director. Except as set forth in this Proxy Statement and based on the information provided by each director, no director is a party to an arrangement or understanding pursuant to which he or she is to be selected as a director or nominee.</w:t>
      </w:r>
    </w:p>
    <w:p>
      <w:pPr>
        <w:spacing w:after="0" w:line="16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color w:val="auto"/>
        </w:rPr>
        <w:t>Additional information regarding each of Ezra Ernst, Bruce T. Bernstein, Robert Weinstein, Gaëlle Wizenberg and Michael Lebowitz is set forth below under “</w:t>
      </w:r>
      <w:r>
        <w:rPr>
          <w:rFonts w:ascii="Times New Roman" w:cs="Times New Roman" w:eastAsia="Times New Roman" w:hAnsi="Times New Roman"/>
          <w:sz w:val="16"/>
          <w:szCs w:val="16"/>
          <w:i w:val="1"/>
          <w:iCs w:val="1"/>
          <w:color w:val="auto"/>
        </w:rPr>
        <w:t>Management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Corporate Governance</w:t>
      </w:r>
      <w:r>
        <w:rPr>
          <w:rFonts w:ascii="Times New Roman" w:cs="Times New Roman" w:eastAsia="Times New Roman" w:hAnsi="Times New Roman"/>
          <w:sz w:val="16"/>
          <w:szCs w:val="16"/>
          <w:color w:val="auto"/>
        </w:rPr>
        <w:t>” in this Proxy Statement.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 Votes that are withheld and broker non-votes will have no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50100" cy="586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586740"/>
                    </a:xfrm>
                    <a:prstGeom prst="rect">
                      <a:avLst/>
                    </a:prstGeom>
                    <a:noFill/>
                  </pic:spPr>
                </pic:pic>
              </a:graphicData>
            </a:graphic>
          </wp:anchor>
        </w:drawing>
      </w:r>
    </w:p>
    <w:p>
      <w:pPr>
        <w:spacing w:after="0" w:line="391" w:lineRule="exact"/>
        <w:rPr>
          <w:sz w:val="20"/>
          <w:szCs w:val="20"/>
          <w:color w:val="auto"/>
        </w:rPr>
      </w:pPr>
    </w:p>
    <w:p>
      <w:pPr>
        <w:jc w:val="center"/>
        <w:ind w:left="340" w:right="540"/>
        <w:spacing w:after="0" w:line="292" w:lineRule="auto"/>
        <w:rPr>
          <w:sz w:val="20"/>
          <w:szCs w:val="20"/>
          <w:color w:val="auto"/>
        </w:rPr>
      </w:pPr>
      <w:r>
        <w:rPr>
          <w:rFonts w:ascii="Times New Roman" w:cs="Times New Roman" w:eastAsia="Times New Roman" w:hAnsi="Times New Roman"/>
          <w:sz w:val="16"/>
          <w:szCs w:val="16"/>
          <w:b w:val="1"/>
          <w:bCs w:val="1"/>
          <w:color w:val="auto"/>
        </w:rPr>
        <w:t>THE BOARD RECOMMENDS THAT YOU VOTE “FOR” THE ELECTION OF EACH OF EZRA ERNST, BRUCE T. BERNSTEIN, ROBERT WEINSTEIN, GAËLLE WIZENBERG AND MICHAEL LEBOWITZ AS 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PROPOSAL 2 – THE AUDITOR RATIFICATION PROPOSAL</w:t>
      </w:r>
    </w:p>
    <w:p>
      <w:pPr>
        <w:spacing w:after="0" w:line="20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Audit Committee of the Board (the “Audit Committee”) recommends stockholders ratify CBIZ CPAs P.C. (“CBIZ”) as our independent registered public accounting firm for the fiscal year ending December 31, 2025.</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May 4, 2020, we approved the engagement of Friedman LLP (“Friedman”) as our independent registered public accounting firm for the fiscal year ended December 31, 2020. This selection was ratified by our stockholders at the 2020, 2021, 2022, 2023 and 2024 annual meetings of stockholders held on October 28, 2020, September 30, 2021, October 4, 2022, August 22, 2023, and September 20, 2024, respectively. In deciding to select Friedman, the Audit Committee carefully considered the qualifications of Friedman, including their reputation for integrity, quality, and competence in the fields of accounting and auditing. Effective September 1, 2022, Friedman combined with Marcum, and Marcum, LLP (“Marcum”) became our auditors as of October 4, 2022. In November 2024, CBIZ acquired Marcum. Further, the Audit Committee reviewed auditor independence issues and existing commercial relationships with CBIZ. The Audit Committee concluded that independence of CBIZ was not impaired for the fiscal years ended December 31, 2024, and 2023.</w:t>
      </w:r>
    </w:p>
    <w:p>
      <w:pPr>
        <w:spacing w:after="0" w:line="16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We anticipate that representatives from CBIZ will be present at the Annual Meeting and that the CBIZ representative will have the opportunity to make a statement if he or she desires to do so and we will allow such representative to be available to respond to appropriate questions.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For the fiscal years ended December 31, 2024, and 2023, we incurred the following fees for the services of CBIZ:</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79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88"/>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CBIZ CPAs P.C.:</w:t>
            </w: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Audit fees(1)</w:t>
            </w: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503,900</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567,070</w:t>
            </w:r>
          </w:p>
        </w:tc>
        <w:tc>
          <w:tcPr>
            <w:tcW w:w="100" w:type="dxa"/>
            <w:vAlign w:val="bottom"/>
          </w:tcPr>
          <w:p>
            <w:pPr>
              <w:spacing w:after="0"/>
              <w:rPr>
                <w:sz w:val="17"/>
                <w:szCs w:val="17"/>
                <w:color w:val="auto"/>
              </w:rPr>
            </w:pPr>
          </w:p>
        </w:tc>
      </w:tr>
      <w:tr>
        <w:trPr>
          <w:trHeight w:val="195"/>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Audit-related fees(2)</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109,580</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120,915</w:t>
            </w:r>
          </w:p>
        </w:tc>
        <w:tc>
          <w:tcPr>
            <w:tcW w:w="100" w:type="dxa"/>
            <w:vAlign w:val="bottom"/>
            <w:shd w:val="clear" w:color="auto" w:fill="CCEEFF"/>
          </w:tcPr>
          <w:p>
            <w:pPr>
              <w:spacing w:after="0"/>
              <w:rPr>
                <w:sz w:val="17"/>
                <w:szCs w:val="17"/>
                <w:color w:val="auto"/>
              </w:rPr>
            </w:pPr>
          </w:p>
        </w:tc>
      </w:tr>
      <w:tr>
        <w:trPr>
          <w:trHeight w:val="195"/>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Tax fees(3)</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8"/>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other fees(4)</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r>
      <w:tr>
        <w:trPr>
          <w:trHeight w:val="200"/>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613,480</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687,985</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4" w:lineRule="exact"/>
        <w:rPr>
          <w:sz w:val="20"/>
          <w:szCs w:val="20"/>
          <w:color w:val="auto"/>
        </w:rPr>
      </w:pPr>
    </w:p>
    <w:p>
      <w:pPr>
        <w:jc w:val="both"/>
        <w:ind w:left="200" w:right="20" w:hanging="194"/>
        <w:spacing w:after="0" w:line="265" w:lineRule="auto"/>
        <w:rPr>
          <w:sz w:val="20"/>
          <w:szCs w:val="20"/>
          <w:color w:val="auto"/>
        </w:rPr>
      </w:pPr>
      <w:r>
        <w:rPr>
          <w:rFonts w:ascii="Times New Roman" w:cs="Times New Roman" w:eastAsia="Times New Roman" w:hAnsi="Times New Roman"/>
          <w:sz w:val="16"/>
          <w:szCs w:val="16"/>
          <w:color w:val="auto"/>
        </w:rPr>
        <w:t>(1)Audit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rPr>
          <w:sz w:val="20"/>
          <w:szCs w:val="20"/>
          <w:color w:val="auto"/>
        </w:rPr>
      </w:pPr>
      <w:r>
        <w:rPr>
          <w:rFonts w:ascii="Times New Roman" w:cs="Times New Roman" w:eastAsia="Times New Roman" w:hAnsi="Times New Roman"/>
          <w:sz w:val="16"/>
          <w:szCs w:val="16"/>
          <w:color w:val="auto"/>
        </w:rPr>
        <w:t>(2)Audit-related fees includes fees for benefit plan audits and lease compliance audits.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(3)Tax fees consist of fees for tax services, including tax compliance, tax advice and tax planning.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(4)The fees in this category pertain to fees billed for products and services provided by CBIZ, other than the services reported in the categories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of Audit and Non-Audit Services</w:t>
      </w:r>
    </w:p>
    <w:p>
      <w:pPr>
        <w:spacing w:after="0" w:line="20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 for the years ended December 31, 2024, and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0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Audit Committee has appointed CBIZ as our independent registered public accounting firm for the fiscal year ending December 31, 2025. The affirmative vote of a majority of the votes cast by the stockholders present in person or represented by proxy at the meeting and entitled to vote on the subject matter, voting affirmatively or negatively is required to ratify the appointment of CBIZ as our independent registered public accounting firm for the fiscal year ending December 31, 2025. “ABSTAIN” votes will have no effect on the Auditor Ratification Proposal. Because the Auditor Ratification Proposal is a “routine matter,” broker non-votes are not applicable because your broker has discretionary authority to vote your shares with respect to such proposal. Failure by your broker to exercise such discretionary authority to vote your shares on the Auditor Ratification Proposal will have no effect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50100"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46291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BOARD RECOMMENDS THAT YOU VOTE “FOR” THE AUDITOR RATIFICATION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20" w:name="page21"/>
    <w:bookmarkEnd w:id="20"/>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PROPOSAL 3 – THE SAY-ON-PAY PROPOSAL</w:t>
      </w:r>
    </w:p>
    <w:p>
      <w:pPr>
        <w:spacing w:after="0" w:line="209"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6"/>
          <w:szCs w:val="16"/>
          <w:color w:val="auto"/>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 However, the Compensation Committee and the Board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2026 annual meeting of stockholders, subject to the voting results of the Say-on-Frequency Proposal as set forth in this Proxy Statement and our Board’s final determination as related to the frequency of holding future advisory votes on executive compensation.</w:t>
      </w:r>
    </w:p>
    <w:p>
      <w:pPr>
        <w:spacing w:after="0" w:line="169"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62"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Our compensation program consists of these general elements:</w:t>
      </w:r>
    </w:p>
    <w:p>
      <w:pPr>
        <w:spacing w:after="0" w:line="207" w:lineRule="exact"/>
        <w:rPr>
          <w:sz w:val="20"/>
          <w:szCs w:val="20"/>
          <w:color w:val="auto"/>
        </w:rPr>
      </w:pPr>
    </w:p>
    <w:p>
      <w:pPr>
        <w:ind w:left="302" w:hanging="302"/>
        <w:spacing w:after="0"/>
        <w:tabs>
          <w:tab w:leader="none" w:pos="3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fixed portion of compensation, in the form of a base salary, to retain and provide a base level of compensation to our named executive officers;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long-term performance element in the form of equity, to incentivize our named executive officers to achieve superior corporate performance.</w:t>
      </w:r>
    </w:p>
    <w:p>
      <w:pPr>
        <w:spacing w:after="0" w:line="207" w:lineRule="exact"/>
        <w:rPr>
          <w:sz w:val="20"/>
          <w:szCs w:val="20"/>
          <w:color w:val="auto"/>
        </w:rPr>
      </w:pPr>
    </w:p>
    <w:p>
      <w:pPr>
        <w:ind w:left="2" w:right="20"/>
        <w:spacing w:after="0" w:line="290" w:lineRule="auto"/>
        <w:rPr>
          <w:sz w:val="20"/>
          <w:szCs w:val="20"/>
          <w:color w:val="auto"/>
        </w:rPr>
      </w:pPr>
      <w:r>
        <w:rPr>
          <w:rFonts w:ascii="Times New Roman" w:cs="Times New Roman" w:eastAsia="Times New Roman" w:hAnsi="Times New Roman"/>
          <w:sz w:val="16"/>
          <w:szCs w:val="16"/>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142" w:lineRule="exact"/>
        <w:rPr>
          <w:sz w:val="20"/>
          <w:szCs w:val="20"/>
          <w:color w:val="auto"/>
        </w:rPr>
      </w:pPr>
    </w:p>
    <w:p>
      <w:pPr>
        <w:ind w:left="302" w:hanging="302"/>
        <w:spacing w:after="0"/>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competitive position;</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 and the contribution of each individual to our financial performance;</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performance, including past and expected contribution to our corporate goals and execution of our business plan and strategy;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long-term needs and operational goals, including attracting and retaining key management personnel.</w:t>
      </w:r>
    </w:p>
    <w:p>
      <w:pPr>
        <w:spacing w:after="0" w:line="207" w:lineRule="exact"/>
        <w:rPr>
          <w:sz w:val="20"/>
          <w:szCs w:val="20"/>
          <w:color w:val="auto"/>
        </w:rPr>
      </w:pPr>
    </w:p>
    <w:p>
      <w:pPr>
        <w:jc w:val="both"/>
        <w:ind w:left="2" w:right="20"/>
        <w:spacing w:after="0" w:line="265" w:lineRule="auto"/>
        <w:rPr>
          <w:sz w:val="20"/>
          <w:szCs w:val="20"/>
          <w:color w:val="auto"/>
        </w:rPr>
      </w:pPr>
      <w:r>
        <w:rPr>
          <w:rFonts w:ascii="Times New Roman" w:cs="Times New Roman" w:eastAsia="Times New Roman" w:hAnsi="Times New Roman"/>
          <w:sz w:val="16"/>
          <w:szCs w:val="16"/>
          <w:color w:val="auto"/>
        </w:rPr>
        <w:t>In accordance with the rules of the SEC, the following resolution, commonly known as a “say-on-pay” vote, is being submitted for a stockholder vote at the Annual Meeting:</w:t>
      </w:r>
    </w:p>
    <w:p>
      <w:pPr>
        <w:spacing w:after="0" w:line="383" w:lineRule="exact"/>
        <w:rPr>
          <w:sz w:val="20"/>
          <w:szCs w:val="20"/>
          <w:color w:val="auto"/>
        </w:rPr>
      </w:pPr>
    </w:p>
    <w:p>
      <w:pPr>
        <w:ind w:left="582" w:right="20"/>
        <w:spacing w:after="0" w:line="290" w:lineRule="auto"/>
        <w:rPr>
          <w:sz w:val="20"/>
          <w:szCs w:val="20"/>
          <w:color w:val="auto"/>
        </w:rPr>
      </w:pPr>
      <w:r>
        <w:rPr>
          <w:rFonts w:ascii="Times New Roman" w:cs="Times New Roman" w:eastAsia="Times New Roman" w:hAnsi="Times New Roman"/>
          <w:sz w:val="16"/>
          <w:szCs w:val="16"/>
          <w:color w:val="auto"/>
        </w:rPr>
        <w:t>“RESOLVED, that the compensation paid to the named executive officers of XWELL, Inc., as disclosed pursuant to the compensation disclosure rules of the Securities and Exchange Commission in the compensation tables and the related material disclosed in the proxy statement for the meeting, is hereby</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09"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As an advisory vote, the result of this proposal is non-binding. Although the vote is non-binding, our Board and our Compensation Committee value the opinions of our stockholders in this matter and, to the extent there is any significant vote in favor of one time period over another, will consider the outcome of this vote when making future decisions regarding the compensation of our named executive officers.</w:t>
      </w:r>
    </w:p>
    <w:p>
      <w:pPr>
        <w:spacing w:after="0" w:line="156"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at the meeting and entitled to vote on the subject matter, voting affirmatively or negatively is required to approve, on a non-binding advisory basis, the compensation of our named executive officers, as described in this Proxy Statement. “ABSTAIN” votes will have no effect on the Say-on-Pay Proposal. Broker non-votes will have no effect on the outcome of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5655" cy="419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5655" cy="419100"/>
                    </a:xfrm>
                    <a:prstGeom prst="rect">
                      <a:avLst/>
                    </a:prstGeom>
                    <a:noFill/>
                  </pic:spPr>
                </pic:pic>
              </a:graphicData>
            </a:graphic>
          </wp:anchor>
        </w:drawing>
      </w:r>
    </w:p>
    <w:p>
      <w:pPr>
        <w:spacing w:after="0" w:line="36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THE BOARD RECOMMENDS THAT YOU VOTE “FOR” THE SAY-ON-PAY PROPOSAL.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6"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PROPOSAL 4 – THE SAY-ON-FREQUENCY PROPOSAL</w:t>
      </w:r>
    </w:p>
    <w:p>
      <w:pPr>
        <w:spacing w:after="0" w:line="20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As required by the SEC’s rules, we are including this proposal to give our stockholders the opportunity to inform us as to how often they wish us to include a say-on-pay proposal in our proxy statements.</w:t>
      </w:r>
    </w:p>
    <w:p>
      <w:pPr>
        <w:spacing w:after="0" w:line="14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We are presenting the following proposal, which gives you, as a stockholder, the opportunity to inform us as to whether you wish us to hold an advisory (non-binding) vote on executive compensation once every (1) one year, (2) two years, or (3) three years, or you may abstain from voting on the proposal set forth in the following resolution.</w:t>
      </w:r>
    </w:p>
    <w:p>
      <w:pPr>
        <w:spacing w:after="0" w:line="142" w:lineRule="exact"/>
        <w:rPr>
          <w:sz w:val="20"/>
          <w:szCs w:val="20"/>
          <w:color w:val="auto"/>
        </w:rPr>
      </w:pPr>
    </w:p>
    <w:p>
      <w:pPr>
        <w:jc w:val="both"/>
        <w:ind w:left="580"/>
        <w:spacing w:after="0" w:line="272" w:lineRule="auto"/>
        <w:rPr>
          <w:sz w:val="20"/>
          <w:szCs w:val="20"/>
          <w:color w:val="auto"/>
        </w:rPr>
      </w:pPr>
      <w:r>
        <w:rPr>
          <w:rFonts w:ascii="Times New Roman" w:cs="Times New Roman" w:eastAsia="Times New Roman" w:hAnsi="Times New Roman"/>
          <w:sz w:val="16"/>
          <w:szCs w:val="16"/>
          <w:color w:val="auto"/>
        </w:rPr>
        <w:t>“RESOLVED, that the stockholders determine, on an advisory basis, whether the preferred frequency of an advisory vote on the executive compensation of the Company's named executive officers as set forth in the Company’s proxy statement for the 2025 Annual Meeting of Stockholders should be every year, every two years, or every three years.”</w:t>
      </w:r>
    </w:p>
    <w:p>
      <w:pPr>
        <w:spacing w:after="0" w:line="15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The Board recommends that you vote for every three (3) years as the desired frequency for us to hold a non-binding, advisory vote of the stockholders on executive compensation. We believe this frequency is appropriate for the reasons set forth below:</w:t>
      </w:r>
    </w:p>
    <w:p>
      <w:pPr>
        <w:spacing w:after="0" w:line="142" w:lineRule="exact"/>
        <w:rPr>
          <w:sz w:val="20"/>
          <w:szCs w:val="20"/>
          <w:color w:val="auto"/>
        </w:rPr>
      </w:pPr>
    </w:p>
    <w:p>
      <w:pPr>
        <w:jc w:val="both"/>
        <w:ind w:left="1180" w:hanging="303"/>
        <w:spacing w:after="0" w:line="263" w:lineRule="auto"/>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equity compensation program for the named executive officers is designed to support long-term value creation, and a vote every three years will allow the stockholders to better judge the equity compensation program in relation to our long-term performance. We strive to ensure management's interests are aligned with stockholders’ interests to support long-term value creation through our equity compensation program. To that end, we grant equity awards to vest over multi-year periods of service to encourage our named executive officers to focus on long-term performance, and recommend a vote every three years, which would allow the equity compensation to be evaluated over a similar time-frame and in relation to long-term performance.</w:t>
      </w:r>
    </w:p>
    <w:p>
      <w:pPr>
        <w:spacing w:after="0" w:line="164" w:lineRule="exact"/>
        <w:rPr>
          <w:rFonts w:ascii="Times New Roman" w:cs="Times New Roman" w:eastAsia="Times New Roman" w:hAnsi="Times New Roman"/>
          <w:sz w:val="16"/>
          <w:szCs w:val="16"/>
          <w:color w:val="auto"/>
        </w:rPr>
      </w:pPr>
    </w:p>
    <w:p>
      <w:pPr>
        <w:jc w:val="both"/>
        <w:ind w:left="1180" w:hanging="303"/>
        <w:spacing w:after="0" w:line="266" w:lineRule="auto"/>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vote every three (3) years will provide the Board and the Compensation Committee with the time to thoughtfully consider and thoroughly respond to stockholders' sentiments and to implement any necessary changes in light of the timing required therefor. The Board and the Compensation and Committee will carefully review changes to the executive compensation to maintain the effectiveness and credibility of the program, which is important for aligning interests and for motivating and retaining our named executive officers.</w:t>
      </w:r>
    </w:p>
    <w:p>
      <w:pPr>
        <w:spacing w:after="0" w:line="161" w:lineRule="exact"/>
        <w:rPr>
          <w:rFonts w:ascii="Times New Roman" w:cs="Times New Roman" w:eastAsia="Times New Roman" w:hAnsi="Times New Roman"/>
          <w:sz w:val="16"/>
          <w:szCs w:val="16"/>
          <w:color w:val="auto"/>
        </w:rPr>
      </w:pPr>
    </w:p>
    <w:p>
      <w:pPr>
        <w:jc w:val="both"/>
        <w:ind w:left="1180" w:hanging="303"/>
        <w:spacing w:after="0" w:line="272" w:lineRule="auto"/>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open to input from stockholders regarding Board and governance matters, as well as the equity compensation program. We believe that the stockholders’ ability to contact us and the Board at any time to express specific views on executive compensation holds us accountable to stockholders and reduces the need for and value of more frequent advisory votes on executive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 option among one year, two years, or three years that receives the highest number of votes cast at the Annual Meeting by stockholders entitled to vote thereon will be deemed to be the frequency preferred by our stockholders. Abstentions and broker non-votes will have no effect on this proposal.</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While our Board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named executive officers should be held every year, two years, or three years.</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an advisory vote, the result of this proposal is non-binding. Although the vote is non-binding, our Board and our Compensation Committee value the opinions of our stockholders in this matter and, to the extent there is any significant vote in favor of one time period over another, will consider the outcome of this vote when making future decisions regarding the frequency of holding future stockholder advisory votes on the compensation of our named executive officers.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This vote may not be construed as overruling a decision by the Board or its committees, creating or implying any change to the fiduciary duties of the Board or its committees or any additional fiduciary duty by the Board or its committees or restricting or limiting the ability of stockholders to make proposals for inclusion in proxy materials related to executive compensation. Notwithstanding the Board’s recommendation and the outcome of the vote on this matter, the Board may, in the future, decide to conduct advisory votes on a more or less frequent basis and may vary its practice based on factors such as discussions with stockholders and the adoption of material changes to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5655" cy="419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5655" cy="41910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BOARD RECOMMENDS THAT YOU VOTE “EVERY THREE YEARS” FOR THE SAY-ON-FREQUENCY PROPOSAL.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22" w:name="page23"/>
    <w:bookmarkEnd w:id="22"/>
    <w:p>
      <w:pPr>
        <w:ind w:left="3380"/>
        <w:spacing w:after="0"/>
        <w:rPr>
          <w:sz w:val="20"/>
          <w:szCs w:val="20"/>
          <w:color w:val="auto"/>
        </w:rPr>
      </w:pPr>
      <w:r>
        <w:rPr>
          <w:rFonts w:ascii="Times New Roman" w:cs="Times New Roman" w:eastAsia="Times New Roman" w:hAnsi="Times New Roman"/>
          <w:sz w:val="16"/>
          <w:szCs w:val="16"/>
          <w:b w:val="1"/>
          <w:bCs w:val="1"/>
          <w:color w:val="auto"/>
        </w:rPr>
        <w:t>PROPOSAL 5 – THE BOARD CLASSIFICATION PROPOSAL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of the Board Classification Proposal</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On July 10, 2025, our Board unanimously approved and recommended that our stockholders adopt and approve the Board Classification Amendment to the Certificate of Incorporation in the form attached to this Proxy Statement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which provides for the establishment of a classified board of directors. Our Board currently consists of five members, each elected to one-year terms at each annual meeting of stockholders. If the Board Classification Proposal is approved, we will divide our Board into two classes, with each class having a two-year term expiring in a different year, as further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Classified Board of Directors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Delaware law provides, unless otherwise provided in the Certificate of Incorporation or our Bylaws, directors are elected for a one-year term at the annual meeting of stockholders. If the Board Classification Proposal is approved, we would be authorized to classify our Board, and such classification would be effective upon the filing and effectiveness of the Board Classification Amendment into two classes with staggered two-year terms, designated as follows:</w:t>
      </w:r>
    </w:p>
    <w:p>
      <w:pPr>
        <w:spacing w:after="0" w:line="156" w:lineRule="exact"/>
        <w:rPr>
          <w:sz w:val="20"/>
          <w:szCs w:val="20"/>
          <w:color w:val="auto"/>
        </w:rPr>
      </w:pPr>
    </w:p>
    <w:p>
      <w:pPr>
        <w:ind w:left="580" w:hanging="289"/>
        <w:spacing w:after="0" w:line="290"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 Directors, with their initial terms expiring at the annual meeting of stockholders to be held in 2026 (the “2026 Annual Meeting”) and members of such class serving successive two-year terms thereafter; and</w:t>
      </w:r>
    </w:p>
    <w:p>
      <w:pPr>
        <w:spacing w:after="0" w:line="141" w:lineRule="exact"/>
        <w:rPr>
          <w:rFonts w:ascii="Times New Roman" w:cs="Times New Roman" w:eastAsia="Times New Roman" w:hAnsi="Times New Roman"/>
          <w:sz w:val="16"/>
          <w:szCs w:val="16"/>
          <w:color w:val="auto"/>
        </w:rPr>
      </w:pPr>
    </w:p>
    <w:p>
      <w:pPr>
        <w:ind w:left="580" w:hanging="289"/>
        <w:spacing w:after="0" w:line="290"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 Directors, with their initial terms expiring at the annual meeting of stockholders to be held in 2027 (the “2027 Annual Meeting”) and members of such class serving successive two-year terms thereafter; and</w:t>
      </w:r>
    </w:p>
    <w:p>
      <w:pPr>
        <w:spacing w:after="0" w:line="14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After this transition, our directors would serve for two-year terms, with one class being elected each year. Vacancies that occur during the year could be filled by the Board and such director would hold office until the next annual meeting of stockholders.</w:t>
      </w:r>
    </w:p>
    <w:p>
      <w:pPr>
        <w:spacing w:after="0" w:line="14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If the Board Classification Proposal is approved, the Board Classification Amendment authorizes the Board to assign directors then in office to classes upon the filing with the Delaware Secretary of State of Board Classification Amendment providing for classification of the Board.</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Board currently expects (i) that Ezra T. Ernst, Michael Lebowitz and Gaëlle Wizenberg will be designated to serve as the Class I Directors for an initial term to expire at the 2026 Annual Meeting and (i) that Bruce T. Bernstein and Robert Weinstein will be designated to serve as the Class II Directors for an initial term to expire at the 2027 Annual Meeting, or in each case, until the director’s earlier death, resignation or removal.</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If the Board Classification Proposal is approved and the Board Classification Amendment filed with the Delaware Secretary of State, the Board intends to amend the Bylaws, substantially in the form of </w:t>
      </w:r>
      <w:r>
        <w:rPr>
          <w:rFonts w:ascii="Times New Roman" w:cs="Times New Roman" w:eastAsia="Times New Roman" w:hAnsi="Times New Roman"/>
          <w:sz w:val="16"/>
          <w:szCs w:val="16"/>
          <w:u w:val="single" w:color="auto"/>
          <w:color w:val="auto"/>
        </w:rPr>
        <w:t>Annex B</w:t>
      </w:r>
      <w:r>
        <w:rPr>
          <w:rFonts w:ascii="Times New Roman" w:cs="Times New Roman" w:eastAsia="Times New Roman" w:hAnsi="Times New Roman"/>
          <w:sz w:val="16"/>
          <w:szCs w:val="16"/>
          <w:color w:val="auto"/>
        </w:rPr>
        <w:t xml:space="preserve"> attached hereto, to be consistent with any changes to the Board Classification Amendment approved by stockholders at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Advantages of a Classified Board of Directors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Board believes that a classified board structure will help to assure the continuity and stability of our long-term policies in the future and to reduce our vulnerability to hostile and potentially abusive takeover tactics that could be adverse to the best interests of our company and its stockholders. Our Board believes that, by encouraging potential acquirers to negotiate directly with our Board, thereby giving our Board added leverage in such negotiations, a classified board structure will increase the likelihood of bona fide offers for our company by serious acquirers. A classified board would not preclude unsolicited acquisition proposals but, by eliminating the threat of imminent removal, would put our Board in a position to act to maximize value for all stockholders.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 longer term in office also would allow our directors to stay focused on long-term value creation, without undue pressure that may come from special interest groups intent on pursuing their own agenda at the expense of the interests of our company and its stockholders. Further, it would enable us to benefit more effectively from directors’, particularly non-management directors’, experience and knowledge of our Company; while helping us attract and retain highly qualified individuals willing to commit the time and dedication necessary to understand our Company, its operations and its competitive environment.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Disadvantages of a Classified Board of Directors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While a classified Board may have the beneficial effects discussed immediately above, it may also discourage some takeover bids, including some that would otherwise allow stockholders the opportunity to realize a premium over the market price of their stock or that a majority of our stockholders otherwise believes may be in their best interests to accept or where the reason for the desired change is inadequate performance of our directors or management. Because of the additional time required to change control of our Board, a classified Board may also make it more difficult and more expensive for a potential acquirer to gain control of our Board and our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Effects</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 classified board of directors may increase the amount of time required for a takeover bidder to obtain control of our company without the cooperation of our Board, even if the takeover bidder were to acquire a majority of the voting power of our outstanding Common Stock. Without the ability to obtain immediate control of our Board, a takeover bidder will not be able to take action to remove other impediments to its acquisition of our company. Thus, a classified Board could discourage certain takeover attempts, perhaps including some takeovers that stockholders may feel would be in their best interests. Further, a classified Board will make it more difficult for stockholders to change the majority composition of our Board, even if our stockholders believe such a change would be beneficial. Because a classified Board would make the removal or replacement of directors more difficult, it may have the effect of increasing directors’ security in their positions, and could be viewed as tending to perpetuate incumbent management.</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Since the creation of a classified Board will increase the amount of time required for a hostile bidder to acquire control of our Company, the existence of a classified Board could tend to discourage certain tender offers that stockholders might feel would be in their best interest. However, our Board believes that forcing potential bidders to negotiate with our Board for a change of control transaction will allow our Board to better maximize stockholder value in any change of control transaction.</w:t>
      </w:r>
    </w:p>
    <w:p>
      <w:pPr>
        <w:spacing w:after="0" w:line="1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 Board does not currently contemplate recommending the approval of any actions that could be construed to affect the ability of third parties to take over or change control of our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Reservation of Right to Abandon</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Board reserves the right to not proceed with implementing a classified Board and to abandon such action without further action by our stockholders at any time before the effectiveness of the filing of the Board Classification Amendment with the Delaware Secretary of State, even if this proposal is adopted and approved by our stockholders at the Annual Meeting. By voting in favor of this proposal, you are expressly also authorizing our Board to delay, not proceed with, and abandon, implementing a classified board if it should so decide, in its sole discretion, that such action is in the best interests of our Company and its stockholders. If the Board elects to abandon the classified Board and the Board Classification Amendment, each member of our Board will continue to be elected to one-year terms at each annual meeting of stockholders.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affirmative vote of a majority of the shares outstanding and entitled to vote on the Board Classification Proposal is required to approve the Board Classification Proposal. “ABSTAIN” votes will have the same effect as votes cast “AGAINST” the Board Classification Proposal. 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50100" cy="46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462915"/>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BOARD RECOMMENDS A VOTE “FOR” THE BOARD CLASSIFICATION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PROPOSAL 6 – THE REVERSE STOCK SPLIT PROPOSAL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and Proposed Amendment</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July 10, 2025, subject to stockholder approval, the Board approved an amendment to our Certificate of Incorporation to, at the discretion of the Board, to effect the Reverse Stock Split of our Common Stock at a ratio of 1-for-2 to 1-for-20, with the exact ratio within such range to be determined by the Board of the Company at its discretion. The primary goal of the Reverse Stock Split is to increase the per share market price of our Common Stock to meet the minimum per share bid price requirements for continued listing on Nasdaq.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Securities Exchange Act of 1934, as amended (the “Exchange Act”). The Reverse Stock Split is not intended to modify the rights of existing stockholders in any material respect.</w:t>
      </w:r>
    </w:p>
    <w:p>
      <w:pPr>
        <w:spacing w:after="0" w:line="36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If the Reverse Stock Split Proposal is approved by our stockholders and the Reverse Stock Split is effected, up to every 20 shares of our outstanding Common Stock would be combined and reclassified into one share Common Stock. The actual timing for implementation of the Reverse Stock Split would be determined by the Board based upon its evaluation as to when such action would be most advantageous to the Company and its stockholders. Notwithstanding approval of the Reverse Stock Split Proposal by our stockholders, the Board will have the sole authority to elect whether or not and when to amend our Certificate of Incorporation to effect the Reverse Stock Split. If the Reverse Stock Split Proposal is approved by our stockholders, the Board will make a determination as to whether effecting the Reverse Stock Split is in the best interests of the Company and our stockholders in light of, among other things, compliance with the conditions the Company has to meet for the limited extension granted by the Panel for the Company to regain compliance with the continued listing on Nasdaq, the Company’s ability to increase the trading price of our Common Stock to meet the minimum stock price standards of Nasdaq without effecting the Reverse Stock Split, the per share price of the Common Stock immediately prior to the Reverse Stock Split and the expected stability of the per share price of the Common Stock following the Reverse Stock Split. If the Board determines that it is in the best interests of the Company and its stockholders to effect the Reverse Stock Split, it will hold a Board meeting to determine the ratio of the Reverse Stock Split. For additional information concerning the factors the Board will consider in deciding whether to effect the Reverse Stock Split, see “</w:t>
      </w:r>
      <w:r>
        <w:rPr>
          <w:rFonts w:ascii="Times New Roman" w:cs="Times New Roman" w:eastAsia="Times New Roman" w:hAnsi="Times New Roman"/>
          <w:sz w:val="16"/>
          <w:szCs w:val="16"/>
          <w:i w:val="1"/>
          <w:iCs w:val="1"/>
          <w:color w:val="auto"/>
        </w:rPr>
        <w:t>—Determination of the Reverse Stock Split Ratio</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—Board Discretion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Effect the Reverse Stock Split</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text of the proposed amendment to the company’s Certificate of Incorporation to effect the Reverse stock Split is included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xml:space="preserve"> to this Proxy Statement. If the Reverse Stock Split Proposal is approved by the Company’s stockholders, the Company will have the authority to file the Reverse Stock Split Amendment with the Secretary of State of the State of Delaware, which will become effective upon its filing; provided, however, that the Reverse Stock Split Amendment is subject to revision to include such changes as may be required by the office of the Secretary of State of the State of Delaware and as the Board deems necessary and advisable. The Board has determined that the Reverse Stock Split Amendment is advisable and in the best interests of the Company and its stockholders and has submitted the Reverse Stock Split Amendment for consideration by our stockholders at the Annual Meeting.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Reasons for the Reverse Stock Split Amendment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Maintain Nasdaq Listing</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Nasdaq pursuant to Nasdaq Listing Rule 5550(a)(2). The letter also indicated that we would be provided with the Compliance Period in which to regain compliance pursuant to Nasdaq Listing Rule 5810(c)(3)(A).</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25" w:name="page26"/>
    <w:bookmarkEnd w:id="25"/>
    <w:p>
      <w:pPr>
        <w:jc w:val="both"/>
        <w:spacing w:after="0" w:line="259" w:lineRule="auto"/>
        <w:rPr>
          <w:sz w:val="20"/>
          <w:szCs w:val="20"/>
          <w:color w:val="auto"/>
        </w:rPr>
      </w:pPr>
      <w:r>
        <w:rPr>
          <w:rFonts w:ascii="Times New Roman" w:cs="Times New Roman" w:eastAsia="Times New Roman" w:hAnsi="Times New Roman"/>
          <w:sz w:val="16"/>
          <w:szCs w:val="16"/>
          <w:color w:val="auto"/>
        </w:rPr>
        <w:t>In order to regain compliance with Nasdaq’s minimum bid price requirement,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its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the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notification, we may appeal the Nasdaq staff’s determination to delist its securities.</w:t>
      </w:r>
    </w:p>
    <w:p>
      <w:pPr>
        <w:spacing w:after="0" w:line="1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If our Common Stock is delisted from Nasdaq, the Board believes that the trading market for our Common Stock could become significantly less liquid, which could reduce the trading price of our Common Stock and increase the transaction costs of trading in shares of our Common Stock.</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If the Reverse Stock Split Amendment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our and our stockholders’ best interests and is likely to improve the trading price of our Common Stock and improve the likelihood that we will be allowed to maintain our listing on Nasdaq. Accordingly, our Board approved the Reverse Stock Split Amendment as being in our best interests.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Associated with the Reverse Stock Split</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Reverse Stock Split May Not Increase the Price of our Common Stock over the Long-Term and our Common Stock may be delisted. </w:t>
      </w:r>
      <w:r>
        <w:rPr>
          <w:rFonts w:ascii="Times New Roman" w:cs="Times New Roman" w:eastAsia="Times New Roman" w:hAnsi="Times New Roman"/>
          <w:sz w:val="16"/>
          <w:szCs w:val="16"/>
          <w:color w:val="auto"/>
        </w:rPr>
        <w:t>As noted above, the principal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purpose of the Reverse Stock Split is to increase the trading price of our Common Stock to meet the minimum stock price standards of Nasdaq. However, the effect of the Reverse Stock Split on the market price of our Common Stock cannot be predicted with any certainty, and we cannot assure you that the Reverse Stock Split will accomplish this objective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sufficient to regain compliance with the conditions required by the Panel. The market price of our Common Stock may be affected by other factors which may be unrelated to the number of shares outstanding, including our business and financial performance, general market conditions, and prospects for future success.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There can be no assurance that we will satisfy the conditions required by the Panel regarding the market price or ultimately regain compliance with all applicable requirements for continued listing on Nasdaq and maintain the listing of our Common Stock. If we are delisted from Nasdaq, among other things, it will increase the difficulty in our ability to raise money through the sale of its securities.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3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Reverse Stock Split May Decrease the Liquidity of our Common Stock. </w:t>
      </w:r>
      <w:r>
        <w:rPr>
          <w:rFonts w:ascii="Times New Roman" w:cs="Times New Roman" w:eastAsia="Times New Roman" w:hAnsi="Times New Roman"/>
          <w:sz w:val="16"/>
          <w:szCs w:val="16"/>
          <w:color w:val="auto"/>
        </w:rPr>
        <w:t>The Reverse Stock Split will reduce the total number of outstanding shares of Common Stock,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may lead to reduced trading and a smaller number of market makers for our Common Stock, particularly if the price per share of our Common Stock does not increase as a result of the Reverse Stock Split.</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Reverse Stock Split May Result in Some Stockholders Owning “Odd Lots” That May Be More Difficult to Sell or Require Greater Transaction Costs per Share to Sell. </w:t>
      </w:r>
      <w:r>
        <w:rPr>
          <w:rFonts w:ascii="Times New Roman" w:cs="Times New Roman" w:eastAsia="Times New Roman" w:hAnsi="Times New Roman"/>
          <w:sz w:val="16"/>
          <w:szCs w:val="16"/>
          <w:color w:val="auto"/>
        </w:rPr>
        <w:t>If the Reverse Stock Split is implemented, it will increase the number of stockholders who own “odd lots” of less than 100 shares of Common Stock. A purchase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sale of less than 100 shares of Common Stock (an “odd lot” transaction) may result in incrementally higher trading costs through certain brokers, particularly “full service” brokers. Therefore, those stockholders who own fewer than 100 shares of Common Stock following the Reverse Stock Split may be required to pay higher transaction costs if they sell their Common Stock.</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26" w:name="page27"/>
    <w:bookmarkEnd w:id="26"/>
    <w:p>
      <w:pPr>
        <w:jc w:val="both"/>
        <w:ind w:right="2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Reverse Stock Split May Lead to a Decrease in our Overall Market Capitalization. </w:t>
      </w:r>
      <w:r>
        <w:rPr>
          <w:rFonts w:ascii="Times New Roman" w:cs="Times New Roman" w:eastAsia="Times New Roman" w:hAnsi="Times New Roman"/>
          <w:sz w:val="16"/>
          <w:szCs w:val="16"/>
          <w:color w:val="auto"/>
        </w:rPr>
        <w:t>The Reverse Stock Split may be viewed negatively by the market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consequently, could lead to a decrease in our overall market capitalization. If the per share market price of our Common Stock does not increase in proportion to the Reverse Stock Split ratio, or following such increase does not maintain or exceed such price, then our value, as measured by our market capitalization, will be reduced. Additionally, any reduction in our market capitalization may be magnified as a result of the smaller number of total shares of Common Stock outstanding following the Reverse Stock Split.</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Consequences if the Reverse Stock Split Proposal is Not Approved</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If the Reverse Stock Split Proposal is not approved by our stockholders, our Board will not have the authority to effect the Reverse Stock Split Amendment to, among other things, satisfy the condition required by the Panel and regain compliance with the continued listing standards for the continued listing of our Common Stock on Nasdaq by increasing the per share trading price of our Common Stock to help ensure a share price high enough to satisfy the $1.00 per share minimum bid price requirement. Any inability of our Board to effect the Reverse Stock Split could expose us to delisting from Nasdaq.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Determination of the Reverse Stock Split Ratio</w:t>
      </w:r>
    </w:p>
    <w:p>
      <w:pPr>
        <w:spacing w:after="0" w:line="20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Board believes that stockholder approval of a range of potential Reverse Stock Split ratios is in our best interests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not more than 1-for-20.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selection of the specific Reverse Stock Split ratio will be based on several factors, including, among other things:</w:t>
      </w:r>
    </w:p>
    <w:p>
      <w:pPr>
        <w:spacing w:after="0" w:line="207" w:lineRule="exact"/>
        <w:rPr>
          <w:sz w:val="20"/>
          <w:szCs w:val="20"/>
          <w:color w:val="auto"/>
        </w:rPr>
      </w:pPr>
    </w:p>
    <w:p>
      <w:pPr>
        <w:ind w:left="580" w:hanging="28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regain and maintain the listing of our Common Stock on Nasdaq;</w:t>
      </w:r>
    </w:p>
    <w:p>
      <w:pPr>
        <w:spacing w:after="0" w:line="206"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price of our Common Stock immediately prior to the Reverse Stock Split;</w:t>
      </w:r>
    </w:p>
    <w:p>
      <w:pPr>
        <w:spacing w:after="0" w:line="206"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stability of the per share price of our Common Stock following the Reverse Stock Split;</w:t>
      </w:r>
    </w:p>
    <w:p>
      <w:pPr>
        <w:spacing w:after="0" w:line="206"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likelihood that the Reverse Stock Split will result in increased marketability and liquidity of our Common Stock;</w:t>
      </w:r>
    </w:p>
    <w:p>
      <w:pPr>
        <w:spacing w:after="0" w:line="206"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prevailing market conditions;</w:t>
      </w:r>
    </w:p>
    <w:p>
      <w:pPr>
        <w:spacing w:after="0" w:line="206"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in our industry; and</w:t>
      </w:r>
    </w:p>
    <w:p>
      <w:pPr>
        <w:spacing w:after="0" w:line="206"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capitalization before, and anticipated market capitalization after, the Reverse Stock Split.</w:t>
      </w:r>
    </w:p>
    <w:p>
      <w:pPr>
        <w:spacing w:after="0" w:line="20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Discretion to Effect the Reverse Stock Split</w:t>
      </w:r>
    </w:p>
    <w:p>
      <w:pPr>
        <w:spacing w:after="0" w:line="20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If the Reverse Stock Split Proposal is approved by our stockholders, the Board will have the discretion to implement the Reverse Stock Split or to not effect the Reverse Stock Split at all. If the trading price of our Common Stock increases without effecting the Reverse Stock Split,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Nasdaq for other reasons.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27" w:name="page28"/>
    <w:bookmarkEnd w:id="27"/>
    <w:p>
      <w:pPr>
        <w:jc w:val="both"/>
        <w:spacing w:after="0" w:line="263" w:lineRule="auto"/>
        <w:rPr>
          <w:sz w:val="20"/>
          <w:szCs w:val="20"/>
          <w:color w:val="auto"/>
        </w:rPr>
      </w:pPr>
      <w:r>
        <w:rPr>
          <w:rFonts w:ascii="Times New Roman" w:cs="Times New Roman" w:eastAsia="Times New Roman" w:hAnsi="Times New Roman"/>
          <w:sz w:val="16"/>
          <w:szCs w:val="16"/>
          <w:color w:val="auto"/>
        </w:rPr>
        <w:t>If our stockholders approve the Reverse Stock Split Proposal at the Annual Meeting, the Reverse Stock Split will be effected, if at all, only upon a determination by the Board that the Reverse Stock Split is in the best interests of the Company and its stockholders at that time. No further action on the part of the stockholders will be required to either effect or abandon the Reverse Stock Split.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will be abandoned.</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We have not proposed the Reverse Stock Split in response to any effort of which we are aware to accumulate our shares of Common Stock or obtain control of the Company, nor is it a plan by management to recommend a series of similar actions to our Board or our stockholders. Notwithstanding the decrease in the number of outstanding shares of Common Stock following the Reverse Stock Split, our Board does not intend for this transaction to be the first step in a “going private transaction” within the meaning of Rule 13e-3 of the Exchange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Effectiveness of the Reverse Stock Split</w:t>
      </w:r>
    </w:p>
    <w:p>
      <w:pPr>
        <w:spacing w:after="0" w:line="2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 xml:space="preserve">The Reverse Stock Split Amendment, if approved by our stockholders, will become effective upon the filing with the Secretary of State of the State of Delaware of a Certificate of Amendment to our Certificate of Incorporation in substantially the form of the Reverse Stock Split Amendment attached to this Proxy Statement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The exact timing of the filing of the Reverse Stock Split Amendment will be determined by the Board based upon the conditions the Company has to meet for the limited extension granted by the Panel for the Company to regain compliance with the continued listing on Nasdaq and its evaluation of when such action will be most advantageous to the Company and our stockholders. The Board reserves the right, notwithstanding stockholder approval and without further action by our stockholders, to elect not to proceed with the Reverse Stock Split if, at any time prior to filing such Reverse Stock Split Amendment, the Board, in its sole discretion, determines that it is no longer in the best interests of the Company and our stockholders.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to effect the Reverse Stock Split will be abandoned.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Effects of the Reverse Stock Split on Common Stock and Preferred Stock</w:t>
      </w:r>
    </w:p>
    <w:p>
      <w:pPr>
        <w:spacing w:after="0" w:line="20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Pursuant to the Reverse Stock Split Amendment, each holder of our Common Stock outstanding immediately prior to the effectiveness of the Reverse Stock Split (“Old Common Stock”) will become the holder of fewer shares of our Common Stock (“New Common Stock”) after consummation of the Reverse Stock Split.</w:t>
      </w:r>
    </w:p>
    <w:p>
      <w:pPr>
        <w:spacing w:after="0" w:line="14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Reverse Stock Split will affect all stockholders equally and will not affect any stockholder’s proportionate equity interest in the Company, except for those stockholders who receive an additional share of our Common Stock in lieu of a fractional share. None of the rights currently accruing to holders of our Common Stock will be affected by the Reverse Stock Split. Following the Reverse Stock Split, each share of New Common Stock will entitle the holder thereof to one vote per share and will otherwise be identical to Old Common Stock. The Reverse Stock Split also will have no effect on the number of authorized shares of our Common Stock. The shares of New Common Stock will be fully paid and non-assessable.</w:t>
      </w:r>
    </w:p>
    <w:p>
      <w:pPr>
        <w:spacing w:after="0" w:line="16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 xml:space="preserve">The par value per share of the Common Stock will remain unchanged at $0.01 per share after the Reverse Stock Split. As a result, on the effective date of the Reverse Stock Split, if any, the stated capital on our balance sheet attributable to the Common Stock will be reduced proportionately based on the Reverse Stock Split ratio, from its present amount, and the additional paid-in capital account will be credited with the amount by which the stated capital is reduced. After the Reverse Stock Split, net income or loss per share and other per share amounts will be increased because there will be fewer shares of our Common Stock outstanding. In future financial statements, net income or loss per share and other per share amounts for periods ending before the Reverse Stock Split would be recast to give retroactive effect to the Reverse Stock Split. As described below under </w:t>
      </w:r>
      <w:r>
        <w:rPr>
          <w:rFonts w:ascii="Times New Roman" w:cs="Times New Roman" w:eastAsia="Times New Roman" w:hAnsi="Times New Roman"/>
          <w:sz w:val="16"/>
          <w:szCs w:val="16"/>
          <w:i w:val="1"/>
          <w:iCs w:val="1"/>
          <w:color w:val="auto"/>
        </w:rPr>
        <w:t>“Effects of the Reverse Stock Split on Outstanding Equity Awards and Warrants to Purchase Common Stock,”</w:t>
      </w:r>
      <w:r>
        <w:rPr>
          <w:rFonts w:ascii="Times New Roman" w:cs="Times New Roman" w:eastAsia="Times New Roman" w:hAnsi="Times New Roman"/>
          <w:sz w:val="16"/>
          <w:szCs w:val="16"/>
          <w:color w:val="auto"/>
        </w:rPr>
        <w:t xml:space="preserve"> the per share exercise price of outstanding option awards and warrants would increase proportionately, and the number of shares of our Common Stock issuable upon the exercise of outstanding options and warrants, or that relate to other equity awards (e.g., restricted stock awards) would decrease proportionately, in each case based on the Reverse Stock Split ratio selected by the Board. The Company does not anticipate that any other accounting consequences would arise as a result of the Reverse Stock Split.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8" w:name="page29"/>
    <w:bookmarkEnd w:id="28"/>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are currently authorized to issue a maximum of 150,000,000 shares of our Common Stock. As of the Record Date, there were 5,756,703 shares of our Common Stock issued and outstanding. Although the number of authorized shares of our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 Conversely, with respect to the number of shares reserved for issuance under, for example, our 2020 Plan (as defined below), our Board will proportionately reduce such reserve in accordance with the terms of the 2020 Plan. As of the Record Date, there were 3,125,000 shares of Common Stock reserved for issuance under the 2020 Plan, of which 1,599,708 remained available for future awards, and following the Reverse Stock Split, if any, such reserve will be reduced to between 1,562,500 to 156,250 shares of Common Stock, of which between approximately 799,854 to 79,985 shares will be available for future awards.</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Following the Reverse Stock Split, the Board will have the authority, subject to applicable securities laws, to issue all authorized and unissued shares without further stockholder approval, upon such terms and conditions as the Board deems appropriate. We do not currently have any plans, proposals or understandings to issue the additional shares that would be available if the Reverse Stock Split is approved and effected, but some of the additional shares underlie warrants, which could be exercised or converted after the Reverse Stock Split Amendment is effected.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Effects of the Reverse Stock Split on Outstanding Equity Awards and Warrants to Purchase Common Stock</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If the Reverse Stock Split is effected, all outstanding options entitling their holders to purchase shares of our Common Stock, as well as any other equity awards granted pursuant to, or available under, the 2020 Equity Incentive Plan (the “2020 Plan”) or pursuant to the 2012 Employee, Director and Consultant Equity Incentive Plan (the “2012 Plan” and together with the 2020 Plan, the “Incentive Plans”), will be proportionately reduced, in accordance with the terms of the applicable Incentive Plan, in the same ratio as the reduction in the number of shares of outstanding Common Stock, except that any fractional shares resulting from such reduction will be rounded down to the nearest whole share to comply with the requirements of Code Sections 409A and 424. Correspondingly, the per share exercise price of any such options will be increased in direct proportion to the Reverse Stock Split ratio (rounded up to the nearest whole cent), so that the aggregate dollar amount payable for the purchase of the shares subject to the options will remain materially unchanged. For example, assuming that we effect the Reverse Stock Split at a ratio of 1-for-5, and that an optionee holds options to purchase 1,033 shares of our Common Stock at an exercise price of $1.00 per share, upon the effectiveness of the Reverse Stock Split at such ratio, the number of shares of the Common Stock subject to that option would be reduced to 206 (rounded down from 206.6 to account for fractional shares) and the exercise price would be proportionately increased to $5.00 per share.</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As of the Record Date, there were warrants to purchase up to 5,347,594 shares of Common Stock issued and outstanding at a weighted average exercise price of $1.6592 per share. If the Reverse Stock Split is effected, the outstanding warrants will automatically be reduced in the same ratio as the reduction in the number of shares of outstanding Common Stock. Correspondingly, the per share exercise price of such warrants will be increased in direct proportion to the Reverse Stock Split ratio, so that the aggregate dollar amount payable for the purchase of the shares subject to the warrants will remain unchanged.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on Registered and Beneficial Stockholders</w:t>
      </w:r>
    </w:p>
    <w:p>
      <w:pPr>
        <w:spacing w:after="0" w:line="20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Upon the Reverse Stock Split, the Company intends to treat stockholders holding shares of our Common Stock in “street name” (that is, held through a bank, broker or other nominee) in the same manner as stockholders of record whose shares of Common Stock are registered in their names. Banks, brokers or other nominees will be instructed to effect the Reverse Stock Split for their beneficial holders holding shares of our Common Stock in “street name”; however, these banks, brokers or other nominees may apply their own specific procedures for processing the Reverse Stock Split. If you hold your shares of our Common Stock with a bank, broker or other nominee, and have any questions in this regard, the Company encourages you to contact your nominee.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Effect on “Book-Entry” Stockholders of Record</w:t>
      </w:r>
    </w:p>
    <w:p>
      <w:pPr>
        <w:spacing w:after="0" w:line="20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Company’s stockholders of record may hold some or all of their shares electronically in book-entry form. These stockholders will not have stock certificates evidencing their ownership of our Common Stock. They are, however, provided with a statement reflecting the number of shares of Common Stock registered in their accounts.</w:t>
      </w:r>
    </w:p>
    <w:p>
      <w:pPr>
        <w:spacing w:after="0" w:line="14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If you hold registered shares of Old Common Stock in a book-entry form, you do not need to take any action to receive your shares of New Common Stock in registered book-entry form, if applicable. A transaction statement will automatically be sent to your address of record as soon as practicable after the effective time of the Reverse Stock Split indicating the number of shares of New Common Stock you hold.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on Registered Certificated Shares</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Some stockholders of record hold their shares of our Common Stock in certificate form or a combination of certificate and book-entry form. If any of your shares of our Common Stock are held in certificate form, you will receive a transmittal letter from the Company’s transfer agent as soon as practicable after the effective time of the Reverse Stock Split, if any. The transmittal letter will be accompanied by instructions specifying how to exchange your certificate representing the Old Common Stock for a statement of holding or a certificate of New Common Stock.</w:t>
      </w:r>
    </w:p>
    <w:p>
      <w:pPr>
        <w:spacing w:after="0" w:line="16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color w:val="auto"/>
        </w:rPr>
        <w:t>STOCKHOLDERS SHOULD NOT DESTROY ANY SHARE CERTIFICATE(S) AND SHOULD NOT SUBMIT ANY CERTIFICATE(S) UNTIL REQUESTED TO DO SO.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Shares of Common Stock Issued and Outstanding</w:t>
      </w:r>
    </w:p>
    <w:p>
      <w:pPr>
        <w:spacing w:after="0" w:line="20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With the exception of the number of shares issued and outstanding, the rights and preferences of the shares of our Common Stock prior and subsequent to the Reverse Stock Split will remain the same. After the effectiveness of the Reverse Stock Split, we do not anticipate that our financial condition, the percentage ownership of management, the number of our stockholders, or any aspect of our business would materially change as a result of the Reverse Stock Split.</w:t>
      </w:r>
    </w:p>
    <w:p>
      <w:pPr>
        <w:spacing w:after="0" w:line="15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Our Common Stock is currently registered under Section 12(b) of the Exchange Act, and as a result, we are subject to the periodic reporting and other requirements of the Exchange Act. If effected, the proposed Reverse Stock Split will not affect the registration of our Common Stock under the Exchange Act or our periodic or other reporting requirements thereunder.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Effects</w:t>
      </w:r>
    </w:p>
    <w:p>
      <w:pPr>
        <w:spacing w:after="0" w:line="20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 addition, we have not proposed the Reverse Stock Split, with its corresponding increase in the authorized and unissued number of shares of Common Stock, with the intention of using the additional shares for anti-takeover purposes, although we could theoretically use the additional shares to make more difficult or to discourage an attempt to acquire control of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believe that our officers or directors have interests in this proposal that are different from or greater than those of any other of our stockholders.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Fractional Shares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Fractional shares will not be issued in connection with the Reverse Stock Split. Each stockholder who would otherwise hold a fractional share of Common Stock as a result of the Reverse Stock Split will receive one share of Common Stock in lieu of such fractional share. If such shares are subject to an award granted under the Incentive Plans, each fractional share of Common Stock will be rounded down to the nearest whole share of Common Stock in order to comply with the requirements of Sections 409A and 424 of the Code.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Appraisal Rights</w:t>
      </w:r>
    </w:p>
    <w:p>
      <w:pPr>
        <w:spacing w:after="0" w:line="20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Under the Delaware General Corporation Law, our stockholders are not entitled to appraisal or dissenter’s rights with respect to the Reverse Stock Split, and we will not independently provide our stockholders with any such rights.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Approvals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Reverse Stock Split Amendment with the Secretary of State of the State of Delaware.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U.S. Federal Income Tax Consequences of the Reverse Stock Split</w:t>
      </w:r>
    </w:p>
    <w:p>
      <w:pPr>
        <w:spacing w:after="0" w:line="20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following is a discussion of certain material U.S. federal income tax consequences of the Reverse Stock Split to U.S. holders (as defined below). This discussion is included for general information purposes only, does not purport to address all aspects of U.S. federal income tax law that may be relevant to U.S. holders in light of their particular circumstances, and does not describe any potential state, local, or foreign tax consequences. This discussion is based on the Internal Revenue Code of 1986, as amended (the “Code”), current Treasury Regulations and administrative and court decisions and interpretations, all as in effect as of the date hereof, and all of which are subject to change, possibly on a retroactive basis, or different interpretation. Any such changes could affect the continuing validity of this discussion.</w:t>
      </w:r>
    </w:p>
    <w:p>
      <w:pPr>
        <w:spacing w:after="0" w:line="16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color w:val="auto"/>
        </w:rPr>
        <w:t>STOCKHOLDERS ARE URGED TO CONSULT THEIR TAX ADVISORS AS TO THE PARTICULAR FEDERAL, STATE, LOCAL, OR FOREIGN TAX CONSEQUENCES TO THEM OF THE REVERSE STOCK SPLIT.</w:t>
      </w:r>
    </w:p>
    <w:p>
      <w:pPr>
        <w:spacing w:after="0" w:line="14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This discussion does not address tax consequences to stockholders that are subject to special tax rules, such as banks, insurance companies, regulated investment companies, personal holding companies, U.S. holders whose functional currency is not the U.S. dollar, partnerships (or other flow-through entities for U.S. federal income purposes and their partners or members), persons who acquired their shares or equity awards in connection with employment or other performance of services (who will not incur a taxable event in connection with the Reverse Stock Split), broker-dealers, foreign entities, nonresident alien individuals and tax-exempt entities. This summary also assumes that the Old Common Stock shares were, and the New Common Stock shares will be, held as a “capital asset,” as defined in Section 1221 of the Code.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used herein, the term “U.S. holder” means a holder that is, for U.S. federal income tax purposes:</w:t>
      </w:r>
    </w:p>
    <w:p>
      <w:pPr>
        <w:spacing w:after="0" w:line="207" w:lineRule="exact"/>
        <w:rPr>
          <w:sz w:val="20"/>
          <w:szCs w:val="20"/>
          <w:color w:val="auto"/>
        </w:rPr>
      </w:pPr>
    </w:p>
    <w:p>
      <w:pPr>
        <w:ind w:left="580" w:hanging="28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citizen or resident of the United States;</w:t>
      </w:r>
    </w:p>
    <w:p>
      <w:pPr>
        <w:spacing w:after="0" w:line="206"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taxed as a corporation created or organized in or under the laws of the United States or any political subdivision thereof;</w:t>
      </w:r>
    </w:p>
    <w:p>
      <w:pPr>
        <w:spacing w:after="0" w:line="206"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 regardless of its source; or</w:t>
      </w:r>
    </w:p>
    <w:p>
      <w:pPr>
        <w:spacing w:after="0" w:line="206" w:lineRule="exact"/>
        <w:rPr>
          <w:rFonts w:ascii="Times New Roman" w:cs="Times New Roman" w:eastAsia="Times New Roman" w:hAnsi="Times New Roman"/>
          <w:sz w:val="16"/>
          <w:szCs w:val="16"/>
          <w:color w:val="auto"/>
        </w:rPr>
      </w:pPr>
    </w:p>
    <w:p>
      <w:pPr>
        <w:ind w:left="580" w:right="20" w:hanging="289"/>
        <w:spacing w:after="0" w:line="290"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p>
      <w:pPr>
        <w:spacing w:after="0" w:line="14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Other than with respect to any stockholder that receives a full share for a fractional share (which will not apply to outstanding equity awards granted under the Incentive Plans), a stockholder generally will not recognize a gain or loss by reason of such stockholder’s receipt of shares of New Common Stock pursuant to the Reverse Stock Split solely in exchange for shares of Old Common Stock held by such stockholder immediately prior to the Reverse Stock Split.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31" w:name="page32"/>
    <w:bookmarkEnd w:id="31"/>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A stockholder’s aggregate tax basis in the shares of New Common Stock received pursuant to the Reverse Stock Split (including any fractional shares) will equal the stockholder’s aggregate basis in the Old Common Stock exchanged therefore and will be allocated among the shares of New Common Stock received in the Reverse Stock Split on a pro-rata basis. Stockholders who have used the specific identification method to identify their basis in the shares of Old Common Stock held immediately prior to the Reverse Stock Split should consult their own tax advisers to determine their basis in the shares of New Common Stock received in exchange therefor in the Reverse Stock Split. A stockholder’s holding period in the shares of New Common Stock received pursuant to the Reverse Stock Split will include the stockholder’s holding period in the shares of Old Common Stock surrendered in exchange therefore, provided the shares of Old Common Stock surrendered are held as capital assets at the time of the Reverse Stock Split.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gain or loss will be recognized by us as a result of the Reverse Stock Split.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at the meeting and entitled to vote on the subject matter, voting affirmatively or negatively is required to approve the Reverse Stock Split Proposal. “ABSTAIN” votes will have no effect on the Reverse Stock Split Proposal. Because the Reverse Stock Split Proposal is a “routine matter,” broker non-votes are not expected to occur with respect to the Reverse Stock Split Proposal because your broker has discretionary authority to vote your shares with respect to such proposal. Failure by your broker to exercise its discretionary authority to vote your shares on the Reverse Stock Split Proposal will have no effect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50100" cy="462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46291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BOARD RECOMMENDS A VOTE “FOR” THE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32" w:name="page33"/>
    <w:bookmarkEnd w:id="32"/>
    <w:p>
      <w:pPr>
        <w:ind w:left="3740"/>
        <w:spacing w:after="0"/>
        <w:rPr>
          <w:sz w:val="20"/>
          <w:szCs w:val="20"/>
          <w:color w:val="auto"/>
        </w:rPr>
      </w:pPr>
      <w:r>
        <w:rPr>
          <w:rFonts w:ascii="Times New Roman" w:cs="Times New Roman" w:eastAsia="Times New Roman" w:hAnsi="Times New Roman"/>
          <w:sz w:val="16"/>
          <w:szCs w:val="16"/>
          <w:b w:val="1"/>
          <w:bCs w:val="1"/>
          <w:color w:val="auto"/>
        </w:rPr>
        <w:t>PROPOSAL 7 – THE ADJOURNMENT PROPOSAL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of and Rationale for the Adjournment Proposal</w:t>
      </w:r>
    </w:p>
    <w:p>
      <w:pPr>
        <w:spacing w:after="0" w:line="20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Our Board has approved a proposal to adjourn the Annual Meeting to a later date or dates, if necessary or appropriate, to permit further solicitation and vote of proxies in the event that there are insufficient votes for, or otherwise in connection with, the approval of the proposals at the Annual Meeting.</w:t>
      </w:r>
    </w:p>
    <w:p>
      <w:pPr>
        <w:spacing w:after="0" w:line="14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approval of (i) the Director Election Proposal requires the affirmative vote of the plurality of the voting power of the shares present in person or represented by proxy at the Annual Meeting and entitled to vote on the Director Election Proposal, (ii) each of the Auditor Ratification Proposal, the Say-on-Pay Proposal, the Say-on-Frequency Proposal, the Reverse Stock Split Proposal and the Adjournment Proposal requires the affirmative vote of the votes cast of the stockholders present in person or represented by proxy at the at the Annual Meeting and entitled to vote on the subject matter; and (iii) the Board Classification Proposal requires the affirmative vote of a majority of the shares outstanding and entitled to vote on the subject matter. The Board believes that if the number of votes received with respect to the aforementioned proposals is less than said applicable majority and is therefore insufficient to approve the aforementioned proposals, then it may be in the best interests of the stockholders to adjourn the Annual Meeting to enable the Board to continue to seek to obtain a sufficient number of additional votes to approve the aforementioned proposals.</w:t>
      </w:r>
    </w:p>
    <w:p>
      <w:pPr>
        <w:spacing w:after="0" w:line="16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the proposals at the Annual Meeting.</w:t>
      </w:r>
    </w:p>
    <w:p>
      <w:pPr>
        <w:spacing w:after="0" w:line="15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Additionally, approval of the Adjournment Proposal could mean that, in the event we receive proxies indicating that a majority of votes represented by the outstanding stock entitled to vote at the Annual Meeting will be against the proposals at the Annual Meeting, we could adjourn or postpone the Annual Meeting without a vote on such proposals and use the additional time to solicit the holders of those shares to change their vote in favor of such proposals.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 and Board’s Recommendation</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affirmative vote of a majority of the votes cast by the stockholders present in person or represented by proxy at the meeting and entitled to vote on the Adjournment Proposal is required to approve the Adjournment Proposal. “ABSTAIN” votes will have no effect on the Adjournment Proposal. Because the Adjournment Proposal is considered a “routine matter,” broker non-votes are not expected to occur with respect to the Adjournment Proposal because your broker has discretionary authority to vote your shares with respect to such proposal. Failure by your broker to exercise its discretionary authority to vote your shares on the Adjournment Proposal will have no effect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50100" cy="462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46291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BOARD RECOMMENDS A VOTE “FOR” THE ADJOURNEMNT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33" w:name="page34"/>
    <w:bookmarkEnd w:id="33"/>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MANAGEMENT AND CORPORATE GOVERNANCE</w:t>
      </w:r>
    </w:p>
    <w:p>
      <w:pPr>
        <w:spacing w:after="0" w:line="209"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6"/>
          <w:szCs w:val="16"/>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Additionally, information about the specific experience, qualifications, attributes or skills that led to our Board of Directors’ conclusion that each person listed below as a director should serve as a director is set forth below:</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214"/>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7100" w:type="dxa"/>
            <w:vAlign w:val="bottom"/>
          </w:tcPr>
          <w:p>
            <w:pPr>
              <w:ind w:left="2520"/>
              <w:spacing w:after="0"/>
              <w:rPr>
                <w:sz w:val="20"/>
                <w:szCs w:val="20"/>
                <w:color w:val="auto"/>
              </w:rPr>
            </w:pPr>
            <w:r>
              <w:rPr>
                <w:rFonts w:ascii="Times New Roman" w:cs="Times New Roman" w:eastAsia="Times New Roman" w:hAnsi="Times New Roman"/>
                <w:sz w:val="16"/>
                <w:szCs w:val="16"/>
                <w:b w:val="1"/>
                <w:bCs w:val="1"/>
                <w:color w:val="auto"/>
              </w:rPr>
              <w:t>Position(s) with the Company</w:t>
            </w:r>
          </w:p>
        </w:tc>
      </w:tr>
      <w:tr>
        <w:trPr>
          <w:trHeight w:val="188"/>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Bruce T. Bernstein*(1)(2)(3)(4)</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100" w:type="dxa"/>
            <w:vAlign w:val="bottom"/>
            <w:tcBorders>
              <w:top w:val="single" w:sz="8" w:color="CCEEFF"/>
            </w:tcBorders>
            <w:shd w:val="clear" w:color="auto" w:fill="CCEEFF"/>
          </w:tcPr>
          <w:p>
            <w:pPr>
              <w:spacing w:after="0"/>
              <w:rPr>
                <w:sz w:val="16"/>
                <w:szCs w:val="16"/>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195"/>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Weinstein*(1)(2)(3)(4)</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10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Lebowitz* (3)(4)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shd w:val="clear" w:color="auto" w:fill="CCEEFF"/>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Gaëlle Wizenberg*(1)(2)</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Ian Brown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shd w:val="clear" w:color="auto" w:fill="CCEEFF"/>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1"/>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Ezra T. Ernst</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President &amp; Chief Executive Officer of XWELL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178435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4350" cy="7620"/>
                    </a:xfrm>
                    <a:prstGeom prst="rect">
                      <a:avLst/>
                    </a:prstGeom>
                    <a:noFill/>
                  </pic:spPr>
                </pic:pic>
              </a:graphicData>
            </a:graphic>
          </wp:anchor>
        </w:drawing>
      </w:r>
    </w:p>
    <w:p>
      <w:pPr>
        <w:spacing w:after="0" w:line="2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 Independent director under the rules of The Nasdaq Stock Market</w:t>
      </w:r>
    </w:p>
    <w:p>
      <w:pPr>
        <w:spacing w:after="0" w:line="207" w:lineRule="exact"/>
        <w:rPr>
          <w:sz w:val="20"/>
          <w:szCs w:val="20"/>
          <w:color w:val="auto"/>
        </w:rPr>
      </w:pPr>
    </w:p>
    <w:p>
      <w:pPr>
        <w:ind w:left="442" w:hanging="442"/>
        <w:spacing w:after="0"/>
        <w:tabs>
          <w:tab w:leader="none" w:pos="44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member of Compensation Committee</w:t>
      </w:r>
    </w:p>
    <w:p>
      <w:pPr>
        <w:spacing w:after="0" w:line="27"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member of Audit Committee</w:t>
      </w:r>
    </w:p>
    <w:p>
      <w:pPr>
        <w:spacing w:after="0" w:line="11"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member of Nominating and Corporate Governance Committee</w:t>
      </w:r>
    </w:p>
    <w:p>
      <w:pPr>
        <w:spacing w:after="0" w:line="11"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member of Strategic Affairs Committee</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Our Board currently consists of five members:</w:t>
      </w:r>
    </w:p>
    <w:p>
      <w:pPr>
        <w:spacing w:after="0" w:line="203" w:lineRule="exact"/>
        <w:rPr>
          <w:sz w:val="20"/>
          <w:szCs w:val="20"/>
          <w:color w:val="auto"/>
        </w:rPr>
      </w:pPr>
    </w:p>
    <w:p>
      <w:pPr>
        <w:jc w:val="both"/>
        <w:ind w:left="2"/>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Bruce T. Bernstein </w:t>
      </w:r>
      <w:r>
        <w:rPr>
          <w:rFonts w:ascii="Times New Roman" w:cs="Times New Roman" w:eastAsia="Times New Roman" w:hAnsi="Times New Roman"/>
          <w:sz w:val="16"/>
          <w:szCs w:val="16"/>
          <w:color w:val="auto"/>
        </w:rPr>
        <w:t>joined our Board of Directors in February 2016 and has served as the Chairman of our Board of Directors since February 2018. Mr. Bernstein has over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 bank’s proprietary investment business in the United States. Prior to Fortis Investments,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We believe Mr. Bernstein’s extensive experience in the securities industry qualifies him to serve as the Chairman of our Board of Directors.</w:t>
      </w:r>
    </w:p>
    <w:p>
      <w:pPr>
        <w:spacing w:after="0" w:line="203"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Robert Weinstein </w:t>
      </w:r>
      <w:r>
        <w:rPr>
          <w:rFonts w:ascii="Times New Roman" w:cs="Times New Roman" w:eastAsia="Times New Roman" w:hAnsi="Times New Roman"/>
          <w:sz w:val="16"/>
          <w:szCs w:val="16"/>
          <w:color w:val="auto"/>
        </w:rPr>
        <w:t>joined our Board of Directors in February 2020. Mr. Weinstein has extensive accounting and finance experience, spanning more than thirty years, as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public accountant, investment banker, healthcare private equity fund principal and chief financial officer. Since October 2013, 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56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7" w:right="319" w:bottom="1440" w:gutter="0" w:footer="0" w:header="0"/>
        </w:sectPr>
      </w:pPr>
    </w:p>
    <w:bookmarkStart w:id="34" w:name="page35"/>
    <w:bookmarkEnd w:id="34"/>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We believe Mr. Weinstein’s extensive financial expertise and healthcare experience qualifies him to serve on our Board of Directors and as a member and the chairperson of the audit committee of our Board of Directors.</w:t>
      </w:r>
    </w:p>
    <w:p>
      <w:pPr>
        <w:spacing w:after="0" w:line="13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Michael Lebowitz </w:t>
      </w:r>
      <w:r>
        <w:rPr>
          <w:rFonts w:ascii="Times New Roman" w:cs="Times New Roman" w:eastAsia="Times New Roman" w:hAnsi="Times New Roman"/>
          <w:sz w:val="16"/>
          <w:szCs w:val="16"/>
          <w:color w:val="auto"/>
        </w:rPr>
        <w:t>joined our Board of Directors in April 2020. An expert in customer experience strategy and innovation, Mr. Lebowitz has a twenty-five year track record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Mr. Lebowitz’s extensive experience in the area of creative brand strategy qualifies him to serve on our Board of Directors.</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Gaëlle Wizenberg </w:t>
      </w:r>
      <w:r>
        <w:rPr>
          <w:rFonts w:ascii="Times New Roman" w:cs="Times New Roman" w:eastAsia="Times New Roman" w:hAnsi="Times New Roman"/>
          <w:sz w:val="16"/>
          <w:szCs w:val="16"/>
          <w:color w:val="auto"/>
        </w:rPr>
        <w:t>joined XWELL’s Board of Directors in January 2024. An expert in branding, manufacturing, global distribution of consumer goods and serial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entrepreneur, Ms. Wizenberg founded Objects of Magic SAV de CV in October 2024, Objects of Magic LLC, a wellness brand offering a full line of products, team building and wellness retreats, in August 2022, and she has served as Chief Executive Officer since the founding of the company. Prior to this, she founded Charlie Banana Consulting, LLC, a consulting firm, in July 2019 and served as Director and Chief Executive Officer from July 2019 to March 2025. Additionally, she founded Charlie Banana USA, LLC, a USA based ecommerce of global brand baby products in 2013 and served as Chief Executive Officer until 2020 when it was acquired by Proctor &amp; Gamble. After Proctor &amp; Gamble, a multinational consumer goods corporation, acquired all her companies, Ms. wizenberg began consulting for Procter &amp; Gamble from January 2020 to June 2023. Before that, Ms. Wizenberg founded Winc Design Limited, a Hong Kong company, makers of eco friendly products and a global cloth diaper manufacturer, in 2007 and served as CEO until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executive officers are appointed by, and serve at the discretion of, our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Ezra T. Ernst</w:t>
      </w:r>
    </w:p>
    <w:p>
      <w:pPr>
        <w:spacing w:after="0" w:line="21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Ezra T. Ernst joined the Company in January 2022 and has served as our Chief Executive Officer and as a member of our Board of Directors since September 2024. Prior to September 2024, Mr. Ernst served as Executive Vice President of the Company and Chief Executive Officer of our subsidiary XpresTest, Inc. since our January 2022 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an online publisher of health and medical news and information, from December 2008 to January 2013.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Thomas Ian Brown</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Ian Brown has more than 25 years of experience in operational finance. He has expertise in systems transformation, financial operations, and back-office process improvement. From 2022 to 2025, Mr. Brown was a Managing Director of the Strategic FP&amp;A Group at Accordion. Prior to that role, he served at FTI Consulting in their Technology Transformation group from 2014 to 2022. Prior, he was Senior Director Business Planning, Customer Operations at Charter Communications, and a Director of Operational Finance for Insight Communications. Before this, Ian was the CFO of two early-stage companies, was a colleague of Ezra Ernst at Wolters Kluwer, and also worked in media investment banking. He holds an M.B.A from The Tuck School of Business at Dartmouth and a B.A. from Vassar College.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Director Independence and Committee Qualifications</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Board of Directors has reviewed the materiality of any relationship that each of our directors has with us, either directly or indirectly. Based upon this review, we believe that Messrs. Bernstein, Weinstein, Lebowitz and Mme. Wizenberg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 and Meetings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Meeting Attendance. </w:t>
      </w:r>
      <w:r>
        <w:rPr>
          <w:rFonts w:ascii="Times New Roman" w:cs="Times New Roman" w:eastAsia="Times New Roman" w:hAnsi="Times New Roman"/>
          <w:sz w:val="16"/>
          <w:szCs w:val="16"/>
          <w:color w:val="auto"/>
        </w:rPr>
        <w:t>During the fiscal year ended December 31, 2024, there were fifteen meetings of our Board of Directors as well as nine unanimous written consents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Board of Directors. The various committees of the Board of Directors met a total of ten times, collectively. Other than Michael Lebowitz, all other directors attended more than 75 percent of the aggregate of the total number of meetings of the Board of Directors. Each director serving on a committee attended more than 75 percent of the total number of meetings held by an applicable committee(s) of the Board of Directors on which such director served during the year ended December 31, 2024. The Board of Directors has adopted a policy under which each member of the Board of Directors is strongly encouraged, but not required, to attend each annual meeting of our stockholders. All five of our 2024 directors attended our 2024 annual meeting of stockholders.</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Audit Committee. </w:t>
      </w:r>
      <w:r>
        <w:rPr>
          <w:rFonts w:ascii="Times New Roman" w:cs="Times New Roman" w:eastAsia="Times New Roman" w:hAnsi="Times New Roman"/>
          <w:sz w:val="16"/>
          <w:szCs w:val="16"/>
          <w:color w:val="auto"/>
        </w:rPr>
        <w:t>Our Audit Committee met four times during the year ended December 31, 2024. The Audit Committee currently has three members: Robert Weinstein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(Chairman), Bruce T. Bernstein and Gaëlle Wizenberg. Effective as of January 1, 2024, Donald E. Stout ceased to be a member of the Board of Directors and all committees thereto, including the Audit Committee. As of January 30, 2024, Gaëlle Wizenberg was elected to be a member of the Audit Committee.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The Board determined that all members of the Audit Committee qualify as independent under the listing standards promulgated by the SEC and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Committee. </w:t>
      </w:r>
      <w:r>
        <w:rPr>
          <w:rFonts w:ascii="Times New Roman" w:cs="Times New Roman" w:eastAsia="Times New Roman" w:hAnsi="Times New Roman"/>
          <w:sz w:val="16"/>
          <w:szCs w:val="16"/>
          <w:color w:val="auto"/>
        </w:rPr>
        <w:t>Our Compensation Committee met two times during the year ended December 31, 2024. This committee currently has three members: Bruce 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Bernstein (Chairman), Robert Weinstein and Gaëlle Wizenberg. Effective as of January 1, 2024, Donald E. Stout ceased to be a member of the Board of Directors and all committees thereof, including the Compensation Committee. As of January 30, 2024, Gaëlle Wizenberg was elected to be a member of the Compensation Committee.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 (2) 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In March of 2025, the Compensation Committee did engage a third-party compensation consultant, StreeterWyatt Analytics, to review the Board’s compensation structure as well as benchmark it against the Company’s peer group.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36" w:name="page37"/>
    <w:bookmarkEnd w:id="36"/>
    <w:p>
      <w:pPr>
        <w:jc w:val="both"/>
        <w:ind w:left="2"/>
        <w:spacing w:after="0" w:line="290" w:lineRule="auto"/>
        <w:rPr>
          <w:sz w:val="20"/>
          <w:szCs w:val="20"/>
          <w:color w:val="auto"/>
        </w:rPr>
      </w:pPr>
      <w:r>
        <w:rPr>
          <w:rFonts w:ascii="Times New Roman" w:cs="Times New Roman" w:eastAsia="Times New Roman" w:hAnsi="Times New Roman"/>
          <w:sz w:val="16"/>
          <w:szCs w:val="16"/>
          <w:color w:val="auto"/>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left="2"/>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r>
        <w:rPr>
          <w:rFonts w:ascii="Times New Roman" w:cs="Times New Roman" w:eastAsia="Times New Roman" w:hAnsi="Times New Roman"/>
          <w:sz w:val="16"/>
          <w:szCs w:val="16"/>
          <w:color w:val="auto"/>
        </w:rPr>
        <w:t>. Our Nominating and Corporate Governance Committee met one time during the year ended December 31, 2024. This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committee currently has three members: Robert Weinstein (Chairman), Michael Lebowitz and Bruce T. Bernstein. Effective as of January 1, 2024, Donald E. Stout ceased to be a member of the Board of Directors and all committees thereof, including the Nominating and Corporate Governance Committee. As of January 30, 2024, Michael Lebowitz was elected to be a member of the Nominating and Corporate Governance Committee. The Nominating and Corporate Governance Committee’s role and responsibilities are set forth in the Nominating and Corporate Governance Committee’s written charter and include authority to:</w:t>
      </w:r>
    </w:p>
    <w:p>
      <w:pPr>
        <w:spacing w:after="0" w:line="161" w:lineRule="exact"/>
        <w:rPr>
          <w:sz w:val="20"/>
          <w:szCs w:val="20"/>
          <w:color w:val="auto"/>
        </w:rPr>
      </w:pPr>
    </w:p>
    <w:p>
      <w:pPr>
        <w:ind w:left="302" w:hanging="302"/>
        <w:spacing w:after="0"/>
        <w:tabs>
          <w:tab w:leader="none" w:pos="3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nominate members of the Board of Directors;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the evaluation of the Board of Directors and management;</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recommend corporate governance guidelines to the Board of Directors;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the performance of the members of the Board of Directors;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recommendations to the Board of Directors as to the structure, composition and functioning of the Board of Directors and its committees.</w:t>
      </w:r>
    </w:p>
    <w:p>
      <w:pPr>
        <w:spacing w:after="0" w:line="207"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65"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3" w:lineRule="exact"/>
        <w:rPr>
          <w:sz w:val="20"/>
          <w:szCs w:val="20"/>
          <w:color w:val="auto"/>
        </w:rPr>
      </w:pPr>
    </w:p>
    <w:p>
      <w:pPr>
        <w:jc w:val="both"/>
        <w:ind w:left="2"/>
        <w:spacing w:after="0" w:line="272" w:lineRule="auto"/>
        <w:rPr>
          <w:sz w:val="20"/>
          <w:szCs w:val="20"/>
          <w:color w:val="auto"/>
        </w:rPr>
      </w:pPr>
      <w:r>
        <w:rPr>
          <w:rFonts w:ascii="Times New Roman" w:cs="Times New Roman" w:eastAsia="Times New Roman" w:hAnsi="Times New Roman"/>
          <w:sz w:val="16"/>
          <w:szCs w:val="16"/>
          <w:color w:val="auto"/>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color w:val="auto"/>
        </w:rPr>
        <w:t>.</w:t>
      </w:r>
    </w:p>
    <w:p>
      <w:pPr>
        <w:spacing w:after="0" w:line="3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319" w:right="339" w:bottom="1440" w:gutter="0" w:footer="0" w:header="0"/>
        </w:sectPr>
      </w:pPr>
    </w:p>
    <w:bookmarkStart w:id="37" w:name="page38"/>
    <w:bookmarkEnd w:id="37"/>
    <w:p>
      <w:pPr>
        <w:jc w:val="both"/>
        <w:ind w:left="2"/>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Strategic Affairs Committee. </w:t>
      </w:r>
      <w:r>
        <w:rPr>
          <w:rFonts w:ascii="Times New Roman" w:cs="Times New Roman" w:eastAsia="Times New Roman" w:hAnsi="Times New Roman"/>
          <w:sz w:val="16"/>
          <w:szCs w:val="16"/>
          <w:color w:val="auto"/>
        </w:rPr>
        <w:t>The Strategic Affairs Committee (the “Strategic Affairs Committee”) met one time during the year ended December 31, 2024.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Strategic Affairs Committee was formed in September 2021 to assist the Board in reviewing, analyzing, considering and assessing, potential acquisitions, joint ventures, strategic investments, divestitures and other strategic transactions. The Strategic Affairs Committee currently has three members: Bruce T. Bernstein (Chairman), Robert Weinstein and Michael Lebowitz. The Strategic Affairs Committee’s responsibilities include, among others:</w:t>
      </w:r>
    </w:p>
    <w:p>
      <w:pPr>
        <w:spacing w:after="0" w:line="160" w:lineRule="exact"/>
        <w:rPr>
          <w:sz w:val="20"/>
          <w:szCs w:val="20"/>
          <w:color w:val="auto"/>
        </w:rPr>
      </w:pPr>
    </w:p>
    <w:p>
      <w:pPr>
        <w:ind w:left="302" w:right="20" w:hanging="302"/>
        <w:spacing w:after="0" w:line="290" w:lineRule="auto"/>
        <w:tabs>
          <w:tab w:leader="none" w:pos="30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management with the identification of potential acquisition, joint venture, strategic investment, divestiture and other strategic transaction opportunities and review transaction candidates with management, when and as appropriate;</w:t>
      </w:r>
    </w:p>
    <w:p>
      <w:pPr>
        <w:spacing w:after="0" w:line="141"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strategic transactions received by the Company or proposed by management; and</w:t>
      </w:r>
    </w:p>
    <w:p>
      <w:pPr>
        <w:spacing w:after="0" w:line="206" w:lineRule="exact"/>
        <w:rPr>
          <w:rFonts w:ascii="Times New Roman" w:cs="Times New Roman" w:eastAsia="Times New Roman" w:hAnsi="Times New Roman"/>
          <w:sz w:val="16"/>
          <w:szCs w:val="16"/>
          <w:color w:val="auto"/>
        </w:rPr>
      </w:pPr>
    </w:p>
    <w:p>
      <w:pPr>
        <w:ind w:left="302" w:right="20" w:hanging="302"/>
        <w:spacing w:after="0" w:line="290" w:lineRule="auto"/>
        <w:tabs>
          <w:tab w:leader="none" w:pos="30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3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Subcommittee for Financial Planning. </w:t>
      </w:r>
      <w:r>
        <w:rPr>
          <w:rFonts w:ascii="Times New Roman" w:cs="Times New Roman" w:eastAsia="Times New Roman" w:hAnsi="Times New Roman"/>
          <w:sz w:val="16"/>
          <w:szCs w:val="16"/>
          <w:color w:val="auto"/>
        </w:rPr>
        <w:t>The Subcommittee for Financial Planning (the “Finance Subcommittee”) met one time during the year ended December 31, 2024.</w:t>
      </w:r>
    </w:p>
    <w:p>
      <w:pPr>
        <w:spacing w:after="0" w:line="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This committee was formed in June 2024 to discuss potential financing strategies for the Company. The Finance Subcommittee currently has three members: Bruce T.</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Bernstein (Chairman), Robert Weinstein and Gaelle Wizenberg.</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Effective as of February 5, 2018, the Board appointed Bruce T. Bernstein as the non-executive Chairman of the Board of Directors.</w:t>
      </w:r>
    </w:p>
    <w:p>
      <w:pPr>
        <w:spacing w:after="0" w:line="207"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65"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The Company’s Policies and Practices Related to the Grant of Certain Equity Awards Close in Time to the Release of Material Nonpublic Information</w:t>
      </w:r>
    </w:p>
    <w:p>
      <w:pPr>
        <w:spacing w:after="0" w:line="209"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6"/>
          <w:szCs w:val="16"/>
          <w:color w:val="auto"/>
        </w:rPr>
        <w:t>The Company does not have any formal policy that requires it to grant, or avoid granting, equity-based compensation to our executive officers at certain times. Consistent with our annual compensation cycle, the Compensation, Corporate Governance and Nominating Committee has for several years granted annual equity awards to its executive officers and directors at the start of the new fiscal year.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including stock options, occurs independent of the release of any material nonpublic information, and we do not time the disclosure of material nonpublic information for the purpose of affecting the value of equity-based compensation.</w:t>
      </w:r>
    </w:p>
    <w:p>
      <w:pPr>
        <w:spacing w:after="0" w:line="163"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6"/>
          <w:szCs w:val="16"/>
          <w:color w:val="auto"/>
        </w:rPr>
        <w:t>No stock options were issued to executive officers in fiscal year 2024 during any period beginning four business days before the filing of a periodic report or current report disclosing material non-public information and ending one business day after the filing or furnishing of such report with the SEC.</w:t>
      </w: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4" w:right="319" w:bottom="1440" w:gutter="0" w:footer="0" w:header="0"/>
        </w:sectPr>
      </w:pPr>
    </w:p>
    <w:bookmarkStart w:id="38" w:name="page39"/>
    <w:bookmarkEnd w:id="38"/>
    <w:p>
      <w:pPr>
        <w:ind w:left="2"/>
        <w:spacing w:after="0"/>
        <w:rPr>
          <w:sz w:val="20"/>
          <w:szCs w:val="20"/>
          <w:color w:val="auto"/>
        </w:rPr>
      </w:pPr>
      <w:r>
        <w:rPr>
          <w:rFonts w:ascii="Times New Roman" w:cs="Times New Roman" w:eastAsia="Times New Roman" w:hAnsi="Times New Roman"/>
          <w:sz w:val="16"/>
          <w:szCs w:val="16"/>
          <w:b w:val="1"/>
          <w:bCs w:val="1"/>
          <w:color w:val="auto"/>
        </w:rPr>
        <w:t>Involvement in Certain Legal Proceedings</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None of our directors or executive officers has been involved in any of the following events during the past ten years:</w:t>
      </w:r>
    </w:p>
    <w:p>
      <w:pPr>
        <w:spacing w:after="0" w:line="207" w:lineRule="exact"/>
        <w:rPr>
          <w:sz w:val="20"/>
          <w:szCs w:val="20"/>
          <w:color w:val="auto"/>
        </w:rPr>
      </w:pPr>
    </w:p>
    <w:p>
      <w:pPr>
        <w:ind w:left="302" w:right="20" w:hanging="302"/>
        <w:spacing w:after="0" w:line="290" w:lineRule="auto"/>
        <w:tabs>
          <w:tab w:leader="none" w:pos="30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bankruptcy petition filed by or against any business of which such person was a general partner or executive officer either at the time of the bankruptcy or within two years prior to that time;</w:t>
      </w:r>
    </w:p>
    <w:p>
      <w:pPr>
        <w:spacing w:after="0" w:line="141"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conviction in a criminal proceeding or being subject to a pending criminal proceeding (excluding traffic violations and other minor offences);</w:t>
      </w:r>
    </w:p>
    <w:p>
      <w:pPr>
        <w:spacing w:after="0" w:line="206" w:lineRule="exact"/>
        <w:rPr>
          <w:rFonts w:ascii="Times New Roman" w:cs="Times New Roman" w:eastAsia="Times New Roman" w:hAnsi="Times New Roman"/>
          <w:sz w:val="16"/>
          <w:szCs w:val="16"/>
          <w:color w:val="auto"/>
        </w:rPr>
      </w:pPr>
    </w:p>
    <w:p>
      <w:pPr>
        <w:ind w:left="302" w:right="20" w:hanging="302"/>
        <w:spacing w:after="0" w:line="290" w:lineRule="auto"/>
        <w:tabs>
          <w:tab w:leader="none" w:pos="30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p>
      <w:pPr>
        <w:spacing w:after="0" w:line="141" w:lineRule="exact"/>
        <w:rPr>
          <w:rFonts w:ascii="Times New Roman" w:cs="Times New Roman" w:eastAsia="Times New Roman" w:hAnsi="Times New Roman"/>
          <w:sz w:val="16"/>
          <w:szCs w:val="16"/>
          <w:color w:val="auto"/>
        </w:rPr>
      </w:pPr>
    </w:p>
    <w:p>
      <w:pPr>
        <w:ind w:left="302" w:right="20" w:hanging="302"/>
        <w:spacing w:after="0" w:line="290" w:lineRule="auto"/>
        <w:tabs>
          <w:tab w:leader="none" w:pos="30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There are no family relationships among our directors and executive officers.</w:t>
      </w:r>
    </w:p>
    <w:p>
      <w:pPr>
        <w:spacing w:after="0" w:line="2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209"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6"/>
          <w:szCs w:val="16"/>
          <w:color w:val="auto"/>
        </w:rPr>
        <w:t>Section 16(a) of the Exchange Act requires our directors and officers, and persons who own more than ten percent of our Common Stock, to file with the SEC initial reports of ownership and reports of changes in ownership of our Common Stock.</w:t>
      </w:r>
    </w:p>
    <w:p>
      <w:pPr>
        <w:spacing w:after="0" w:line="142" w:lineRule="exact"/>
        <w:rPr>
          <w:sz w:val="20"/>
          <w:szCs w:val="20"/>
          <w:color w:val="auto"/>
        </w:rPr>
      </w:pPr>
    </w:p>
    <w:p>
      <w:pPr>
        <w:jc w:val="both"/>
        <w:ind w:left="2"/>
        <w:spacing w:after="0" w:line="290" w:lineRule="auto"/>
        <w:rPr>
          <w:sz w:val="20"/>
          <w:szCs w:val="20"/>
          <w:color w:val="auto"/>
        </w:rPr>
      </w:pPr>
      <w:r>
        <w:rPr>
          <w:rFonts w:ascii="Times New Roman" w:cs="Times New Roman" w:eastAsia="Times New Roman" w:hAnsi="Times New Roman"/>
          <w:sz w:val="16"/>
          <w:szCs w:val="16"/>
          <w:color w:val="auto"/>
        </w:rPr>
        <w:t>On April 26, 2024, Gaelle Wizenberg purchased 100 shares of Common Stock, and on May 7, 2024, Ms. Wizenberg purchased 199 shares of Common Stock. Such transactions were reported with the SEC on July 22, 2024, in a Form 4 filing.</w:t>
      </w:r>
    </w:p>
    <w:p>
      <w:pPr>
        <w:spacing w:after="0" w:line="142"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To our knowledge, based solely on our records and a review of the copies of such reports furnished to us, during the fiscal year ended December 31, 2024, other than above, we believe that all reports applicable to our officers, directors and greater than ten percent stockholders which were required to be filed pursuant to Section 16(a) of the Exchange Act were filed on a timely basis.</w:t>
      </w:r>
    </w:p>
    <w:p>
      <w:pPr>
        <w:spacing w:after="0" w:line="1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Code of Conduct and Ethics</w:t>
      </w:r>
    </w:p>
    <w:p>
      <w:pPr>
        <w:spacing w:after="0" w:line="209" w:lineRule="exact"/>
        <w:rPr>
          <w:sz w:val="20"/>
          <w:szCs w:val="20"/>
          <w:color w:val="auto"/>
        </w:rPr>
      </w:pPr>
    </w:p>
    <w:p>
      <w:pPr>
        <w:jc w:val="both"/>
        <w:ind w:left="2" w:right="20"/>
        <w:spacing w:after="0" w:line="265" w:lineRule="auto"/>
        <w:rPr>
          <w:sz w:val="20"/>
          <w:szCs w:val="20"/>
          <w:color w:val="auto"/>
        </w:rPr>
      </w:pPr>
      <w:r>
        <w:rPr>
          <w:rFonts w:ascii="Times New Roman" w:cs="Times New Roman" w:eastAsia="Times New Roman" w:hAnsi="Times New Roman"/>
          <w:sz w:val="16"/>
          <w:szCs w:val="16"/>
          <w:color w:val="auto"/>
        </w:rPr>
        <w:t xml:space="preserve">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color w:val="auto"/>
        </w:rPr>
        <w:t>, and will</w:t>
      </w:r>
    </w:p>
    <w:p>
      <w:pPr>
        <w:jc w:val="both"/>
        <w:ind w:left="2" w:right="20"/>
        <w:spacing w:after="0" w:line="227" w:lineRule="auto"/>
        <w:rPr>
          <w:sz w:val="20"/>
          <w:szCs w:val="20"/>
          <w:color w:val="auto"/>
        </w:rPr>
      </w:pPr>
      <w:r>
        <w:rPr>
          <w:rFonts w:ascii="Times New Roman" w:cs="Times New Roman" w:eastAsia="Times New Roman" w:hAnsi="Times New Roman"/>
          <w:sz w:val="16"/>
          <w:szCs w:val="16"/>
          <w:color w:val="auto"/>
        </w:rPr>
        <w:t>be made available to stockholders without charge, upon request, in writing to the Corporate Secretary at 254 West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Street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37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7" w:right="319" w:bottom="1440" w:gutter="0" w:footer="0" w:header="0"/>
        </w:sectPr>
      </w:pPr>
    </w:p>
    <w:bookmarkStart w:id="39" w:name="page40"/>
    <w:bookmarkEnd w:id="39"/>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COMPENSATION</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209"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The following table summarizes the total compensation awarded or paid by us during the years ended December 31, 2024 and 2023 to (i) our principal executive officer, (ii) the two most highly compensated executive officers other than the principal executive officer who were serving as executive officers at December 31, 2024, and (iii) up to two additional individuals for whom disclosure would have been provided under clause (ii) but for the fact that the person was not serving as an executive officer at the end of the year ended December 31, 2024 (collectively, the “named executive officers”).</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00" w:type="dxa"/>
            <w:vAlign w:val="bottom"/>
          </w:tcPr>
          <w:p>
            <w:pPr>
              <w:spacing w:after="0"/>
              <w:rPr>
                <w:sz w:val="17"/>
                <w:szCs w:val="17"/>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 Awards</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r>
      <w:tr>
        <w:trPr>
          <w:trHeight w:val="188"/>
        </w:trPr>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R. Milford(2)</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409,615</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424,715</w:t>
            </w: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Former Chief Executive Officer</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425,000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52,379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39,150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516,529</w:t>
            </w:r>
          </w:p>
        </w:tc>
      </w:tr>
      <w:tr>
        <w:trPr>
          <w:trHeight w:val="195"/>
        </w:trPr>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Suzanne A. Scrabis(3)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15,100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390,100</w:t>
            </w:r>
          </w:p>
        </w:tc>
      </w:tr>
      <w:tr>
        <w:trPr>
          <w:trHeight w:val="195"/>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Former Chief Financial Officer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135,367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6,525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22,800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165,476</w:t>
            </w:r>
          </w:p>
        </w:tc>
      </w:tr>
      <w:tr>
        <w:trPr>
          <w:trHeight w:val="195"/>
        </w:trPr>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Ezra T. Ernst(4)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60,400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535,400</w:t>
            </w:r>
          </w:p>
        </w:tc>
      </w:tr>
      <w:tr>
        <w:trPr>
          <w:trHeight w:val="177"/>
        </w:trPr>
        <w:tc>
          <w:tcPr>
            <w:tcW w:w="268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i w:val="1"/>
                <w:iCs w:val="1"/>
                <w:color w:val="auto"/>
              </w:rPr>
              <w:t>President &amp; Chief Executive Officer of</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XWELL and Director</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375,000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27,379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8,700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411,079</w:t>
            </w:r>
          </w:p>
        </w:tc>
      </w:tr>
    </w:tbl>
    <w:p>
      <w:pPr>
        <w:spacing w:after="0" w:line="178" w:lineRule="exact"/>
        <w:rPr>
          <w:sz w:val="20"/>
          <w:szCs w:val="20"/>
          <w:color w:val="auto"/>
        </w:rPr>
      </w:pPr>
    </w:p>
    <w:p>
      <w:pPr>
        <w:ind w:left="302" w:right="20" w:hanging="302"/>
        <w:spacing w:after="0" w:line="292" w:lineRule="auto"/>
        <w:tabs>
          <w:tab w:leader="none" w:pos="30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represent the aggregate grant date fair value in accordance with FASB ASC </w:t>
      </w:r>
      <w:r>
        <w:rPr>
          <w:rFonts w:ascii="Times New Roman" w:cs="Times New Roman" w:eastAsia="Times New Roman" w:hAnsi="Times New Roman"/>
          <w:sz w:val="16"/>
          <w:szCs w:val="16"/>
          <w:i w:val="1"/>
          <w:iCs w:val="1"/>
          <w:color w:val="auto"/>
        </w:rPr>
        <w:t>Topic 718</w:t>
      </w:r>
      <w:r>
        <w:rPr>
          <w:rFonts w:ascii="Times New Roman" w:cs="Times New Roman" w:eastAsia="Times New Roman" w:hAnsi="Times New Roman"/>
          <w:sz w:val="16"/>
          <w:szCs w:val="16"/>
          <w:color w:val="auto"/>
        </w:rPr>
        <w:t>. For the assumptions made in the valuation of our equity awards see Notes 2 and 15 to our consolidated financial statements included in the Original Filing.</w:t>
      </w:r>
    </w:p>
    <w:p>
      <w:pPr>
        <w:spacing w:after="0" w:line="140" w:lineRule="exact"/>
        <w:rPr>
          <w:rFonts w:ascii="Times New Roman" w:cs="Times New Roman" w:eastAsia="Times New Roman" w:hAnsi="Times New Roman"/>
          <w:sz w:val="16"/>
          <w:szCs w:val="16"/>
          <w:color w:val="auto"/>
        </w:rPr>
      </w:pPr>
    </w:p>
    <w:p>
      <w:pPr>
        <w:ind w:left="302" w:right="20" w:hanging="302"/>
        <w:spacing w:after="0" w:line="290" w:lineRule="auto"/>
        <w:tabs>
          <w:tab w:leader="none" w:pos="30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Milford served as our Chief Executive Officer from January 19, 2022, until his resignation effective as of September 4, 2024. Prior to that, Mr. Milford served as our Chief Operating Officer since December 14, 2020. Compensation for the year ended December 31, 2024, includes equity awards of stock options.</w:t>
      </w:r>
    </w:p>
    <w:p>
      <w:pPr>
        <w:spacing w:after="0" w:line="141"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Scrabis served as our Chief Financial Officer from July 10, 2023 until her resignation effective on January 8, 2025.</w:t>
      </w:r>
    </w:p>
    <w:p>
      <w:pPr>
        <w:spacing w:after="0" w:line="206" w:lineRule="exact"/>
        <w:rPr>
          <w:rFonts w:ascii="Times New Roman" w:cs="Times New Roman" w:eastAsia="Times New Roman" w:hAnsi="Times New Roman"/>
          <w:sz w:val="16"/>
          <w:szCs w:val="16"/>
          <w:color w:val="auto"/>
        </w:rPr>
      </w:pPr>
    </w:p>
    <w:p>
      <w:pPr>
        <w:ind w:left="302" w:right="20" w:hanging="302"/>
        <w:spacing w:after="0" w:line="290" w:lineRule="auto"/>
        <w:tabs>
          <w:tab w:leader="none" w:pos="30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Ernst is currently our Chief Executive Officer, effective as of September 4, 2024. Prior to that, Mr. Ernst served as the Executive Vice President and the Chief Executive Officer of XpresTest Inc. since January 9, 2022. Compensation for the year ended December 31, 2024, includes equity awards of stock options.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Narrative Disclosure to Summary Compensation Table</w:t>
      </w:r>
    </w:p>
    <w:p>
      <w:pPr>
        <w:spacing w:after="0" w:line="2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Scott R. Milford</w:t>
      </w:r>
    </w:p>
    <w:p>
      <w:pPr>
        <w:spacing w:after="0" w:line="211"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6"/>
          <w:szCs w:val="16"/>
          <w:color w:val="auto"/>
        </w:rPr>
        <w:t>On July 8, 2019, we entered into an employment agreement with Mr. Milford, pursuant to which he agreed to serve as our Chief People Officer for an annual base salary of $280,000 and $300,000, for the year ended July 31, 2020, and the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spacing w:after="0" w:line="3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7" w:right="319" w:bottom="1440" w:gutter="0" w:footer="0" w:header="0"/>
        </w:sectPr>
      </w:pPr>
    </w:p>
    <w:bookmarkStart w:id="40" w:name="page41"/>
    <w:bookmarkEnd w:id="40"/>
    <w:p>
      <w:pPr>
        <w:jc w:val="both"/>
        <w:spacing w:after="0" w:line="260" w:lineRule="auto"/>
        <w:rPr>
          <w:sz w:val="20"/>
          <w:szCs w:val="20"/>
          <w:color w:val="auto"/>
        </w:rPr>
      </w:pPr>
      <w:r>
        <w:rPr>
          <w:rFonts w:ascii="Times New Roman" w:cs="Times New Roman" w:eastAsia="Times New Roman" w:hAnsi="Times New Roman"/>
          <w:sz w:val="16"/>
          <w:szCs w:val="16"/>
          <w:color w:val="auto"/>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spacing w:after="0" w:line="16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Effective September 4, 2024, Mr. Milford stepped down as the President and Chief Executive Officer of the Company and entered into a Transition and Severance Agreement (the “Milford Transition Agreement”). Under the Milford Transition Agreement, Mr. Milford served as a consultant through December 31, 2024, earning $31,250 per month. Mr. Milford received $425,000 in severance payments and also receive up to 12 months of COBRA premium reimbursement.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Suzanne A. Scrabis</w:t>
      </w:r>
    </w:p>
    <w:p>
      <w:pPr>
        <w:spacing w:after="0" w:line="21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For her service as Chief Financial Officer, pursuant to an offer letter, dated as of June 26, 2023, by and between us and Ms. Scrabis (the “Scrabis Offer Letter”), Ms. Scrabis received an annual base salary of $300,000, subject to review by the Compensation Committee. Ms. Scrabis was eligible to receive an annual cash bonus with a target of 50% of her base salary. Ms. Scrabis was additionally eligible to participate in Company’s long-term incentive plan with the potential to receive stock options valued at up to 1.75 times her annual base salary (pro-rated for 2023). Ms. Scrabis received (i) non-qualified stock options to purchase 3,750 shares of Common Stock with an exercise price of $4.60, and (ii) 5,000 RSUs, with each grant made as of July 10, 2023, and vesting in four quarterly installments on the first, second, third and fourth quarters after the grant date.</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On January 2, 2025, Ms. Scrabis entered into a Resignation, Separation Agreement and Release (the “Scrabis Release Agreement”), by and between the Company and Suzanne Scrabis, which became effective as of January 8, 2025 (the “Scrabis Separation Date”), in connection with Ms. Scrabis’s resignation as the Chief Financial Officer of the Company. Pursuant to the terms of the Scrabis Release Agreement, in consideration for performing certain transition services and entering into the Scrabis Release Agreement, Ms. Scrabis will receive within 30 days from the Separation Date, a regular bi-weekly salary in the amount of $11,538.46 for a period of six months, less all applicable deductions and withholdings. The Company has additionally agreed to reimburse the portion of Consolidated Omnibus Budget Reconciliation Act of 1985, as amended, premiums paid by Ms. Scrabis for the continuation of health coverage under the Company’s group benefit plans, for up to six months and subject to certain exceptions.”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Ezra T. Ernst</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41" w:name="page42"/>
    <w:bookmarkEnd w:id="41"/>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at 2024 Fiscal Year End</w:t>
      </w:r>
    </w:p>
    <w:p>
      <w:pPr>
        <w:spacing w:after="0" w:line="20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following table sets forth information regarding grants of stock options and unvested stock awards outstanding on the last day of the fiscal year ended December 31, 2024, to each of our named executive officers.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r>
      <w:tr>
        <w:trPr>
          <w:trHeight w:val="170"/>
        </w:trPr>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gridSpan w:val="2"/>
          </w:tcPr>
          <w:p>
            <w:pPr>
              <w:jc w:val="center"/>
              <w:ind w:right="120"/>
              <w:spacing w:after="0" w:line="170"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39"/>
              <w:spacing w:after="0" w:line="170" w:lineRule="exact"/>
              <w:rPr>
                <w:sz w:val="20"/>
                <w:szCs w:val="20"/>
                <w:color w:val="auto"/>
              </w:rPr>
            </w:pPr>
            <w:r>
              <w:rPr>
                <w:rFonts w:ascii="Times New Roman" w:cs="Times New Roman" w:eastAsia="Times New Roman" w:hAnsi="Times New Roman"/>
                <w:sz w:val="16"/>
                <w:szCs w:val="16"/>
                <w:b w:val="1"/>
                <w:bCs w:val="1"/>
                <w:color w:val="auto"/>
              </w:rPr>
              <w:t>Market</w:t>
            </w:r>
          </w:p>
        </w:tc>
        <w:tc>
          <w:tcPr>
            <w:tcW w:w="120" w:type="dxa"/>
            <w:vAlign w:val="bottom"/>
          </w:tcPr>
          <w:p>
            <w:pPr>
              <w:spacing w:after="0"/>
              <w:rPr>
                <w:sz w:val="14"/>
                <w:szCs w:val="14"/>
                <w:color w:val="auto"/>
              </w:rPr>
            </w:pPr>
          </w:p>
        </w:tc>
      </w:tr>
      <w:tr>
        <w:trPr>
          <w:trHeight w:val="195"/>
        </w:trPr>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value</w:t>
            </w:r>
          </w:p>
        </w:tc>
      </w:tr>
      <w:tr>
        <w:trPr>
          <w:trHeight w:val="195"/>
        </w:trPr>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securities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of shares</w:t>
            </w:r>
          </w:p>
        </w:tc>
      </w:tr>
      <w:tr>
        <w:trPr>
          <w:trHeight w:val="195"/>
        </w:trPr>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securities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units</w:t>
            </w:r>
          </w:p>
        </w:tc>
      </w:tr>
      <w:tr>
        <w:trPr>
          <w:trHeight w:val="195"/>
        </w:trPr>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of stock</w:t>
            </w:r>
          </w:p>
        </w:tc>
      </w:tr>
      <w:tr>
        <w:trPr>
          <w:trHeight w:val="195"/>
        </w:trPr>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that</w:t>
            </w:r>
          </w:p>
        </w:tc>
      </w:tr>
      <w:tr>
        <w:trPr>
          <w:trHeight w:val="208"/>
        </w:trPr>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have not</w:t>
            </w:r>
          </w:p>
        </w:tc>
      </w:tr>
      <w:tr>
        <w:trPr>
          <w:trHeight w:val="214"/>
        </w:trPr>
        <w:tc>
          <w:tcPr>
            <w:tcW w:w="3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 exercisable</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vested ($)</w:t>
            </w:r>
          </w:p>
        </w:tc>
      </w:tr>
      <w:tr>
        <w:trPr>
          <w:trHeight w:val="188"/>
        </w:trPr>
        <w:tc>
          <w:tcPr>
            <w:tcW w:w="3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R. Milford (1)</w:t>
            </w:r>
          </w:p>
        </w:tc>
        <w:tc>
          <w:tcPr>
            <w:tcW w:w="1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r>
      <w:tr>
        <w:trPr>
          <w:trHeight w:val="179"/>
        </w:trPr>
        <w:tc>
          <w:tcPr>
            <w:tcW w:w="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2012</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2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April 20, 2030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9"/>
        </w:trPr>
        <w:tc>
          <w:tcPr>
            <w:tcW w:w="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Incentive Stock Options from the 2012</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1,605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100.20</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September 6, 2030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9"/>
        </w:trPr>
        <w:tc>
          <w:tcPr>
            <w:tcW w:w="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4,815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100.20</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October 28, 2030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9"/>
        </w:trPr>
        <w:tc>
          <w:tcPr>
            <w:tcW w:w="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9"/>
              </w:rPr>
              <w:t>2021</w:t>
            </w:r>
          </w:p>
        </w:tc>
        <w:tc>
          <w:tcPr>
            <w:tcW w:w="29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14,266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January 21, 2031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9"/>
        </w:trPr>
        <w:tc>
          <w:tcPr>
            <w:tcW w:w="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w w:val="99"/>
              </w:rPr>
              <w:t>2022</w:t>
            </w:r>
          </w:p>
        </w:tc>
        <w:tc>
          <w:tcPr>
            <w:tcW w:w="29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2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April 20, 2032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9"/>
        </w:trPr>
        <w:tc>
          <w:tcPr>
            <w:tcW w:w="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9"/>
              </w:rPr>
              <w:t>2023</w:t>
            </w:r>
          </w:p>
        </w:tc>
        <w:tc>
          <w:tcPr>
            <w:tcW w:w="29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22,500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8.00</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January 5, 2033</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9"/>
        </w:trPr>
        <w:tc>
          <w:tcPr>
            <w:tcW w:w="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w w:val="99"/>
              </w:rPr>
              <w:t>2024</w:t>
            </w:r>
          </w:p>
        </w:tc>
        <w:tc>
          <w:tcPr>
            <w:tcW w:w="29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February 5, 2034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31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3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Ezra T. Ernst (1)</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w:t>
            </w:r>
          </w:p>
        </w:tc>
      </w:tr>
      <w:tr>
        <w:trPr>
          <w:trHeight w:val="195"/>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Inducement 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33,333</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16,667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2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January 14, 2032</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79"/>
        </w:trPr>
        <w:tc>
          <w:tcPr>
            <w:tcW w:w="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w w:val="99"/>
              </w:rPr>
              <w:t>2023</w:t>
            </w:r>
          </w:p>
        </w:tc>
        <w:tc>
          <w:tcPr>
            <w:tcW w:w="29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8.00</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January 5, 2033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9"/>
        </w:trPr>
        <w:tc>
          <w:tcPr>
            <w:tcW w:w="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9"/>
              </w:rPr>
              <w:t>2024</w:t>
            </w:r>
          </w:p>
        </w:tc>
        <w:tc>
          <w:tcPr>
            <w:tcW w:w="29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February 5, 2034</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9"/>
        </w:trPr>
        <w:tc>
          <w:tcPr>
            <w:tcW w:w="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w w:val="99"/>
              </w:rPr>
              <w:t>2024</w:t>
            </w:r>
          </w:p>
        </w:tc>
        <w:tc>
          <w:tcPr>
            <w:tcW w:w="29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13,125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September 4, 2034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31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3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Suzanne A. Scrabis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3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w w:val="99"/>
              </w:rPr>
              <w:t>2023</w:t>
            </w:r>
          </w:p>
        </w:tc>
        <w:tc>
          <w:tcPr>
            <w:tcW w:w="294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Non-Qualified Stock Options from the</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2020</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4.60</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July 10, 2033</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178435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4350" cy="762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Un-exercisable options vest in equal annual increments over each of the remaining anniversaries of the date of grant.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have any qualified or nonqualified defined benefit plans.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Nonqualified Deferred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have any nonqualified defined contribution plans or other deferred compensation plans.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56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42" w:name="page43"/>
    <w:bookmarkEnd w:id="42"/>
    <w:p>
      <w:pPr>
        <w:ind w:left="2"/>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Change-In-Control</w:t>
      </w:r>
    </w:p>
    <w:p>
      <w:pPr>
        <w:spacing w:after="0" w:line="209"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The following summarizes the payments and potential payments to each of our named executive officers as of December 31, 2024, upon termination or change-in-control. The discussion assumes that such event occurred on December 31, 2024, the last business day of our fiscal year, at which time the closing price of our Common Stock as listed on Nasdaq was $1.51 per share. For a further discussion of these provisions see the “Narrative Disclosure to Summary Compensation Table” above.</w:t>
      </w:r>
    </w:p>
    <w:p>
      <w:pPr>
        <w:spacing w:after="0" w:line="1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Scott R. Milford</w:t>
      </w:r>
    </w:p>
    <w:p>
      <w:pPr>
        <w:spacing w:after="0" w:line="211"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6"/>
          <w:szCs w:val="16"/>
          <w:color w:val="auto"/>
        </w:rPr>
        <w:t>On December 31, 2024, Mr. Milford received $425,000 in severance payments and will also receive up to 12 months of COBRA premium reimbursement pursuant to the terms of his Transition and Severance Agreement.</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Ezra T. Ernst</w:t>
      </w:r>
    </w:p>
    <w:p>
      <w:pPr>
        <w:spacing w:after="0" w:line="211"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spacing w:after="0" w:line="1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Suzanne A. Scrabis</w:t>
      </w:r>
    </w:p>
    <w:p>
      <w:pPr>
        <w:spacing w:after="0" w:line="211"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6"/>
          <w:szCs w:val="16"/>
          <w:color w:val="auto"/>
        </w:rPr>
        <w:t>On January 8, 2025, Ms. Scrabis began receiving bi-weekly payments of $11,538.46 for six months and will receive up to six months of COBRA premium reimbursement pursuant to the terms of her Resignation, Separation Agreement and Release.</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09" w:lineRule="exact"/>
        <w:rPr>
          <w:sz w:val="20"/>
          <w:szCs w:val="20"/>
          <w:color w:val="auto"/>
        </w:rPr>
      </w:pPr>
    </w:p>
    <w:p>
      <w:pPr>
        <w:jc w:val="both"/>
        <w:ind w:left="2" w:right="20"/>
        <w:spacing w:after="0" w:line="265" w:lineRule="auto"/>
        <w:rPr>
          <w:sz w:val="20"/>
          <w:szCs w:val="20"/>
          <w:color w:val="auto"/>
        </w:rPr>
      </w:pPr>
      <w:r>
        <w:rPr>
          <w:rFonts w:ascii="Times New Roman" w:cs="Times New Roman" w:eastAsia="Times New Roman" w:hAnsi="Times New Roman"/>
          <w:sz w:val="16"/>
          <w:szCs w:val="16"/>
          <w:color w:val="auto"/>
        </w:rPr>
        <w:t>The following table sets forth the compensation of persons who served as non-employee members of our Board of Directors during the fiscal year ended December 31, 2024.</w:t>
      </w:r>
    </w:p>
    <w:p>
      <w:pPr>
        <w:spacing w:after="0" w:line="381"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Earned or</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Unit Awards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w:t>
            </w:r>
          </w:p>
        </w:tc>
        <w:tc>
          <w:tcPr>
            <w:tcW w:w="22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r>
      <w:tr>
        <w:trPr>
          <w:trHeight w:val="188"/>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Bruce T. Bernstein(2)(6)</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66,496</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Gaëlle Wizenberg(1)(2)</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35,000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33,249</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68,249</w:t>
            </w:r>
          </w:p>
        </w:tc>
      </w:tr>
      <w:tr>
        <w:trPr>
          <w:trHeight w:val="19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Weinstein(4)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60,000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46,546</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106,546</w:t>
            </w:r>
          </w:p>
        </w:tc>
      </w:tr>
      <w:tr>
        <w:trPr>
          <w:trHeight w:val="21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Lebowitz(5)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45,000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33,249</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178435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4350" cy="7620"/>
                    </a:xfrm>
                    <a:prstGeom prst="rect">
                      <a:avLst/>
                    </a:prstGeom>
                    <a:noFill/>
                  </pic:spPr>
                </pic:pic>
              </a:graphicData>
            </a:graphic>
          </wp:anchor>
        </w:drawing>
      </w:r>
    </w:p>
    <w:p>
      <w:pPr>
        <w:spacing w:after="0" w:line="2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 xml:space="preserve">(1)Amounts represent the aggregate grant date fair value of the RSUs and option awards granted during the fiscal year computed in accordance with FASB ASC </w:t>
      </w:r>
      <w:r>
        <w:rPr>
          <w:rFonts w:ascii="Times New Roman" w:cs="Times New Roman" w:eastAsia="Times New Roman" w:hAnsi="Times New Roman"/>
          <w:sz w:val="16"/>
          <w:szCs w:val="16"/>
          <w:i w:val="1"/>
          <w:iCs w:val="1"/>
          <w:color w:val="auto"/>
        </w:rPr>
        <w:t>Topic 718</w:t>
      </w:r>
      <w:r>
        <w:rPr>
          <w:rFonts w:ascii="Times New Roman" w:cs="Times New Roman" w:eastAsia="Times New Roman" w:hAnsi="Times New Roman"/>
          <w:sz w:val="16"/>
          <w:szCs w:val="16"/>
          <w:color w:val="auto"/>
        </w:rPr>
        <w:t>.</w:t>
      </w:r>
    </w:p>
    <w:p>
      <w:pPr>
        <w:spacing w:after="0" w:line="29" w:lineRule="exact"/>
        <w:rPr>
          <w:sz w:val="20"/>
          <w:szCs w:val="20"/>
          <w:color w:val="auto"/>
        </w:rPr>
      </w:pPr>
    </w:p>
    <w:p>
      <w:pPr>
        <w:ind w:left="202"/>
        <w:spacing w:after="0"/>
        <w:rPr>
          <w:sz w:val="20"/>
          <w:szCs w:val="20"/>
          <w:color w:val="auto"/>
        </w:rPr>
      </w:pPr>
      <w:r>
        <w:rPr>
          <w:rFonts w:ascii="Times New Roman" w:cs="Times New Roman" w:eastAsia="Times New Roman" w:hAnsi="Times New Roman"/>
          <w:sz w:val="16"/>
          <w:szCs w:val="16"/>
          <w:color w:val="auto"/>
        </w:rPr>
        <w:t>See Notes 2 and 15 to the consolidated financial statements included in the Original Filing for the assumptions made in the valuation of the equity awards.</w:t>
      </w:r>
    </w:p>
    <w:p>
      <w:pPr>
        <w:spacing w:after="0" w:line="191" w:lineRule="exact"/>
        <w:rPr>
          <w:sz w:val="20"/>
          <w:szCs w:val="20"/>
          <w:color w:val="auto"/>
        </w:rPr>
      </w:pPr>
    </w:p>
    <w:p>
      <w:pPr>
        <w:ind w:left="422" w:hanging="422"/>
        <w:spacing w:after="0"/>
        <w:tabs>
          <w:tab w:leader="none" w:pos="42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Bernstein held 42,511 unexercised options.</w:t>
      </w:r>
    </w:p>
    <w:p>
      <w:pPr>
        <w:spacing w:after="0" w:line="206"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Stout held 22,660 unexercised options.</w:t>
      </w:r>
    </w:p>
    <w:p>
      <w:pPr>
        <w:spacing w:after="0" w:line="206" w:lineRule="exact"/>
        <w:rPr>
          <w:rFonts w:ascii="Times New Roman" w:cs="Times New Roman" w:eastAsia="Times New Roman" w:hAnsi="Times New Roman"/>
          <w:sz w:val="16"/>
          <w:szCs w:val="16"/>
          <w:color w:val="auto"/>
        </w:rPr>
      </w:pPr>
    </w:p>
    <w:p>
      <w:pPr>
        <w:ind w:left="422" w:hanging="422"/>
        <w:spacing w:after="0"/>
        <w:tabs>
          <w:tab w:leader="none" w:pos="42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Weinstein held 22,579 unexercised options.</w:t>
      </w:r>
    </w:p>
    <w:p>
      <w:pPr>
        <w:spacing w:after="0" w:line="206" w:lineRule="exact"/>
        <w:rPr>
          <w:rFonts w:ascii="Times New Roman" w:cs="Times New Roman" w:eastAsia="Times New Roman" w:hAnsi="Times New Roman"/>
          <w:sz w:val="16"/>
          <w:szCs w:val="16"/>
          <w:color w:val="auto"/>
        </w:rPr>
      </w:pPr>
    </w:p>
    <w:p>
      <w:pPr>
        <w:ind w:left="422" w:hanging="422"/>
        <w:spacing w:after="0"/>
        <w:tabs>
          <w:tab w:leader="none" w:pos="42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Lebowitz held 21,996 unexercised options.</w:t>
      </w:r>
    </w:p>
    <w:p>
      <w:pPr>
        <w:spacing w:after="0" w:line="206" w:lineRule="exact"/>
        <w:rPr>
          <w:rFonts w:ascii="Times New Roman" w:cs="Times New Roman" w:eastAsia="Times New Roman" w:hAnsi="Times New Roman"/>
          <w:sz w:val="16"/>
          <w:szCs w:val="16"/>
          <w:color w:val="auto"/>
        </w:rPr>
      </w:pPr>
    </w:p>
    <w:p>
      <w:pPr>
        <w:ind w:left="322" w:hanging="322"/>
        <w:spacing w:after="0"/>
        <w:tabs>
          <w:tab w:leader="none" w:pos="32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$120,000 in cash paid in respect of XpresTest, Inc. board services (as described below).</w:t>
      </w:r>
    </w:p>
    <w:p>
      <w:pPr>
        <w:spacing w:after="0" w:line="207" w:lineRule="exact"/>
        <w:rPr>
          <w:sz w:val="20"/>
          <w:szCs w:val="20"/>
          <w:color w:val="auto"/>
        </w:rPr>
      </w:pPr>
    </w:p>
    <w:p>
      <w:pPr>
        <w:ind w:left="2" w:right="20"/>
        <w:spacing w:after="0" w:line="290" w:lineRule="auto"/>
        <w:rPr>
          <w:sz w:val="20"/>
          <w:szCs w:val="20"/>
          <w:color w:val="auto"/>
        </w:rPr>
      </w:pPr>
      <w:r>
        <w:rPr>
          <w:rFonts w:ascii="Times New Roman" w:cs="Times New Roman" w:eastAsia="Times New Roman" w:hAnsi="Times New Roman"/>
          <w:sz w:val="16"/>
          <w:szCs w:val="16"/>
          <w:color w:val="auto"/>
        </w:rPr>
        <w:t>In January 2023, the Board and the Compensation Committee engaged StreeterWyatt Analytics, an independent third-party compensation analyst, to evaluate and make recommendations regarding-the compensation paid to our directors.</w:t>
      </w: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565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6" w:right="319" w:bottom="1440" w:gutter="0" w:footer="0" w:header="0"/>
        </w:sectPr>
      </w:pPr>
    </w:p>
    <w:bookmarkStart w:id="43" w:name="page44"/>
    <w:bookmarkEnd w:id="43"/>
    <w:p>
      <w:pPr>
        <w:ind w:left="2" w:right="20"/>
        <w:spacing w:after="0" w:line="290" w:lineRule="auto"/>
        <w:rPr>
          <w:sz w:val="20"/>
          <w:szCs w:val="20"/>
          <w:color w:val="auto"/>
        </w:rPr>
      </w:pPr>
      <w:r>
        <w:rPr>
          <w:rFonts w:ascii="Times New Roman" w:cs="Times New Roman" w:eastAsia="Times New Roman" w:hAnsi="Times New Roman"/>
          <w:sz w:val="16"/>
          <w:szCs w:val="16"/>
          <w:color w:val="auto"/>
        </w:rPr>
        <w:t>In December 2023, the Board reevaluated the Company’s compensation structure. Based on its review, the Compensation Committee recommended, and the full Board approved, a new director compensation program effective December 11, 2023:</w:t>
      </w:r>
    </w:p>
    <w:p>
      <w:pPr>
        <w:spacing w:after="0" w:line="142" w:lineRule="exact"/>
        <w:rPr>
          <w:sz w:val="20"/>
          <w:szCs w:val="20"/>
          <w:color w:val="auto"/>
        </w:rPr>
      </w:pPr>
    </w:p>
    <w:p>
      <w:pPr>
        <w:ind w:left="322" w:right="8920" w:hanging="322"/>
        <w:spacing w:after="0" w:line="525" w:lineRule="auto"/>
        <w:tabs>
          <w:tab w:leader="none" w:pos="29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Chairman of the Board: o $75,000 in cash</w:t>
      </w:r>
    </w:p>
    <w:p>
      <w:pPr>
        <w:spacing w:after="0" w:line="1" w:lineRule="exact"/>
        <w:rPr>
          <w:rFonts w:ascii="Times New Roman" w:cs="Times New Roman" w:eastAsia="Times New Roman" w:hAnsi="Times New Roman"/>
          <w:sz w:val="16"/>
          <w:szCs w:val="16"/>
          <w:color w:val="auto"/>
        </w:rPr>
      </w:pPr>
    </w:p>
    <w:p>
      <w:pPr>
        <w:ind w:left="322" w:right="8460" w:hanging="322"/>
        <w:spacing w:after="0" w:line="525" w:lineRule="auto"/>
        <w:tabs>
          <w:tab w:leader="none" w:pos="29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other non-employee Directors: o $35,000 in cash</w:t>
      </w:r>
    </w:p>
    <w:p>
      <w:pPr>
        <w:spacing w:after="0" w:line="1"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additional cash payments:</w:t>
      </w:r>
    </w:p>
    <w:p>
      <w:pPr>
        <w:spacing w:after="0" w:line="219" w:lineRule="exact"/>
        <w:rPr>
          <w:sz w:val="20"/>
          <w:szCs w:val="20"/>
          <w:color w:val="auto"/>
        </w:rPr>
      </w:pPr>
    </w:p>
    <w:p>
      <w:pPr>
        <w:ind w:left="662" w:hanging="345"/>
        <w:spacing w:after="0"/>
        <w:tabs>
          <w:tab w:leader="none" w:pos="66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$15,000 in cash to the Chairman of the Audit Committee.</w:t>
      </w:r>
    </w:p>
    <w:p>
      <w:pPr>
        <w:spacing w:after="0" w:line="231" w:lineRule="exact"/>
        <w:rPr>
          <w:rFonts w:ascii="Times New Roman" w:cs="Times New Roman" w:eastAsia="Times New Roman" w:hAnsi="Times New Roman"/>
          <w:sz w:val="16"/>
          <w:szCs w:val="16"/>
          <w:color w:val="auto"/>
        </w:rPr>
      </w:pPr>
    </w:p>
    <w:p>
      <w:pPr>
        <w:ind w:left="662" w:hanging="345"/>
        <w:spacing w:after="0"/>
        <w:tabs>
          <w:tab w:leader="none" w:pos="66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 in cash to the Chairman of the Compensation Committee.</w:t>
      </w:r>
    </w:p>
    <w:p>
      <w:pPr>
        <w:spacing w:after="0" w:line="231" w:lineRule="exact"/>
        <w:rPr>
          <w:rFonts w:ascii="Times New Roman" w:cs="Times New Roman" w:eastAsia="Times New Roman" w:hAnsi="Times New Roman"/>
          <w:sz w:val="16"/>
          <w:szCs w:val="16"/>
          <w:color w:val="auto"/>
        </w:rPr>
      </w:pPr>
    </w:p>
    <w:p>
      <w:pPr>
        <w:ind w:left="662" w:hanging="345"/>
        <w:spacing w:after="0"/>
        <w:tabs>
          <w:tab w:leader="none" w:pos="66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 in cash to each member of the Investment Committee.</w:t>
      </w:r>
    </w:p>
    <w:p>
      <w:pPr>
        <w:spacing w:after="0" w:line="2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provides certain aggregate information, as of December 31, 2024, with respect to all of our equity compensation plans then in effect:</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 of securities</w:t>
            </w:r>
          </w:p>
        </w:tc>
      </w:tr>
      <w:tr>
        <w:trPr>
          <w:trHeight w:val="195"/>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195"/>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w:t>
            </w:r>
          </w:p>
        </w:tc>
      </w:tr>
      <w:tr>
        <w:trPr>
          <w:trHeight w:val="195"/>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 of securities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w:t>
            </w:r>
          </w:p>
        </w:tc>
      </w:tr>
      <w:tr>
        <w:trPr>
          <w:trHeight w:val="195"/>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be issued upon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195"/>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195"/>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(excluding</w:t>
            </w:r>
          </w:p>
        </w:tc>
      </w:tr>
      <w:tr>
        <w:trPr>
          <w:trHeight w:val="195"/>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8"/>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w:t>
            </w:r>
          </w:p>
        </w:tc>
      </w:tr>
      <w:tr>
        <w:trPr>
          <w:trHeight w:val="213"/>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rights ($)</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first column)</w:t>
            </w:r>
          </w:p>
        </w:tc>
      </w:tr>
      <w:tr>
        <w:trPr>
          <w:trHeight w:val="18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 compensation plans approved by security holders (1)</w:t>
            </w: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564,383</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178435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4350" cy="7620"/>
                    </a:xfrm>
                    <a:prstGeom prst="rect">
                      <a:avLst/>
                    </a:prstGeom>
                    <a:noFill/>
                  </pic:spPr>
                </pic:pic>
              </a:graphicData>
            </a:graphic>
          </wp:anchor>
        </w:drawing>
      </w:r>
    </w:p>
    <w:p>
      <w:pPr>
        <w:spacing w:after="0" w:line="281" w:lineRule="exact"/>
        <w:rPr>
          <w:sz w:val="20"/>
          <w:szCs w:val="20"/>
          <w:color w:val="auto"/>
        </w:rPr>
      </w:pPr>
    </w:p>
    <w:p>
      <w:pPr>
        <w:jc w:val="both"/>
        <w:ind w:left="202" w:right="20" w:hanging="194"/>
        <w:spacing w:after="0" w:line="266" w:lineRule="auto"/>
        <w:rPr>
          <w:sz w:val="20"/>
          <w:szCs w:val="20"/>
          <w:color w:val="auto"/>
        </w:rPr>
      </w:pPr>
      <w:r>
        <w:rPr>
          <w:rFonts w:ascii="Times New Roman" w:cs="Times New Roman" w:eastAsia="Times New Roman" w:hAnsi="Times New Roman"/>
          <w:sz w:val="16"/>
          <w:szCs w:val="16"/>
          <w:color w:val="auto"/>
        </w:rPr>
        <w:t>(1)These plans consist solely of the 2020 Plan, as approved by our Board of Directors in September 2020 and by our stockholders in October 2020. On October 4, 2022, shareholders approved the amendment to the Company’s 2020 Equity Incentive Plan to increase the number of shares authorized for issuance under the Plan by 375,000 shares of Common Stock to an aggregate of 625,000 shares. Under the 2020 Equity Incentive Plan (the “2020 Plan”), a maximum of 17,671 shares of Common Stock remained available for issuance as of December 31, 2024.</w:t>
      </w: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56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9" w:right="319" w:bottom="1440" w:gutter="0" w:footer="0" w:header="0"/>
        </w:sectPr>
      </w:pPr>
    </w:p>
    <w:bookmarkStart w:id="44" w:name="page45"/>
    <w:bookmarkEnd w:id="44"/>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209"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 Our named executive officers for the year ended December 31, 2024, were Scott R. Milford, Suzanne A. Scrabis and Ezra T. Ernst.</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5"/>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Initial Fixed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5"/>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100" w:type="dxa"/>
            <w:vAlign w:val="bottom"/>
          </w:tcPr>
          <w:p>
            <w:pPr>
              <w:spacing w:after="0"/>
              <w:rPr>
                <w:sz w:val="17"/>
                <w:szCs w:val="17"/>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$100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5"/>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Table Total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to Non-PEO</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Non-PEO</w:t>
            </w:r>
          </w:p>
        </w:tc>
        <w:tc>
          <w:tcPr>
            <w:tcW w:w="1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Named</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Based On:</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6"/>
                <w:szCs w:val="16"/>
                <w:b w:val="1"/>
                <w:bCs w:val="1"/>
                <w:color w:val="auto"/>
                <w:w w:val="97"/>
              </w:rPr>
              <w:t>Table Total</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6"/>
                <w:szCs w:val="16"/>
                <w:b w:val="1"/>
                <w:bCs w:val="1"/>
                <w:color w:val="auto"/>
                <w:w w:val="97"/>
              </w:rPr>
              <w:t>Table Total</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6"/>
                <w:szCs w:val="16"/>
                <w:b w:val="1"/>
                <w:bCs w:val="1"/>
                <w:color w:val="auto"/>
                <w:w w:val="97"/>
              </w:rPr>
              <w:t>Table Total</w:t>
            </w:r>
          </w:p>
        </w:tc>
        <w:tc>
          <w:tcPr>
            <w:tcW w:w="11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Actually Paid</w:t>
            </w:r>
          </w:p>
        </w:tc>
        <w:tc>
          <w:tcPr>
            <w:tcW w:w="40" w:type="dxa"/>
            <w:vAlign w:val="bottom"/>
          </w:tcPr>
          <w:p>
            <w:pPr>
              <w:spacing w:after="0"/>
              <w:rPr>
                <w:sz w:val="14"/>
                <w:szCs w:val="14"/>
                <w:color w:val="auto"/>
              </w:rPr>
            </w:pPr>
          </w:p>
        </w:tc>
        <w:tc>
          <w:tcPr>
            <w:tcW w:w="1060" w:type="dxa"/>
            <w:vAlign w:val="bottom"/>
            <w:gridSpan w:val="3"/>
          </w:tcPr>
          <w:p>
            <w:pPr>
              <w:jc w:val="center"/>
              <w:ind w:right="40"/>
              <w:spacing w:after="0" w:line="169" w:lineRule="exact"/>
              <w:rPr>
                <w:sz w:val="20"/>
                <w:szCs w:val="20"/>
                <w:color w:val="auto"/>
              </w:rPr>
            </w:pPr>
            <w:r>
              <w:rPr>
                <w:rFonts w:ascii="Times New Roman" w:cs="Times New Roman" w:eastAsia="Times New Roman" w:hAnsi="Times New Roman"/>
                <w:sz w:val="16"/>
                <w:szCs w:val="16"/>
                <w:b w:val="1"/>
                <w:bCs w:val="1"/>
                <w:color w:val="auto"/>
              </w:rPr>
              <w:t>Actually Paid</w:t>
            </w:r>
          </w:p>
        </w:tc>
        <w:tc>
          <w:tcPr>
            <w:tcW w:w="60" w:type="dxa"/>
            <w:vAlign w:val="bottom"/>
          </w:tcPr>
          <w:p>
            <w:pPr>
              <w:spacing w:after="0"/>
              <w:rPr>
                <w:sz w:val="14"/>
                <w:szCs w:val="14"/>
                <w:color w:val="auto"/>
              </w:rPr>
            </w:pPr>
          </w:p>
        </w:tc>
        <w:tc>
          <w:tcPr>
            <w:tcW w:w="1080" w:type="dxa"/>
            <w:vAlign w:val="bottom"/>
            <w:gridSpan w:val="3"/>
          </w:tcPr>
          <w:p>
            <w:pPr>
              <w:jc w:val="center"/>
              <w:ind w:right="60"/>
              <w:spacing w:after="0" w:line="169" w:lineRule="exact"/>
              <w:rPr>
                <w:sz w:val="20"/>
                <w:szCs w:val="20"/>
                <w:color w:val="auto"/>
              </w:rPr>
            </w:pPr>
            <w:r>
              <w:rPr>
                <w:rFonts w:ascii="Times New Roman" w:cs="Times New Roman" w:eastAsia="Times New Roman" w:hAnsi="Times New Roman"/>
                <w:sz w:val="16"/>
                <w:szCs w:val="16"/>
                <w:b w:val="1"/>
                <w:bCs w:val="1"/>
                <w:color w:val="auto"/>
              </w:rPr>
              <w:t>Actually Paid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6"/>
                <w:szCs w:val="16"/>
                <w:b w:val="1"/>
                <w:bCs w:val="1"/>
                <w:color w:val="auto"/>
              </w:rPr>
              <w:t>Named</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6"/>
                <w:szCs w:val="16"/>
                <w:b w:val="1"/>
                <w:bCs w:val="1"/>
                <w:color w:val="auto"/>
              </w:rPr>
              <w:t>Executive</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19"/>
              <w:spacing w:after="0" w:line="169"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40" w:type="dxa"/>
            <w:vAlign w:val="bottom"/>
          </w:tcPr>
          <w:p>
            <w:pPr>
              <w:spacing w:after="0"/>
              <w:rPr>
                <w:sz w:val="14"/>
                <w:szCs w:val="14"/>
                <w:color w:val="auto"/>
              </w:rPr>
            </w:pPr>
          </w:p>
        </w:tc>
        <w:tc>
          <w:tcPr>
            <w:tcW w:w="8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Net Income</w:t>
            </w:r>
          </w:p>
        </w:tc>
      </w:tr>
      <w:tr>
        <w:trPr>
          <w:trHeight w:val="195"/>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 1st PEO</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2nd PEO</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3rd PEO</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 1st PEO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to 2nd PEO</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to 3rd PEO</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1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18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Shareholder   (Loss) ($)</w:t>
            </w:r>
          </w:p>
        </w:tc>
      </w:tr>
      <w:tr>
        <w:trPr>
          <w:trHeight w:val="214"/>
        </w:trPr>
        <w:tc>
          <w:tcPr>
            <w:tcW w:w="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Officers ($)</w:t>
            </w:r>
          </w:p>
        </w:tc>
        <w:tc>
          <w:tcPr>
            <w:tcW w:w="12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 (1)</w:t>
            </w:r>
          </w:p>
        </w:tc>
        <w:tc>
          <w:tcPr>
            <w:tcW w:w="14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 xml:space="preserve">Return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188"/>
        </w:trPr>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402,581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568,050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424,715</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535,400</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390,100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389,238</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(16,490)</w:t>
            </w:r>
          </w:p>
        </w:tc>
        <w:tc>
          <w:tcPr>
            <w:tcW w:w="80" w:type="dxa"/>
            <w:vAlign w:val="bottom"/>
            <w:tcBorders>
              <w:top w:val="single" w:sz="8" w:color="CCEEFF"/>
            </w:tcBorders>
            <w:shd w:val="clear" w:color="auto" w:fill="CCEEFF"/>
          </w:tcPr>
          <w:p>
            <w:pPr>
              <w:spacing w:after="0"/>
              <w:rPr>
                <w:sz w:val="16"/>
                <w:szCs w:val="16"/>
                <w:color w:val="auto"/>
              </w:rPr>
            </w:pPr>
          </w:p>
        </w:tc>
      </w:tr>
      <w:tr>
        <w:trPr>
          <w:trHeight w:val="195"/>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w w:val="93"/>
              </w:rPr>
              <w:t>2023</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(176,056)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318,280</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(319,681)</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(28,029)</w:t>
            </w:r>
          </w:p>
        </w:tc>
      </w:tr>
      <w:tr>
        <w:trPr>
          <w:trHeight w:val="195"/>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1,246,956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643,455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59,375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341,629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567,861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669,260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(32,629)</w:t>
            </w:r>
          </w:p>
        </w:tc>
      </w:tr>
      <w:tr>
        <w:trPr>
          <w:trHeight w:val="211"/>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w w:val="93"/>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1,841,049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878,737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714,812</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14,447</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169.75</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2,893</w:t>
            </w:r>
          </w:p>
        </w:tc>
      </w:tr>
    </w:tbl>
    <w:p>
      <w:pPr>
        <w:spacing w:after="0" w:line="163" w:lineRule="exact"/>
        <w:rPr>
          <w:sz w:val="20"/>
          <w:szCs w:val="20"/>
          <w:color w:val="auto"/>
        </w:rPr>
      </w:pPr>
    </w:p>
    <w:p>
      <w:pPr>
        <w:ind w:left="2" w:right="20" w:hanging="2"/>
        <w:spacing w:after="0" w:line="290" w:lineRule="auto"/>
        <w:tabs>
          <w:tab w:leader="none" w:pos="24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compensation actually paid to our principal executive officer (“PEO”) and the average compensation actually paid to our remaining NEOs for the relevant fiscal year, as determined under SEC rules (and described in this section), which includes the individuals indicated above for each year:</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Relationship Between Financial Performance Measures</w:t>
      </w:r>
    </w:p>
    <w:p>
      <w:pPr>
        <w:spacing w:after="0" w:line="209"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6"/>
          <w:szCs w:val="16"/>
          <w:color w:val="auto"/>
        </w:rPr>
        <w:t>The graphs below compare the compensation actually paid to our PEO(s) and the average of the compensation actually paid to our remaining Non-PEO NEOs, with (i) our cumulative total shareholder return (“TSR”), and (ii) our net income, in each case, for the fiscal years ended December 31, 2024, and 2023. The TSR amounts reported in the graph assume an initial fixed investment of $100.</w:t>
      </w:r>
    </w:p>
    <w:p>
      <w:pPr>
        <w:spacing w:after="0" w:line="3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7" w:right="31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969645</wp:posOffset>
            </wp:positionH>
            <wp:positionV relativeFrom="page">
              <wp:posOffset>213360</wp:posOffset>
            </wp:positionV>
            <wp:extent cx="5608955" cy="57721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8955" cy="577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17780</wp:posOffset>
            </wp:positionV>
            <wp:extent cx="71456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following table sets forth information regarding the beneficial ownership of our voting securities as of the Record Date by (i) each person known to us to beneficially own five (5%) percent or more of any class of our voting securities; (ii) each of our “Named Executive Officers” (as such term is defined pursuant to Rule 402 of Regulation S-K) and directors; and (iii) all of our directors and executive officers as a group. The percentages of voting securities beneficially owned are reported on the basis of regulations of the SEC governing the determination of beneficial ownership of securities.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Except as indicated in the footnotes to this table, to our knowledge and subject to community property laws where applicable, each beneficial owner named in the table below has sole voting and sole investment power with respect to all shares beneficially owned and each person’s address is c/o XWELL, Inc., 254 West 31st Street, 11th Floor, New York, New York 10001. Percentage of Common Stock ownership is based on 5,756,703 shares of Common Stock issued and outstanding as of the Record Date, and percentage of Series G Preferred Stock ownership is based on 4,000 shares of Series G Preferred Stock issued and outstanding as of the Record Date.</w:t>
      </w:r>
    </w:p>
    <w:p>
      <w:pPr>
        <w:spacing w:after="0" w:line="16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number of shares of Common Stock beneficially owned by the principal stockholders and the percentage of shares outstanding, as set forth below, take into account certain limitations on the conversion of the Preferred Stock or exercise of warrants, as the case may be, to purchase Common Stock.</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of the SEC. For the purpose of calculating the number of shares beneficially owned by a stockholder and the percentage ownership of that stockholder, shares of Common Stock subject to preferred stock, options or warrants that are currently convertible or exercisable, as applicable, or convertible or exercisable, as applicable, within sixty (60) days of the Record Date, by that stockholder are deemed outstanding.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5"/>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5"/>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Series G</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5"/>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5"/>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 Voting</w:t>
            </w:r>
          </w:p>
        </w:tc>
      </w:tr>
      <w:tr>
        <w:trPr>
          <w:trHeight w:val="214"/>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Owner(1)</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188"/>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2"/>
        </w:trPr>
        <w:tc>
          <w:tcPr>
            <w:tcW w:w="3980" w:type="dxa"/>
            <w:vAlign w:val="bottom"/>
            <w:gridSpan w:val="2"/>
          </w:tcPr>
          <w:p>
            <w:pPr>
              <w:spacing w:after="0" w:line="232" w:lineRule="exact"/>
              <w:rPr>
                <w:sz w:val="20"/>
                <w:szCs w:val="20"/>
                <w:color w:val="auto"/>
              </w:rPr>
            </w:pPr>
            <w:r>
              <w:rPr>
                <w:rFonts w:ascii="Times New Roman" w:cs="Times New Roman" w:eastAsia="Times New Roman" w:hAnsi="Times New Roman"/>
                <w:sz w:val="16"/>
                <w:szCs w:val="16"/>
                <w:color w:val="auto"/>
              </w:rPr>
              <w:t>Iroquois Capital Investment Group, LLC</w:t>
            </w:r>
            <w:r>
              <w:rPr>
                <w:rFonts w:ascii="Times New Roman" w:cs="Times New Roman" w:eastAsia="Times New Roman" w:hAnsi="Times New Roman"/>
                <w:sz w:val="26"/>
                <w:szCs w:val="26"/>
                <w:color w:val="auto"/>
                <w:vertAlign w:val="superscript"/>
              </w:rPr>
              <w:t>(2)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276,313</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2,775</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69.38%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4.99%</w:t>
            </w:r>
          </w:p>
        </w:tc>
      </w:tr>
      <w:tr>
        <w:trPr>
          <w:trHeight w:val="232"/>
        </w:trPr>
        <w:tc>
          <w:tcPr>
            <w:tcW w:w="398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Iroquois Master Fund Ltd.</w:t>
            </w:r>
            <w:r>
              <w:rPr>
                <w:rFonts w:ascii="Times New Roman" w:cs="Times New Roman" w:eastAsia="Times New Roman" w:hAnsi="Times New Roman"/>
                <w:sz w:val="26"/>
                <w:szCs w:val="26"/>
                <w:color w:val="auto"/>
                <w:vertAlign w:val="superscript"/>
              </w:rPr>
              <w:t>(3)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274,801</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1,225</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30.63%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w:t>
            </w:r>
          </w:p>
        </w:tc>
      </w:tr>
      <w:tr>
        <w:trPr>
          <w:trHeight w:val="232"/>
        </w:trPr>
        <w:tc>
          <w:tcPr>
            <w:tcW w:w="3980" w:type="dxa"/>
            <w:vAlign w:val="bottom"/>
            <w:gridSpan w:val="2"/>
          </w:tcPr>
          <w:p>
            <w:pPr>
              <w:spacing w:after="0" w:line="232" w:lineRule="exact"/>
              <w:rPr>
                <w:sz w:val="20"/>
                <w:szCs w:val="20"/>
                <w:color w:val="auto"/>
              </w:rPr>
            </w:pPr>
            <w:r>
              <w:rPr>
                <w:rFonts w:ascii="Times New Roman" w:cs="Times New Roman" w:eastAsia="Times New Roman" w:hAnsi="Times New Roman"/>
                <w:sz w:val="16"/>
                <w:szCs w:val="16"/>
                <w:color w:val="auto"/>
              </w:rPr>
              <w:t>XWEL INV I, LLC</w:t>
            </w:r>
            <w:r>
              <w:rPr>
                <w:rFonts w:ascii="Times New Roman" w:cs="Times New Roman" w:eastAsia="Times New Roman" w:hAnsi="Times New Roman"/>
                <w:sz w:val="26"/>
                <w:szCs w:val="26"/>
                <w:color w:val="auto"/>
                <w:vertAlign w:val="superscript"/>
              </w:rPr>
              <w:t>(4)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515,090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8.52%</w:t>
            </w:r>
          </w:p>
        </w:tc>
      </w:tr>
      <w:tr>
        <w:trPr>
          <w:trHeight w:val="232"/>
        </w:trPr>
        <w:tc>
          <w:tcPr>
            <w:tcW w:w="398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CPC Pain &amp; Wellness SPV, LLC</w:t>
            </w:r>
            <w:r>
              <w:rPr>
                <w:rFonts w:ascii="Times New Roman" w:cs="Times New Roman" w:eastAsia="Times New Roman" w:hAnsi="Times New Roman"/>
                <w:sz w:val="26"/>
                <w:szCs w:val="26"/>
                <w:color w:val="auto"/>
                <w:vertAlign w:val="superscript"/>
              </w:rPr>
              <w:t>(5)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394,200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6.52%</w:t>
            </w:r>
          </w:p>
        </w:tc>
      </w:tr>
      <w:tr>
        <w:trPr>
          <w:trHeight w:val="195"/>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2"/>
        </w:trPr>
        <w:tc>
          <w:tcPr>
            <w:tcW w:w="398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Scott R. Milford</w:t>
            </w:r>
            <w:r>
              <w:rPr>
                <w:rFonts w:ascii="Times New Roman" w:cs="Times New Roman" w:eastAsia="Times New Roman" w:hAnsi="Times New Roman"/>
                <w:sz w:val="26"/>
                <w:szCs w:val="26"/>
                <w:color w:val="auto"/>
                <w:vertAlign w:val="superscript"/>
              </w:rPr>
              <w:t>(6)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60,660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980" w:type="dxa"/>
            <w:vAlign w:val="bottom"/>
            <w:gridSpan w:val="2"/>
          </w:tcPr>
          <w:p>
            <w:pPr>
              <w:spacing w:after="0" w:line="232" w:lineRule="exact"/>
              <w:rPr>
                <w:sz w:val="20"/>
                <w:szCs w:val="20"/>
                <w:color w:val="auto"/>
              </w:rPr>
            </w:pPr>
            <w:r>
              <w:rPr>
                <w:rFonts w:ascii="Times New Roman" w:cs="Times New Roman" w:eastAsia="Times New Roman" w:hAnsi="Times New Roman"/>
                <w:sz w:val="16"/>
                <w:szCs w:val="16"/>
                <w:color w:val="auto"/>
              </w:rPr>
              <w:t>Suzanne A. Scrabis</w:t>
            </w:r>
            <w:r>
              <w:rPr>
                <w:rFonts w:ascii="Times New Roman" w:cs="Times New Roman" w:eastAsia="Times New Roman" w:hAnsi="Times New Roman"/>
                <w:sz w:val="26"/>
                <w:szCs w:val="26"/>
                <w:color w:val="auto"/>
                <w:vertAlign w:val="superscript"/>
              </w:rPr>
              <w:t>(7)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18,750</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98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Ezra T. Ernst</w:t>
            </w:r>
            <w:r>
              <w:rPr>
                <w:rFonts w:ascii="Times New Roman" w:cs="Times New Roman" w:eastAsia="Times New Roman" w:hAnsi="Times New Roman"/>
                <w:sz w:val="26"/>
                <w:szCs w:val="26"/>
                <w:color w:val="auto"/>
                <w:vertAlign w:val="superscript"/>
              </w:rPr>
              <w:t>(8)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79,463</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980" w:type="dxa"/>
            <w:vAlign w:val="bottom"/>
            <w:gridSpan w:val="2"/>
          </w:tcPr>
          <w:p>
            <w:pPr>
              <w:spacing w:after="0" w:line="232" w:lineRule="exact"/>
              <w:rPr>
                <w:sz w:val="20"/>
                <w:szCs w:val="20"/>
                <w:color w:val="auto"/>
              </w:rPr>
            </w:pPr>
            <w:r>
              <w:rPr>
                <w:rFonts w:ascii="Times New Roman" w:cs="Times New Roman" w:eastAsia="Times New Roman" w:hAnsi="Times New Roman"/>
                <w:sz w:val="16"/>
                <w:szCs w:val="16"/>
                <w:color w:val="auto"/>
              </w:rPr>
              <w:t>Bruce T. Bernstein</w:t>
            </w:r>
            <w:r>
              <w:rPr>
                <w:rFonts w:ascii="Times New Roman" w:cs="Times New Roman" w:eastAsia="Times New Roman" w:hAnsi="Times New Roman"/>
                <w:sz w:val="26"/>
                <w:szCs w:val="26"/>
                <w:color w:val="auto"/>
                <w:vertAlign w:val="superscript"/>
              </w:rPr>
              <w:t>(9)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298,569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3.32%</w:t>
            </w:r>
          </w:p>
        </w:tc>
      </w:tr>
      <w:tr>
        <w:trPr>
          <w:trHeight w:val="232"/>
        </w:trPr>
        <w:tc>
          <w:tcPr>
            <w:tcW w:w="398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Gaëlle Wizenberg</w:t>
            </w:r>
            <w:r>
              <w:rPr>
                <w:rFonts w:ascii="Times New Roman" w:cs="Times New Roman" w:eastAsia="Times New Roman" w:hAnsi="Times New Roman"/>
                <w:sz w:val="26"/>
                <w:szCs w:val="26"/>
                <w:color w:val="auto"/>
                <w:vertAlign w:val="superscript"/>
              </w:rPr>
              <w:t>(10)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137,192</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r>
      <w:tr>
        <w:trPr>
          <w:trHeight w:val="232"/>
        </w:trPr>
        <w:tc>
          <w:tcPr>
            <w:tcW w:w="3980" w:type="dxa"/>
            <w:vAlign w:val="bottom"/>
            <w:gridSpan w:val="2"/>
          </w:tcPr>
          <w:p>
            <w:pPr>
              <w:spacing w:after="0" w:line="232" w:lineRule="exact"/>
              <w:rPr>
                <w:sz w:val="20"/>
                <w:szCs w:val="20"/>
                <w:color w:val="auto"/>
              </w:rPr>
            </w:pPr>
            <w:r>
              <w:rPr>
                <w:rFonts w:ascii="Times New Roman" w:cs="Times New Roman" w:eastAsia="Times New Roman" w:hAnsi="Times New Roman"/>
                <w:sz w:val="16"/>
                <w:szCs w:val="16"/>
                <w:color w:val="auto"/>
              </w:rPr>
              <w:t>Robert Weinstein</w:t>
            </w:r>
            <w:r>
              <w:rPr>
                <w:rFonts w:ascii="Times New Roman" w:cs="Times New Roman" w:eastAsia="Times New Roman" w:hAnsi="Times New Roman"/>
                <w:sz w:val="26"/>
                <w:szCs w:val="26"/>
                <w:color w:val="auto"/>
                <w:vertAlign w:val="superscript"/>
              </w:rPr>
              <w:t>(11)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159,457</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w:t>
            </w:r>
          </w:p>
        </w:tc>
      </w:tr>
      <w:tr>
        <w:trPr>
          <w:trHeight w:val="232"/>
        </w:trPr>
        <w:tc>
          <w:tcPr>
            <w:tcW w:w="398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Michael Lebowitz</w:t>
            </w:r>
            <w:r>
              <w:rPr>
                <w:rFonts w:ascii="Times New Roman" w:cs="Times New Roman" w:eastAsia="Times New Roman" w:hAnsi="Times New Roman"/>
                <w:sz w:val="26"/>
                <w:szCs w:val="26"/>
                <w:color w:val="auto"/>
                <w:vertAlign w:val="superscript"/>
              </w:rPr>
              <w:t>(12)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160,049</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1.84%</w:t>
            </w:r>
          </w:p>
        </w:tc>
      </w:tr>
      <w:tr>
        <w:trPr>
          <w:trHeight w:val="232"/>
        </w:trPr>
        <w:tc>
          <w:tcPr>
            <w:tcW w:w="3980" w:type="dxa"/>
            <w:vAlign w:val="bottom"/>
            <w:gridSpan w:val="2"/>
          </w:tcPr>
          <w:p>
            <w:pPr>
              <w:spacing w:after="0" w:line="232" w:lineRule="exact"/>
              <w:rPr>
                <w:sz w:val="20"/>
                <w:szCs w:val="20"/>
                <w:color w:val="auto"/>
              </w:rPr>
            </w:pPr>
            <w:r>
              <w:rPr>
                <w:rFonts w:ascii="Times New Roman" w:cs="Times New Roman" w:eastAsia="Times New Roman" w:hAnsi="Times New Roman"/>
                <w:sz w:val="16"/>
                <w:szCs w:val="16"/>
                <w:color w:val="auto"/>
              </w:rPr>
              <w:t>Omar A. Haynes</w:t>
            </w:r>
            <w:r>
              <w:rPr>
                <w:rFonts w:ascii="Times New Roman" w:cs="Times New Roman" w:eastAsia="Times New Roman" w:hAnsi="Times New Roman"/>
                <w:sz w:val="26"/>
                <w:szCs w:val="26"/>
                <w:color w:val="auto"/>
                <w:vertAlign w:val="superscript"/>
              </w:rPr>
              <w:t>(13)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5,466</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398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All directors and executive officers as a group (6</w:t>
            </w: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49"/>
        </w:trPr>
        <w:tc>
          <w:tcPr>
            <w:tcW w:w="3980" w:type="dxa"/>
            <w:vAlign w:val="bottom"/>
            <w:gridSpan w:val="2"/>
            <w:shd w:val="clear" w:color="auto" w:fill="CCEEFF"/>
          </w:tcPr>
          <w:p>
            <w:pPr>
              <w:ind w:left="140"/>
              <w:spacing w:after="0" w:line="249" w:lineRule="exact"/>
              <w:rPr>
                <w:sz w:val="20"/>
                <w:szCs w:val="20"/>
                <w:color w:val="auto"/>
              </w:rPr>
            </w:pPr>
            <w:r>
              <w:rPr>
                <w:rFonts w:ascii="Times New Roman" w:cs="Times New Roman" w:eastAsia="Times New Roman" w:hAnsi="Times New Roman"/>
                <w:sz w:val="16"/>
                <w:szCs w:val="16"/>
                <w:b w:val="1"/>
                <w:bCs w:val="1"/>
                <w:color w:val="auto"/>
              </w:rPr>
              <w:t>persons)</w:t>
            </w:r>
            <w:r>
              <w:rPr>
                <w:rFonts w:ascii="Times New Roman" w:cs="Times New Roman" w:eastAsia="Times New Roman" w:hAnsi="Times New Roman"/>
                <w:sz w:val="27"/>
                <w:szCs w:val="27"/>
                <w:b w:val="1"/>
                <w:bCs w:val="1"/>
                <w:color w:val="auto"/>
                <w:vertAlign w:val="superscript"/>
              </w:rPr>
              <w:t>(14)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843,980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8.96%</w:t>
            </w:r>
          </w:p>
        </w:tc>
      </w:tr>
      <w:tr>
        <w:trPr>
          <w:trHeight w:val="586"/>
        </w:trPr>
        <w:tc>
          <w:tcPr>
            <w:tcW w:w="3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7" w:right="319" w:bottom="1440" w:gutter="0" w:footer="0" w:header="0"/>
        </w:sectPr>
      </w:pPr>
    </w:p>
    <w:bookmarkStart w:id="47" w:name="page48"/>
    <w:bookmarkEnd w:id="47"/>
    <w:p>
      <w:pPr>
        <w:ind w:left="462" w:hanging="462"/>
        <w:spacing w:after="0"/>
        <w:tabs>
          <w:tab w:leader="none" w:pos="46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07" w:lineRule="exact"/>
        <w:rPr>
          <w:sz w:val="20"/>
          <w:szCs w:val="20"/>
          <w:color w:val="auto"/>
        </w:rPr>
      </w:pPr>
    </w:p>
    <w:p>
      <w:pPr>
        <w:jc w:val="both"/>
        <w:ind w:left="222" w:right="20" w:hanging="222"/>
        <w:spacing w:after="0" w:line="272" w:lineRule="auto"/>
        <w:tabs>
          <w:tab w:leader="none" w:pos="22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set forth in the column “Number of Shares of Common stock Beneficially Owned” reflect the application of various limitations on the issuance of the Conversion Shares and Warrant Shares in the Certificate of Designations and the Warrants, respectively, including beneficial ownership limitations and limitations under the rules or regulations of Nasdaq.</w:t>
      </w:r>
    </w:p>
    <w:p>
      <w:pPr>
        <w:spacing w:after="0" w:line="156" w:lineRule="exact"/>
        <w:rPr>
          <w:rFonts w:ascii="Times New Roman" w:cs="Times New Roman" w:eastAsia="Times New Roman" w:hAnsi="Times New Roman"/>
          <w:sz w:val="16"/>
          <w:szCs w:val="16"/>
          <w:color w:val="auto"/>
        </w:rPr>
      </w:pPr>
    </w:p>
    <w:p>
      <w:pPr>
        <w:jc w:val="both"/>
        <w:ind w:left="222" w:right="2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total of 5,756,703 shares of our Common Stock are considered to be outstanding pursuant to SEC Rule 13d-3(d)(1) as of the Record Date and 4,000 shares of Preferred Stock are outstanding as of the Record Date, which such outstanding shares of Series G Preferred Stock as of the Record Date are entitled to an aggregate of approximately 287,259 votes, voting on an as-converted basis, pursuant to the terms of the Certificate of Designations.</w:t>
      </w:r>
    </w:p>
    <w:p>
      <w:pPr>
        <w:spacing w:after="0" w:line="156" w:lineRule="exact"/>
        <w:rPr>
          <w:rFonts w:ascii="Times New Roman" w:cs="Times New Roman" w:eastAsia="Times New Roman" w:hAnsi="Times New Roman"/>
          <w:sz w:val="16"/>
          <w:szCs w:val="16"/>
          <w:color w:val="auto"/>
        </w:rPr>
      </w:pPr>
    </w:p>
    <w:p>
      <w:pPr>
        <w:ind w:left="222" w:right="20" w:hanging="222"/>
        <w:spacing w:after="0" w:line="290" w:lineRule="auto"/>
        <w:tabs>
          <w:tab w:leader="none" w:pos="22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276,313 shares of Common Stock issuable upon the conversion of shares of Series G Preferred Stock and (ii) Warrants to purchase up to an aggregate of 1,854,947 shares of Common Stock. The shares of Series G Preferred Stock and the Warrants held by ICIG are subject to a 4.99% beneficial ownership blocker.</w:t>
      </w:r>
    </w:p>
    <w:p>
      <w:pPr>
        <w:spacing w:after="0" w:line="141" w:lineRule="exact"/>
        <w:rPr>
          <w:rFonts w:ascii="Times New Roman" w:cs="Times New Roman" w:eastAsia="Times New Roman" w:hAnsi="Times New Roman"/>
          <w:sz w:val="16"/>
          <w:szCs w:val="16"/>
          <w:color w:val="auto"/>
        </w:rPr>
      </w:pPr>
    </w:p>
    <w:p>
      <w:pPr>
        <w:jc w:val="both"/>
        <w:ind w:left="222"/>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are held directly by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p>
      <w:pPr>
        <w:spacing w:after="0" w:line="356" w:lineRule="exact"/>
        <w:rPr>
          <w:rFonts w:ascii="Times New Roman" w:cs="Times New Roman" w:eastAsia="Times New Roman" w:hAnsi="Times New Roman"/>
          <w:sz w:val="16"/>
          <w:szCs w:val="16"/>
          <w:color w:val="auto"/>
        </w:rPr>
      </w:pPr>
    </w:p>
    <w:p>
      <w:pPr>
        <w:jc w:val="both"/>
        <w:ind w:left="222" w:right="20" w:hanging="222"/>
        <w:spacing w:after="0" w:line="272" w:lineRule="auto"/>
        <w:tabs>
          <w:tab w:leader="none" w:pos="22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28,791 shares of Common Stock, (ii) 246,010 shares of Common Stock issuable upon the conversion of shares of Series G Preferred Stock and (iii) Warrants to purchase up to an aggregate of 818,850 shares of Common Stock. The shares of Series G Preferred Stock and the Warrants held by IMF are subject to a 4.99% beneficial ownership blocker.</w:t>
      </w:r>
    </w:p>
    <w:p>
      <w:pPr>
        <w:spacing w:after="0" w:line="156" w:lineRule="exact"/>
        <w:rPr>
          <w:rFonts w:ascii="Times New Roman" w:cs="Times New Roman" w:eastAsia="Times New Roman" w:hAnsi="Times New Roman"/>
          <w:sz w:val="16"/>
          <w:szCs w:val="16"/>
          <w:color w:val="auto"/>
        </w:rPr>
      </w:pPr>
    </w:p>
    <w:p>
      <w:pPr>
        <w:jc w:val="both"/>
        <w:ind w:left="222" w:right="2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are held directly by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p>
      <w:pPr>
        <w:spacing w:after="0" w:line="163" w:lineRule="exact"/>
        <w:rPr>
          <w:rFonts w:ascii="Times New Roman" w:cs="Times New Roman" w:eastAsia="Times New Roman" w:hAnsi="Times New Roman"/>
          <w:sz w:val="16"/>
          <w:szCs w:val="16"/>
          <w:color w:val="auto"/>
        </w:rPr>
      </w:pPr>
    </w:p>
    <w:p>
      <w:pPr>
        <w:ind w:left="222" w:hanging="222"/>
        <w:spacing w:after="0" w:line="290" w:lineRule="auto"/>
        <w:tabs>
          <w:tab w:leader="none" w:pos="22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contained in a Schedule 13G filed on August 9, 2024, by XWEL INV I, LLC. XWEL INV I, LLC’s address is 400 Park Avenue, 4th Floor, New York, New York 10022.</w:t>
      </w:r>
    </w:p>
    <w:p>
      <w:pPr>
        <w:spacing w:after="0" w:line="141" w:lineRule="exact"/>
        <w:rPr>
          <w:rFonts w:ascii="Times New Roman" w:cs="Times New Roman" w:eastAsia="Times New Roman" w:hAnsi="Times New Roman"/>
          <w:sz w:val="16"/>
          <w:szCs w:val="16"/>
          <w:color w:val="auto"/>
        </w:rPr>
      </w:pPr>
    </w:p>
    <w:p>
      <w:pPr>
        <w:ind w:left="222" w:right="20" w:hanging="222"/>
        <w:spacing w:after="0" w:line="290" w:lineRule="auto"/>
        <w:tabs>
          <w:tab w:leader="none" w:pos="22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contained in a Schedule 13D/A filed on August 13, 2024, by CPC Pain &amp; Wellness SPV, LLC (“CPC”). CPC’s address is 301 Edgewater Place, Suite 100 Wakefield, Massachusetts 01880.</w:t>
      </w:r>
    </w:p>
    <w:p>
      <w:pPr>
        <w:spacing w:after="0" w:line="141" w:lineRule="exact"/>
        <w:rPr>
          <w:rFonts w:ascii="Times New Roman" w:cs="Times New Roman" w:eastAsia="Times New Roman" w:hAnsi="Times New Roman"/>
          <w:sz w:val="16"/>
          <w:szCs w:val="16"/>
          <w:color w:val="auto"/>
        </w:rPr>
      </w:pPr>
    </w:p>
    <w:p>
      <w:pPr>
        <w:ind w:left="222" w:right="20" w:hanging="222"/>
        <w:spacing w:after="0" w:line="290" w:lineRule="auto"/>
        <w:tabs>
          <w:tab w:leader="none" w:pos="22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2,058 shares of Common Stock and vested options to purchase an aggregate of 58,602 shares of Common Stock, which are exercisable within 60 days of the Record Date.</w:t>
      </w:r>
    </w:p>
    <w:p>
      <w:pPr>
        <w:spacing w:after="0" w:line="141" w:lineRule="exact"/>
        <w:rPr>
          <w:rFonts w:ascii="Times New Roman" w:cs="Times New Roman" w:eastAsia="Times New Roman" w:hAnsi="Times New Roman"/>
          <w:sz w:val="16"/>
          <w:szCs w:val="16"/>
          <w:color w:val="auto"/>
        </w:rPr>
      </w:pPr>
    </w:p>
    <w:p>
      <w:pPr>
        <w:ind w:left="222" w:right="20" w:hanging="222"/>
        <w:spacing w:after="0" w:line="290" w:lineRule="auto"/>
        <w:tabs>
          <w:tab w:leader="none" w:pos="22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5,000 restricted stock units (“RSUs”) and vested options to purchase an aggregate of 13,750 shares of Common Stock, which are exercisable within 60 days of the Record Date.</w:t>
      </w:r>
    </w:p>
    <w:p>
      <w:pPr>
        <w:spacing w:after="0" w:line="141" w:lineRule="exact"/>
        <w:rPr>
          <w:rFonts w:ascii="Times New Roman" w:cs="Times New Roman" w:eastAsia="Times New Roman" w:hAnsi="Times New Roman"/>
          <w:sz w:val="16"/>
          <w:szCs w:val="16"/>
          <w:color w:val="auto"/>
        </w:rPr>
      </w:pPr>
    </w:p>
    <w:p>
      <w:pPr>
        <w:ind w:left="222" w:right="20" w:hanging="222"/>
        <w:spacing w:after="0" w:line="290" w:lineRule="auto"/>
        <w:tabs>
          <w:tab w:leader="none" w:pos="22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31,130 shares of Common Stock and vested options to purchase 48,333 shares of Common Stock, which are exercisable within 60 days of the Record Date.</w:t>
      </w: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319" w:right="319" w:bottom="1440" w:gutter="0" w:footer="0" w:header="0"/>
        </w:sectPr>
      </w:pPr>
    </w:p>
    <w:bookmarkStart w:id="48" w:name="page49"/>
    <w:bookmarkEnd w:id="48"/>
    <w:p>
      <w:pPr>
        <w:ind w:left="222" w:hanging="222"/>
        <w:spacing w:after="0" w:line="290" w:lineRule="auto"/>
        <w:tabs>
          <w:tab w:leader="none" w:pos="22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200,926 shares of Common Stock and vested options to purchase an aggregate of 97,643 shares of Common Stock, which are exercisable within 60 days of the Record Date.</w:t>
      </w:r>
    </w:p>
    <w:p>
      <w:pPr>
        <w:spacing w:after="0" w:line="141" w:lineRule="exact"/>
        <w:rPr>
          <w:rFonts w:ascii="Times New Roman" w:cs="Times New Roman" w:eastAsia="Times New Roman" w:hAnsi="Times New Roman"/>
          <w:sz w:val="16"/>
          <w:szCs w:val="16"/>
          <w:color w:val="auto"/>
        </w:rPr>
      </w:pPr>
    </w:p>
    <w:p>
      <w:pPr>
        <w:ind w:left="282" w:hanging="282"/>
        <w:spacing w:after="0" w:line="290" w:lineRule="auto"/>
        <w:tabs>
          <w:tab w:leader="none" w:pos="28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90,698 shares of Common Stock and vested options to purchase an aggregate of 46,494 shares of Common Stock, which are exercisable within 60 days of the Record Date.</w:t>
      </w:r>
    </w:p>
    <w:p>
      <w:pPr>
        <w:spacing w:after="0" w:line="141" w:lineRule="exact"/>
        <w:rPr>
          <w:rFonts w:ascii="Times New Roman" w:cs="Times New Roman" w:eastAsia="Times New Roman" w:hAnsi="Times New Roman"/>
          <w:sz w:val="16"/>
          <w:szCs w:val="16"/>
          <w:color w:val="auto"/>
        </w:rPr>
      </w:pPr>
    </w:p>
    <w:p>
      <w:pPr>
        <w:ind w:left="282" w:hanging="282"/>
        <w:spacing w:after="0" w:line="290" w:lineRule="auto"/>
        <w:tabs>
          <w:tab w:leader="none" w:pos="28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107,407 shares of Common Stock and vested options to purchase an aggregate of 52,050 shares of Common Stock, which are exercisable within 60 days of the Record Date.</w:t>
      </w:r>
    </w:p>
    <w:p>
      <w:pPr>
        <w:spacing w:after="0" w:line="141" w:lineRule="exact"/>
        <w:rPr>
          <w:rFonts w:ascii="Times New Roman" w:cs="Times New Roman" w:eastAsia="Times New Roman" w:hAnsi="Times New Roman"/>
          <w:sz w:val="16"/>
          <w:szCs w:val="16"/>
          <w:color w:val="auto"/>
        </w:rPr>
      </w:pPr>
    </w:p>
    <w:p>
      <w:pPr>
        <w:ind w:left="282" w:hanging="282"/>
        <w:spacing w:after="0" w:line="290" w:lineRule="auto"/>
        <w:tabs>
          <w:tab w:leader="none" w:pos="28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111,122 shares of Common Stock and vested options to purchase an aggregate of 48,927 shares of Common Stock, which are exercisable within 60 days of the Record Date.</w:t>
      </w:r>
    </w:p>
    <w:p>
      <w:pPr>
        <w:spacing w:after="0" w:line="141"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includes 5,466 RSUs.</w:t>
      </w:r>
    </w:p>
    <w:p>
      <w:pPr>
        <w:spacing w:after="0" w:line="206" w:lineRule="exact"/>
        <w:rPr>
          <w:rFonts w:ascii="Times New Roman" w:cs="Times New Roman" w:eastAsia="Times New Roman" w:hAnsi="Times New Roman"/>
          <w:sz w:val="16"/>
          <w:szCs w:val="16"/>
          <w:color w:val="auto"/>
        </w:rPr>
      </w:pPr>
    </w:p>
    <w:p>
      <w:pPr>
        <w:ind w:left="282" w:hanging="282"/>
        <w:spacing w:after="0" w:line="290" w:lineRule="auto"/>
        <w:tabs>
          <w:tab w:leader="none" w:pos="29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footnotes (6) through (13). Additionally reflects vested stock options to purchase up to an aggregate of 9,250 shares of Common Stock held by Thomas Ian Brown, who became Chief Financial Officer of the Company effective as of January 6, 2025.</w:t>
      </w: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31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6"/>
          <w:szCs w:val="16"/>
          <w:b w:val="1"/>
          <w:bCs w:val="1"/>
          <w:color w:val="auto"/>
        </w:rPr>
        <w:t>REPORT OF AUDIT COMMITTEE</w:t>
      </w:r>
    </w:p>
    <w:p>
      <w:pPr>
        <w:spacing w:after="0" w:line="2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 Audit Committee, which consists entirely of directors who meet the independence and experience requirements of the Nasdaq Capital Market, has furnished the following report:</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Times New Roman" w:cs="Times New Roman" w:eastAsia="Times New Roman" w:hAnsi="Times New Roman"/>
          <w:sz w:val="16"/>
          <w:szCs w:val="16"/>
          <w:i w:val="1"/>
          <w:iCs w:val="1"/>
          <w:color w:val="auto"/>
        </w:rPr>
        <w:t>www.xwell.com/corporate-governance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This Audit Committee reviews and reassesses our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2024, the Audit Committee took the following actions:</w:t>
      </w:r>
    </w:p>
    <w:p>
      <w:pPr>
        <w:spacing w:after="0" w:line="163" w:lineRule="exact"/>
        <w:rPr>
          <w:sz w:val="20"/>
          <w:szCs w:val="20"/>
          <w:color w:val="auto"/>
        </w:rPr>
      </w:pPr>
    </w:p>
    <w:p>
      <w:pPr>
        <w:ind w:left="580" w:hanging="289"/>
        <w:spacing w:after="0" w:line="290" w:lineRule="auto"/>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and discussed the audited financial statements for the fiscal year ended December 31, 2024, with management and Marcum, our independent registered public accounting firm;</w:t>
      </w:r>
    </w:p>
    <w:p>
      <w:pPr>
        <w:spacing w:after="0" w:line="141" w:lineRule="exact"/>
        <w:rPr>
          <w:rFonts w:ascii="Times New Roman" w:cs="Times New Roman" w:eastAsia="Times New Roman" w:hAnsi="Times New Roman"/>
          <w:sz w:val="16"/>
          <w:szCs w:val="16"/>
          <w:color w:val="auto"/>
        </w:rPr>
      </w:pPr>
    </w:p>
    <w:p>
      <w:pPr>
        <w:ind w:left="580" w:hanging="289"/>
        <w:spacing w:after="0" w:line="290" w:lineRule="auto"/>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Discussed with Marcum the matters required to be discussed by the applicable requirements of the Public Company Accounting Oversight Board (“PCAOB”) and the SEC; and</w:t>
      </w:r>
    </w:p>
    <w:p>
      <w:pPr>
        <w:spacing w:after="0" w:line="141" w:lineRule="exact"/>
        <w:rPr>
          <w:rFonts w:ascii="Times New Roman" w:cs="Times New Roman" w:eastAsia="Times New Roman" w:hAnsi="Times New Roman"/>
          <w:sz w:val="16"/>
          <w:szCs w:val="16"/>
          <w:color w:val="auto"/>
        </w:rPr>
      </w:pPr>
    </w:p>
    <w:p>
      <w:pPr>
        <w:jc w:val="both"/>
        <w:ind w:left="580" w:hanging="289"/>
        <w:spacing w:after="0" w:line="266" w:lineRule="auto"/>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written disclosures and the letter from Marcum regarding its independence as required by applicable requirements of the PCAOB regarding Marcum communications with the Audit Committee, and the Audit Committee further discussed with Marcum their independence. The Audit Committee also considered the status of pending litigation, taxation matters and other areas of oversight relating to the financial reporting and audit process that the committee determined appropriate.</w:t>
      </w:r>
    </w:p>
    <w:p>
      <w:pPr>
        <w:spacing w:after="0" w:line="16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Based on the Audit Committee’s review of the audited financial statements and discussions with management and Marcum, the Audit Committee recommended to the Board that the audited financial statements be included in our 2024 Annual Report, for filing with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Members of the Audit Committee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Weinstein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Bruce T. Bernstein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Gaëlle Wizenberg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0" w:name="page51"/>
    <w:bookmarkEnd w:id="50"/>
    <w:p>
      <w:pPr>
        <w:ind w:left="296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Person Transactions Approval Policy</w:t>
      </w:r>
    </w:p>
    <w:p>
      <w:pPr>
        <w:spacing w:after="0" w:line="2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Although we do not have a formal policy with regard to approving related party transactions, our Board may consider the following factors when deciding whether to approve a related party transaction: the nature of the related party’s interest in the transaction; the material terms of the transaction, including, but not limited to, the amount and type of the transaction; the importance of the transaction to the related party; whether the transaction would impair the judgment of a director or executive officer to act in our best interests; and any other matters deemed appropriate by our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Transactions with Related Persons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Since the beginning of the last fiscal year, there has not been any transaction, nor is there any currently proposed transaction, or series of similar transactions to which the Company was or is to be a party in which the amount involved exceeds the lower of $120,000 or one percent of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Stockholders may also consider and act upon such other matters as may properly come before the Annual Meeting. The Board knows of no other business which will be presented at the Annual Meeting and is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Exchange Act.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20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 xml:space="preserve">. You may also find our SEC filings in the “SEC Filings” section of the “Investors” section of our website at </w:t>
      </w:r>
      <w:r>
        <w:rPr>
          <w:rFonts w:ascii="Times New Roman" w:cs="Times New Roman" w:eastAsia="Times New Roman" w:hAnsi="Times New Roman"/>
          <w:sz w:val="16"/>
          <w:szCs w:val="16"/>
          <w:i w:val="1"/>
          <w:iCs w:val="1"/>
          <w:color w:val="auto"/>
        </w:rPr>
        <w:t>www.xwell.com</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DELIVERY OF DOCUMENTS TO STOCKHOLDERS SHARING AN ADDRESS</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If two or more stockholders share an address, we may send a single copy of the 2024 Annual Report, this Proxy Statement, the Notice of Internet Availability of Proxy Materials or other proxy materials, as applicable, to the shared address, unless we have received contrary instructions from one or more of such stockholders sharing the address. Additionally, we will promptly send a separate copy of the 2024 Annual Report, this Proxy Statement, or Notice of Internet Availability of Proxy Materials, as applicable,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1-888-490-5110. If any stockholders sharing an address receive multiple copies of the 2024 Annual Report, this Proxy Statement, the Notice of Internet Availability of Proxy Materials or other proxy materials, such stockholders may make such request to our Corporate Secretary at the same address or telephone number described above.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STOCKHOLDER COMMUNICATIONS</w:t>
      </w:r>
    </w:p>
    <w:p>
      <w:pPr>
        <w:spacing w:after="0" w:line="20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SUBMISSION OF STOCKHOLDER PROPOSALS AND DIRECTOR NOMINATIONS AT THE 2025 ANNUAL MEETING</w:t>
      </w:r>
    </w:p>
    <w:p>
      <w:pPr>
        <w:spacing w:after="0" w:line="20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A stockholder who intends to submit a proposal at the 2026 Annual Meeting to be included in the Company’s proxy statement and form of proxy for the 2026 Annual Meeting in accordance with Rule 14a-8 under the Exchange Act must submit the proposal no later than April 10, 2026, in writing to our corporate offices as follows, XWELL, Inc., 254 West 31st Street, 11th Floor, New York, New York 10001, Attention: Cara Soffer, General Counsel. Such proposal must comply with Rule 14a-8 under the Exchange Act.</w:t>
      </w:r>
    </w:p>
    <w:p>
      <w:pPr>
        <w:spacing w:after="0" w:line="3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In accordance with our Bylaws, a stockholder who intends to submit a proposal at the 2026 Annual Meeting outside of the process of Rule 14a-8 and not to be included in the Company’s proxy statement must follow the submission criteria and deadlines set forth in our Bylaws concerning stockholder proposals, including providing proper notice of the proposal in writing. In addition, a stockholder who intends to nominate a director for election to the Board at the 2026 Annual Meeting must follow the submission criteria and deadlines set forth in our Bylaws concerning stockholder proposals, including providing proper notice of the nomination in writing. Stockholder nominations for director and other proposals that are not to be included in the Company’s proxy statement must be received by our Corporate Secretary in writing at our corporate offices, as listed above, no earlier than June 18, 2026, and no later than July 18, 2026. Any such stockholder proposals or nominations for director must satisfy the requirements set forth in our Bylaws. Stockholders are also advised to review our Bylaws, which contain additional advance notice requirements, including requirements with respect to advance notice of stockholder proposals and director nominations. In addition to satisfying the requirements under our Bylaws, to comply with the universal proxy rules under the Exchange Act, any shareholder who intends to solicit proxies in support of director nominees other than the Company’s nominees must provide written notice that sets forth the information required by Rule 14a-19 under the Exchange Act no later than July 18, 2026.</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ANNEX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 of Board Classification Amendment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AMENDMENT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CERTIFICATE OF INCORPORATION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XWELL, INC.</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231F20"/>
        </w:rPr>
        <w:t>Pursuant to Section 242 of the General Corporation Law of the State of Delaware, XWELL, Inc., a corporation organized and existing under the laws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Delaware (the “</w:t>
      </w:r>
      <w:r>
        <w:rPr>
          <w:rFonts w:ascii="Times New Roman" w:cs="Times New Roman" w:eastAsia="Times New Roman" w:hAnsi="Times New Roman"/>
          <w:sz w:val="16"/>
          <w:szCs w:val="16"/>
          <w:u w:val="single" w:color="auto"/>
          <w:color w:val="231F20"/>
        </w:rPr>
        <w:t>Corporation</w:t>
      </w:r>
      <w:r>
        <w:rPr>
          <w:rFonts w:ascii="Times New Roman" w:cs="Times New Roman" w:eastAsia="Times New Roman" w:hAnsi="Times New Roman"/>
          <w:sz w:val="16"/>
          <w:szCs w:val="16"/>
          <w:color w:val="231F20"/>
        </w:rPr>
        <w:t>”), does hereby certify as follows:</w:t>
      </w:r>
    </w:p>
    <w:p>
      <w:pPr>
        <w:spacing w:after="0" w:line="191" w:lineRule="exact"/>
        <w:rPr>
          <w:sz w:val="20"/>
          <w:szCs w:val="20"/>
          <w:color w:val="auto"/>
        </w:rPr>
      </w:pPr>
    </w:p>
    <w:p>
      <w:pPr>
        <w:jc w:val="both"/>
        <w:ind w:right="20" w:firstLine="364"/>
        <w:spacing w:after="0" w:line="260" w:lineRule="auto"/>
        <w:tabs>
          <w:tab w:leader="none" w:pos="531"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 and was further amended by filing a Certificate of Amendment to Amended and Restated Certificate of Incorporation on September 26, 2023 (collectively, the “</w:t>
      </w:r>
      <w:r>
        <w:rPr>
          <w:rFonts w:ascii="Times New Roman" w:cs="Times New Roman" w:eastAsia="Times New Roman" w:hAnsi="Times New Roman"/>
          <w:sz w:val="16"/>
          <w:szCs w:val="16"/>
          <w:u w:val="single" w:color="auto"/>
          <w:color w:val="231F20"/>
        </w:rPr>
        <w:t>Amended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u w:val="single" w:color="auto"/>
          <w:color w:val="231F20"/>
        </w:rPr>
        <w:t>Restated Certificate of Incorporation</w:t>
      </w:r>
      <w:r>
        <w:rPr>
          <w:rFonts w:ascii="Times New Roman" w:cs="Times New Roman" w:eastAsia="Times New Roman" w:hAnsi="Times New Roman"/>
          <w:sz w:val="16"/>
          <w:szCs w:val="16"/>
          <w:color w:val="231F20"/>
        </w:rPr>
        <w:t>”).</w:t>
      </w:r>
    </w:p>
    <w:p>
      <w:pPr>
        <w:spacing w:after="0" w:line="168" w:lineRule="exact"/>
        <w:rPr>
          <w:rFonts w:ascii="Times New Roman" w:cs="Times New Roman" w:eastAsia="Times New Roman" w:hAnsi="Times New Roman"/>
          <w:sz w:val="16"/>
          <w:szCs w:val="16"/>
          <w:color w:val="231F20"/>
        </w:rPr>
      </w:pPr>
    </w:p>
    <w:p>
      <w:pPr>
        <w:jc w:val="both"/>
        <w:ind w:right="20" w:firstLine="364"/>
        <w:spacing w:after="0" w:line="266" w:lineRule="auto"/>
        <w:tabs>
          <w:tab w:leader="none" w:pos="537"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(the “</w:t>
      </w:r>
      <w:r>
        <w:rPr>
          <w:rFonts w:ascii="Times New Roman" w:cs="Times New Roman" w:eastAsia="Times New Roman" w:hAnsi="Times New Roman"/>
          <w:sz w:val="16"/>
          <w:szCs w:val="16"/>
          <w:u w:val="single" w:color="auto"/>
          <w:color w:val="231F20"/>
        </w:rPr>
        <w:t>Certificate of Amendment</w:t>
      </w:r>
      <w:r>
        <w:rPr>
          <w:rFonts w:ascii="Times New Roman" w:cs="Times New Roman" w:eastAsia="Times New Roman" w:hAnsi="Times New Roman"/>
          <w:sz w:val="16"/>
          <w:szCs w:val="16"/>
          <w:color w:val="231F20"/>
        </w:rPr>
        <w:t>”) to be advisable. The requisite stockholders of the Corporation have duly approved said proposed amendment in accordance with Section 242 of the General Corporation Law of the State of Delaware.</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231F20"/>
        </w:rPr>
        <w:t>Article V of the Corporation’s Amended and Restated Certificate of Incorporation is hereby amended by adding the following Section 4 thereto:</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  </w:t>
      </w:r>
      <w:r>
        <w:rPr>
          <w:rFonts w:ascii="Times New Roman" w:cs="Times New Roman" w:eastAsia="Times New Roman" w:hAnsi="Times New Roman"/>
          <w:sz w:val="16"/>
          <w:szCs w:val="16"/>
          <w:b w:val="1"/>
          <w:bCs w:val="1"/>
          <w:u w:val="single" w:color="auto"/>
          <w:color w:val="auto"/>
        </w:rPr>
        <w:t>Classification of Board of Directors</w:t>
      </w:r>
      <w:r>
        <w:rPr>
          <w:rFonts w:ascii="Times New Roman" w:cs="Times New Roman" w:eastAsia="Times New Roman" w:hAnsi="Times New Roman"/>
          <w:sz w:val="16"/>
          <w:szCs w:val="16"/>
          <w:color w:val="auto"/>
        </w:rPr>
        <w:t>.</w:t>
      </w:r>
    </w:p>
    <w:p>
      <w:pPr>
        <w:spacing w:after="0" w:line="209" w:lineRule="exact"/>
        <w:rPr>
          <w:sz w:val="20"/>
          <w:szCs w:val="20"/>
          <w:color w:val="auto"/>
        </w:rPr>
      </w:pPr>
    </w:p>
    <w:p>
      <w:pPr>
        <w:jc w:val="both"/>
        <w:ind w:left="360"/>
        <w:spacing w:after="0" w:line="260" w:lineRule="auto"/>
        <w:rPr>
          <w:sz w:val="20"/>
          <w:szCs w:val="20"/>
          <w:color w:val="auto"/>
        </w:rPr>
      </w:pPr>
      <w:r>
        <w:rPr>
          <w:rFonts w:ascii="Times New Roman" w:cs="Times New Roman" w:eastAsia="Times New Roman" w:hAnsi="Times New Roman"/>
          <w:sz w:val="16"/>
          <w:szCs w:val="16"/>
          <w:color w:val="auto"/>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This Certificate of Amendment shall be effective on [●], 2025 at 5:00 Eastern Time.</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Corporation has caused this Certificate of Amendment to be signed by its Chief Executive Officer on this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45655" cy="123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5655" cy="12382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sz w:val="1"/>
          <w:szCs w:val="1"/>
          <w:color w:val="auto"/>
        </w:rPr>
        <w:drawing>
          <wp:inline distT="0" distB="0" distL="0" distR="0">
            <wp:extent cx="3576320" cy="255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76320" cy="255905"/>
                    </a:xfrm>
                    <a:prstGeom prst="rect">
                      <a:avLst/>
                    </a:prstGeom>
                    <a:noFill/>
                    <a:ln>
                      <a:noFill/>
                    </a:ln>
                  </pic:spPr>
                </pic:pic>
              </a:graphicData>
            </a:graphic>
          </wp:inline>
        </w:drawing>
      </w:r>
      <w:r>
        <w:rPr>
          <w:rFonts w:ascii="Times New Roman" w:cs="Times New Roman" w:eastAsia="Times New Roman" w:hAnsi="Times New Roman"/>
          <w:sz w:val="16"/>
          <w:szCs w:val="16"/>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-131445</wp:posOffset>
            </wp:positionV>
            <wp:extent cx="7145655" cy="255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5655" cy="25590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ANNEX B</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 of Bylaws Amendment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D0D0D"/>
        </w:rPr>
        <w:t xml:space="preserve">AMENDMENT TO THE THIRD </w:t>
      </w:r>
      <w:r>
        <w:rPr>
          <w:rFonts w:ascii="Times New Roman" w:cs="Times New Roman" w:eastAsia="Times New Roman" w:hAnsi="Times New Roman"/>
          <w:sz w:val="16"/>
          <w:szCs w:val="16"/>
          <w:b w:val="1"/>
          <w:bCs w:val="1"/>
          <w:color w:val="000000"/>
        </w:rPr>
        <w:t>AMENDED AND RESTATED</w:t>
      </w:r>
      <w:r>
        <w:rPr>
          <w:rFonts w:ascii="Times New Roman" w:cs="Times New Roman" w:eastAsia="Times New Roman" w:hAnsi="Times New Roman"/>
          <w:sz w:val="16"/>
          <w:szCs w:val="16"/>
          <w:b w:val="1"/>
          <w:bCs w:val="1"/>
          <w:color w:val="0D0D0D"/>
        </w:rPr>
        <w:t xml:space="preserve"> BYLAWS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D0D0D"/>
        </w:rPr>
        <w:t>OF XWELL, INC.</w:t>
      </w:r>
    </w:p>
    <w:p>
      <w:pPr>
        <w:spacing w:after="0" w:line="191" w:lineRule="exact"/>
        <w:rPr>
          <w:sz w:val="20"/>
          <w:szCs w:val="20"/>
          <w:color w:val="auto"/>
        </w:rPr>
      </w:pPr>
    </w:p>
    <w:p>
      <w:pPr>
        <w:jc w:val="both"/>
        <w:ind w:firstLine="586"/>
        <w:spacing w:after="0" w:line="272" w:lineRule="auto"/>
        <w:rPr>
          <w:sz w:val="20"/>
          <w:szCs w:val="20"/>
          <w:color w:val="auto"/>
        </w:rPr>
      </w:pPr>
      <w:r>
        <w:rPr>
          <w:rFonts w:ascii="Times New Roman" w:cs="Times New Roman" w:eastAsia="Times New Roman" w:hAnsi="Times New Roman"/>
          <w:sz w:val="16"/>
          <w:szCs w:val="16"/>
          <w:color w:val="auto"/>
        </w:rPr>
        <w:t>Pursuant to Article VII, Section 1 of the of the Amended and Restated Certificate of Incorporation of XWELL,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Article X of the Third Amended and Restated Bylaws of the Company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and Section 109 of the General Corporation Law of the State of Delaware, on the date hereof, the Bylaws of the Company are hereby amended as follows: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Section 2.3, Election, Qualification and Term of Office of Directors is hereby amended by adding the following paragraph:</w:t>
      </w:r>
    </w:p>
    <w:p>
      <w:pPr>
        <w:spacing w:after="0" w:line="207" w:lineRule="exact"/>
        <w:rPr>
          <w:sz w:val="20"/>
          <w:szCs w:val="20"/>
          <w:color w:val="auto"/>
        </w:rPr>
      </w:pPr>
    </w:p>
    <w:p>
      <w:pPr>
        <w:jc w:val="both"/>
        <w:ind w:left="580" w:right="580"/>
        <w:spacing w:after="0" w:line="259" w:lineRule="auto"/>
        <w:rPr>
          <w:sz w:val="20"/>
          <w:szCs w:val="20"/>
          <w:color w:val="auto"/>
        </w:rPr>
      </w:pPr>
      <w:r>
        <w:rPr>
          <w:rFonts w:ascii="Times New Roman" w:cs="Times New Roman" w:eastAsia="Times New Roman" w:hAnsi="Times New Roman"/>
          <w:sz w:val="16"/>
          <w:szCs w:val="16"/>
          <w:color w:val="auto"/>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this amendment to the Bylaws of the Company is executed on [●],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45655" cy="380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655" cy="38036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Ezra T. Ernst</w:t>
      </w:r>
    </w:p>
    <w:p>
      <w:pPr>
        <w:spacing w:after="0" w:line="2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ANNEX 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 of Reverse Stock Split Amendment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INCORPORATION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XWELL, INC.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242 of the General Corporation Law of the State of Delaware, XWELL, Inc., a corporation organized and existing under the laws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 (the “Corporation”), does hereby certify as follows:</w:t>
      </w:r>
    </w:p>
    <w:p>
      <w:pPr>
        <w:spacing w:after="0" w:line="191" w:lineRule="exact"/>
        <w:rPr>
          <w:sz w:val="20"/>
          <w:szCs w:val="20"/>
          <w:color w:val="auto"/>
        </w:rPr>
      </w:pPr>
    </w:p>
    <w:p>
      <w:pPr>
        <w:jc w:val="both"/>
        <w:ind w:right="20" w:firstLine="584"/>
        <w:spacing w:after="0" w:line="263" w:lineRule="auto"/>
        <w:tabs>
          <w:tab w:leader="none" w:pos="75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w:t>
      </w:r>
    </w:p>
    <w:p>
      <w:pPr>
        <w:spacing w:after="0" w:line="164" w:lineRule="exact"/>
        <w:rPr>
          <w:rFonts w:ascii="Times New Roman" w:cs="Times New Roman" w:eastAsia="Times New Roman" w:hAnsi="Times New Roman"/>
          <w:sz w:val="16"/>
          <w:szCs w:val="16"/>
          <w:color w:val="auto"/>
        </w:rPr>
      </w:pPr>
    </w:p>
    <w:p>
      <w:pPr>
        <w:jc w:val="both"/>
        <w:ind w:right="20" w:firstLine="584"/>
        <w:spacing w:after="0" w:line="266" w:lineRule="auto"/>
        <w:tabs>
          <w:tab w:leader="none" w:pos="76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61" w:lineRule="exact"/>
        <w:rPr>
          <w:rFonts w:ascii="Times New Roman" w:cs="Times New Roman" w:eastAsia="Times New Roman" w:hAnsi="Times New Roman"/>
          <w:sz w:val="16"/>
          <w:szCs w:val="16"/>
          <w:color w:val="auto"/>
        </w:rPr>
      </w:pPr>
    </w:p>
    <w:p>
      <w:pPr>
        <w:ind w:left="740" w:hanging="156"/>
        <w:spacing w:after="0"/>
        <w:tabs>
          <w:tab w:leader="none" w:pos="7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Article IV of the Corporation’s Amended and Restated Certificate of Incorporation is hereby amended and restated in its entirety:</w:t>
      </w:r>
    </w:p>
    <w:p>
      <w:pPr>
        <w:spacing w:after="0" w:line="207"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6"/>
          <w:szCs w:val="16"/>
          <w:color w:val="auto"/>
        </w:rPr>
        <w:t>“4. Upon the effectiveness of the filing of this Certificate of Amendment (the “Effective Time”) each share of the Corporation’s common stock, $0.01 par value per share (the “Old Common Stock”), either issued or outstanding or held by the Corporation as treasury stock, immediately prior to the Effective Time, will be automatically reclassified and combined (without any further act) into a smaller number of shares such that each [●] shares of Old Common Stock issued and outstanding or held by the Company as treasury stock immediately prior to the Effective Time is reclassified into one share of Common Stock, $0.01 par value per share, of the Corporation (the “New Common Stock”), the exact ratio within such range to be determined by the board of directors of the Corporation prior to the Effective Time and publicly announced by the Corporation (the “Reverse Stock Split”). The Board of Directors shall make provision for the issuance of that number of fractions of New Common Stock such that any fractional share of a holder otherwise resulting from the Reverse Stock Split shall be rounded up to the next whole number of shares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plus the fraction, if any, of a share of New Common Stock issued as aforesaid.</w:t>
      </w:r>
    </w:p>
    <w:p>
      <w:pPr>
        <w:spacing w:after="0" w:line="368" w:lineRule="exact"/>
        <w:rPr>
          <w:sz w:val="20"/>
          <w:szCs w:val="20"/>
          <w:color w:val="auto"/>
        </w:rPr>
      </w:pPr>
    </w:p>
    <w:p>
      <w:pPr>
        <w:jc w:val="both"/>
        <w:ind w:firstLine="584"/>
        <w:spacing w:after="0" w:line="260" w:lineRule="auto"/>
        <w:tabs>
          <w:tab w:leader="none" w:pos="76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immediately preceding sentence, no fractional shares shall be issued as a result of the reverse stock split. Instead, any stockholder who would otherwise be entitled to a fractional share of Common Stock as a result of the reclassification shall be entitled to receive a cash payment equal to the product of such resulting fractional interest in one share of Common Stock multiplied by the closing trading price of Common Stock on the Nasdaq Capital Market on the trading day immediately following the Effective Time.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55" w:name="page56"/>
    <w:bookmarkEnd w:id="55"/>
    <w:p>
      <w:pPr>
        <w:jc w:val="both"/>
        <w:ind w:firstLine="584"/>
        <w:spacing w:after="0" w:line="260" w:lineRule="auto"/>
        <w:tabs>
          <w:tab w:leader="none" w:pos="75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Certificate of Amendment shall be effective on [●] at [●] Eastern Time.</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Corporation has caused this Certificate of Amendment to be signed by its Chief Executive Officer on this [●] day of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45655" cy="3803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655" cy="38036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Ezra T. Ernst</w:t>
      </w:r>
    </w:p>
    <w:p>
      <w:pPr>
        <w:spacing w:after="0" w:line="2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399415</wp:posOffset>
            </wp:positionV>
            <wp:extent cx="7145655" cy="8867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65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8867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655" cy="8867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6"/>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6"/>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endash "/>
      <w:numFmt w:val="bullet"/>
      <w:start w:val="1"/>
    </w:lvl>
  </w:abstractNum>
  <w:abstractNum w:abstractNumId="12">
    <w:nsid w:val="79838CB2"/>
    <w:multiLevelType w:val="hybridMultilevel"/>
    <w:lvl w:ilvl="0">
      <w:lvlJc w:val="left"/>
      <w:lvlText w:val="\endash "/>
      <w:numFmt w:val="bullet"/>
      <w:start w:val="1"/>
    </w:lvl>
  </w:abstractNum>
  <w:abstractNum w:abstractNumId="13">
    <w:nsid w:val="4353D0CD"/>
    <w:multiLevelType w:val="hybridMultilevel"/>
    <w:lvl w:ilvl="0">
      <w:lvlJc w:val="left"/>
      <w:lvlText w:val="\endash "/>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o"/>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9"/>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4"/>
    </w:lvl>
  </w:abstractNum>
  <w:abstractNum w:abstractNumId="36">
    <w:nsid w:val="77465F0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2025-08-08T07:05:10Z</dcterms:created>
  <dcterms:modified xsi:type="dcterms:W3CDTF">2025-08-08T07:05:10Z</dcterms:modified>
</cp:coreProperties>
</file>