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1"/>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80" w:type="dxa"/>
            <w:vAlign w:val="bottom"/>
            <w:gridSpan w:val="8"/>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4"/>
            <w:vMerge w:val="restart"/>
          </w:tcPr>
          <w:p>
            <w:pPr>
              <w:ind w:left="20"/>
              <w:spacing w:after="0"/>
              <w:rPr>
                <w:sz w:val="20"/>
                <w:szCs w:val="20"/>
                <w:color w:val="auto"/>
              </w:rPr>
            </w:pPr>
            <w:r>
              <w:rPr>
                <w:rFonts w:ascii="Arial" w:cs="Arial" w:eastAsia="Arial" w:hAnsi="Arial"/>
                <w:sz w:val="14"/>
                <w:szCs w:val="14"/>
                <w:color w:val="auto"/>
              </w:rPr>
              <w:t>(Check all applicable)</w:t>
            </w: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5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11"/>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5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7"/>
          </w:tcPr>
          <w:p>
            <w:pPr>
              <w:ind w:left="160"/>
              <w:spacing w:after="0"/>
              <w:rPr>
                <w:sz w:val="20"/>
                <w:szCs w:val="20"/>
                <w:color w:val="auto"/>
              </w:rPr>
            </w:pPr>
            <w:r>
              <w:rPr>
                <w:rFonts w:ascii="Arial" w:cs="Arial" w:eastAsia="Arial" w:hAnsi="Arial"/>
                <w:sz w:val="18"/>
                <w:szCs w:val="18"/>
                <w:color w:val="0000FF"/>
                <w:w w:val="99"/>
              </w:rPr>
              <w:t>12/19/2011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gridSpan w:val="13"/>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80" w:type="dxa"/>
            <w:vAlign w:val="bottom"/>
            <w:gridSpan w:val="8"/>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gridSpan w:val="13"/>
            <w:vMerge w:val="continue"/>
          </w:tcPr>
          <w:p>
            <w:pPr>
              <w:spacing w:after="0"/>
              <w:rPr>
                <w:sz w:val="13"/>
                <w:szCs w:val="13"/>
                <w:color w:val="auto"/>
              </w:rPr>
            </w:pPr>
          </w:p>
        </w:tc>
        <w:tc>
          <w:tcPr>
            <w:tcW w:w="33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ind w:left="20"/>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6"/>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NY</w:t>
            </w: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20" w:type="dxa"/>
            <w:vAlign w:val="bottom"/>
            <w:gridSpan w:val="6"/>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3"/>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240" w:type="dxa"/>
            <w:vAlign w:val="bottom"/>
            <w:gridSpan w:val="2"/>
          </w:tcPr>
          <w:p>
            <w:pPr>
              <w:jc w:val="center"/>
              <w:ind w:left="219"/>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jc w:val="center"/>
              <w:ind w:left="179"/>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2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240" w:type="dxa"/>
            <w:vAlign w:val="bottom"/>
            <w:gridSpan w:val="2"/>
          </w:tcPr>
          <w:p>
            <w:pPr>
              <w:jc w:val="center"/>
              <w:ind w:left="259"/>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8"/>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8"/>
                <w:szCs w:val="8"/>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7"/>
              </w:rPr>
              <w:t>(Instr. 3 and 4)</w:t>
            </w: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8"/>
                <w:szCs w:val="18"/>
                <w:color w:val="0000FF"/>
                <w:w w:val="90"/>
              </w:rPr>
              <w:t>12/19/2011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Pr>
          <w:p>
            <w:pPr>
              <w:spacing w:after="0"/>
              <w:rPr>
                <w:sz w:val="22"/>
                <w:szCs w:val="22"/>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color w:val="0000FF"/>
              </w:rPr>
              <w:t>3,200</w:t>
            </w:r>
          </w:p>
        </w:tc>
        <w:tc>
          <w:tcPr>
            <w:tcW w:w="400" w:type="dxa"/>
            <w:vAlign w:val="bottom"/>
            <w:vMerge w:val="restart"/>
          </w:tcPr>
          <w:p>
            <w:pPr>
              <w:jc w:val="center"/>
              <w:ind w:left="6"/>
              <w:spacing w:after="0"/>
              <w:rPr>
                <w:sz w:val="20"/>
                <w:szCs w:val="20"/>
                <w:color w:val="auto"/>
              </w:rPr>
            </w:pPr>
            <w:r>
              <w:rPr>
                <w:rFonts w:ascii="Arial" w:cs="Arial" w:eastAsia="Arial" w:hAnsi="Arial"/>
                <w:sz w:val="18"/>
                <w:szCs w:val="18"/>
                <w:color w:val="0000FF"/>
                <w:w w:val="91"/>
              </w:rPr>
              <w:t>D</w:t>
            </w:r>
          </w:p>
        </w:tc>
        <w:tc>
          <w:tcPr>
            <w:tcW w:w="860" w:type="dxa"/>
            <w:vAlign w:val="bottom"/>
            <w:vMerge w:val="restart"/>
          </w:tcPr>
          <w:p>
            <w:pPr>
              <w:ind w:left="14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1.1197</w:t>
            </w:r>
            <w:r>
              <w:rPr>
                <w:rFonts w:ascii="Arial" w:cs="Arial" w:eastAsia="Arial" w:hAnsi="Arial"/>
                <w:sz w:val="22"/>
                <w:szCs w:val="22"/>
                <w:color w:val="008000"/>
                <w:w w:val="84"/>
                <w:vertAlign w:val="superscript"/>
              </w:rPr>
              <w:t>(4)</w:t>
            </w:r>
          </w:p>
        </w:tc>
        <w:tc>
          <w:tcPr>
            <w:tcW w:w="60" w:type="dxa"/>
            <w:vAlign w:val="bottom"/>
          </w:tcPr>
          <w:p>
            <w:pPr>
              <w:spacing w:after="0"/>
              <w:rPr>
                <w:sz w:val="22"/>
                <w:szCs w:val="22"/>
                <w:color w:val="auto"/>
              </w:rPr>
            </w:pPr>
          </w:p>
        </w:tc>
        <w:tc>
          <w:tcPr>
            <w:tcW w:w="1620" w:type="dxa"/>
            <w:vAlign w:val="bottom"/>
            <w:gridSpan w:val="4"/>
            <w:vMerge w:val="restart"/>
          </w:tcPr>
          <w:p>
            <w:pPr>
              <w:ind w:left="120"/>
              <w:spacing w:after="0"/>
              <w:rPr>
                <w:sz w:val="20"/>
                <w:szCs w:val="20"/>
                <w:color w:val="auto"/>
              </w:rPr>
            </w:pPr>
            <w:r>
              <w:rPr>
                <w:rFonts w:ascii="Arial" w:cs="Arial" w:eastAsia="Arial" w:hAnsi="Arial"/>
                <w:sz w:val="35"/>
                <w:szCs w:val="35"/>
                <w:color w:val="0000FF"/>
                <w:vertAlign w:val="subscript"/>
              </w:rPr>
              <w:t>898,003</w:t>
            </w:r>
            <w:r>
              <w:rPr>
                <w:rFonts w:ascii="Arial" w:cs="Arial" w:eastAsia="Arial" w:hAnsi="Arial"/>
                <w:sz w:val="11"/>
                <w:szCs w:val="11"/>
                <w:color w:val="008000"/>
              </w:rPr>
              <w:t>(1)(2)(3)</w:t>
            </w:r>
          </w:p>
        </w:tc>
        <w:tc>
          <w:tcPr>
            <w:tcW w:w="520" w:type="dxa"/>
            <w:vAlign w:val="bottom"/>
            <w:vMerge w:val="restart"/>
          </w:tcPr>
          <w:p>
            <w:pPr>
              <w:jc w:val="center"/>
              <w:ind w:right="349"/>
              <w:spacing w:after="0"/>
              <w:rPr>
                <w:sz w:val="20"/>
                <w:szCs w:val="20"/>
                <w:color w:val="auto"/>
              </w:rPr>
            </w:pPr>
            <w:r>
              <w:rPr>
                <w:rFonts w:ascii="Arial" w:cs="Arial" w:eastAsia="Arial" w:hAnsi="Arial"/>
                <w:sz w:val="18"/>
                <w:szCs w:val="18"/>
                <w:color w:val="0000FF"/>
              </w:rPr>
              <w:t>I</w:t>
            </w:r>
          </w:p>
        </w:tc>
        <w:tc>
          <w:tcPr>
            <w:tcW w:w="480" w:type="dxa"/>
            <w:vAlign w:val="bottom"/>
          </w:tcPr>
          <w:p>
            <w:pPr>
              <w:ind w:left="60"/>
              <w:spacing w:after="0"/>
              <w:rPr>
                <w:sz w:val="20"/>
                <w:szCs w:val="20"/>
                <w:color w:val="auto"/>
              </w:rPr>
            </w:pPr>
            <w:r>
              <w:rPr>
                <w:rFonts w:ascii="Arial" w:cs="Arial" w:eastAsia="Arial" w:hAnsi="Arial"/>
                <w:sz w:val="18"/>
                <w:szCs w:val="18"/>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90"/>
              </w:rPr>
              <w:t>12/20/2011</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right"/>
              <w:ind w:right="130"/>
              <w:spacing w:after="0"/>
              <w:rPr>
                <w:sz w:val="20"/>
                <w:szCs w:val="20"/>
                <w:color w:val="auto"/>
              </w:rPr>
            </w:pPr>
            <w:r>
              <w:rPr>
                <w:rFonts w:ascii="Arial" w:cs="Arial" w:eastAsia="Arial" w:hAnsi="Arial"/>
                <w:sz w:val="18"/>
                <w:szCs w:val="18"/>
                <w:color w:val="0000FF"/>
              </w:rPr>
              <w:t>4,200</w:t>
            </w:r>
          </w:p>
        </w:tc>
        <w:tc>
          <w:tcPr>
            <w:tcW w:w="400" w:type="dxa"/>
            <w:vAlign w:val="bottom"/>
            <w:tcBorders>
              <w:top w:val="single" w:sz="8" w:color="2C2C2C"/>
            </w:tcBorders>
            <w:vMerge w:val="restart"/>
          </w:tcPr>
          <w:p>
            <w:pPr>
              <w:jc w:val="center"/>
              <w:ind w:left="6"/>
              <w:spacing w:after="0"/>
              <w:rPr>
                <w:sz w:val="20"/>
                <w:szCs w:val="20"/>
                <w:color w:val="auto"/>
              </w:rPr>
            </w:pPr>
            <w:r>
              <w:rPr>
                <w:rFonts w:ascii="Arial" w:cs="Arial" w:eastAsia="Arial" w:hAnsi="Arial"/>
                <w:sz w:val="18"/>
                <w:szCs w:val="18"/>
                <w:color w:val="0000FF"/>
                <w:w w:val="91"/>
              </w:rPr>
              <w:t>D</w:t>
            </w:r>
          </w:p>
        </w:tc>
        <w:tc>
          <w:tcPr>
            <w:tcW w:w="8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1.1042</w:t>
            </w:r>
            <w:r>
              <w:rPr>
                <w:rFonts w:ascii="Arial" w:cs="Arial" w:eastAsia="Arial" w:hAnsi="Arial"/>
                <w:sz w:val="22"/>
                <w:szCs w:val="22"/>
                <w:color w:val="008000"/>
                <w:w w:val="84"/>
                <w:vertAlign w:val="superscript"/>
              </w:rPr>
              <w:t>(5)</w:t>
            </w:r>
          </w:p>
        </w:tc>
        <w:tc>
          <w:tcPr>
            <w:tcW w:w="60" w:type="dxa"/>
            <w:vAlign w:val="bottom"/>
            <w:tcBorders>
              <w:top w:val="single" w:sz="8" w:color="2C2C2C"/>
            </w:tcBorders>
          </w:tcPr>
          <w:p>
            <w:pPr>
              <w:spacing w:after="0"/>
              <w:rPr>
                <w:sz w:val="22"/>
                <w:szCs w:val="22"/>
                <w:color w:val="auto"/>
              </w:rPr>
            </w:pPr>
          </w:p>
        </w:tc>
        <w:tc>
          <w:tcPr>
            <w:tcW w:w="1620" w:type="dxa"/>
            <w:vAlign w:val="bottom"/>
            <w:tcBorders>
              <w:top w:val="single" w:sz="8" w:color="2C2C2C"/>
            </w:tcBorders>
            <w:gridSpan w:val="4"/>
            <w:vMerge w:val="restart"/>
          </w:tcPr>
          <w:p>
            <w:pPr>
              <w:ind w:left="120"/>
              <w:spacing w:after="0"/>
              <w:rPr>
                <w:sz w:val="20"/>
                <w:szCs w:val="20"/>
                <w:color w:val="auto"/>
              </w:rPr>
            </w:pPr>
            <w:r>
              <w:rPr>
                <w:rFonts w:ascii="Arial" w:cs="Arial" w:eastAsia="Arial" w:hAnsi="Arial"/>
                <w:sz w:val="35"/>
                <w:szCs w:val="35"/>
                <w:color w:val="0000FF"/>
                <w:vertAlign w:val="subscript"/>
              </w:rPr>
              <w:t>893,803</w:t>
            </w:r>
            <w:r>
              <w:rPr>
                <w:rFonts w:ascii="Arial" w:cs="Arial" w:eastAsia="Arial" w:hAnsi="Arial"/>
                <w:sz w:val="11"/>
                <w:szCs w:val="11"/>
                <w:color w:val="008000"/>
              </w:rPr>
              <w:t>(1)(2)(3)</w:t>
            </w:r>
          </w:p>
        </w:tc>
        <w:tc>
          <w:tcPr>
            <w:tcW w:w="520" w:type="dxa"/>
            <w:vAlign w:val="bottom"/>
            <w:tcBorders>
              <w:top w:val="single" w:sz="8" w:color="2C2C2C"/>
            </w:tcBorders>
            <w:vMerge w:val="restart"/>
          </w:tcPr>
          <w:p>
            <w:pPr>
              <w:jc w:val="center"/>
              <w:ind w:right="349"/>
              <w:spacing w:after="0"/>
              <w:rPr>
                <w:sz w:val="20"/>
                <w:szCs w:val="20"/>
                <w:color w:val="auto"/>
              </w:rPr>
            </w:pPr>
            <w:r>
              <w:rPr>
                <w:rFonts w:ascii="Arial" w:cs="Arial" w:eastAsia="Arial" w:hAnsi="Arial"/>
                <w:sz w:val="18"/>
                <w:szCs w:val="18"/>
                <w:color w:val="0000FF"/>
              </w:rPr>
              <w:t>I</w:t>
            </w:r>
          </w:p>
        </w:tc>
        <w:tc>
          <w:tcPr>
            <w:tcW w:w="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4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5"/>
                <w:vertAlign w:val="subscript"/>
              </w:rPr>
              <w:t>Footnotes</w:t>
            </w:r>
            <w:r>
              <w:rPr>
                <w:rFonts w:ascii="Arial" w:cs="Arial" w:eastAsia="Arial" w:hAnsi="Arial"/>
                <w:sz w:val="11"/>
                <w:szCs w:val="11"/>
                <w:color w:val="008000"/>
                <w:w w:val="85"/>
              </w:rPr>
              <w:t>(1)(2)(3)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2"/>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gridSpan w:val="19"/>
          </w:tcPr>
          <w:p>
            <w:pPr>
              <w:jc w:val="center"/>
              <w:ind w:right="2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4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ind w:left="46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Expiration</w:t>
            </w:r>
          </w:p>
        </w:tc>
        <w:tc>
          <w:tcPr>
            <w:tcW w:w="92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3"/>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Silverman Joshua</w:t>
              </w:r>
            </w:hyperlink>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Abbe Richard</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200"/>
              <w:spacing w:after="0"/>
              <w:rPr>
                <w:sz w:val="20"/>
                <w:szCs w:val="20"/>
                <w:color w:val="auto"/>
              </w:rPr>
            </w:pPr>
            <w:r>
              <w:rPr>
                <w:rFonts w:ascii="Arial" w:cs="Arial" w:eastAsia="Arial" w:hAnsi="Arial"/>
                <w:sz w:val="14"/>
                <w:szCs w:val="14"/>
                <w:color w:val="auto"/>
              </w:rPr>
              <w:t>(First)</w:t>
            </w:r>
          </w:p>
        </w:tc>
        <w:tc>
          <w:tcPr>
            <w:tcW w:w="184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0000FF"/>
              </w:rPr>
              <w:t>641 LEXINGTON AVENUE</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26TH FLOOR</w:t>
            </w:r>
          </w:p>
        </w:tc>
        <w:tc>
          <w:tcPr>
            <w:tcW w:w="12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240" w:type="dxa"/>
            <w:vAlign w:val="bottom"/>
          </w:tcPr>
          <w:p>
            <w:pPr>
              <w:ind w:left="200"/>
              <w:spacing w:after="0"/>
              <w:rPr>
                <w:sz w:val="20"/>
                <w:szCs w:val="20"/>
                <w:color w:val="auto"/>
              </w:rPr>
            </w:pPr>
            <w:r>
              <w:rPr>
                <w:rFonts w:ascii="Arial" w:cs="Arial" w:eastAsia="Arial" w:hAnsi="Arial"/>
                <w:sz w:val="18"/>
                <w:szCs w:val="18"/>
                <w:color w:val="0000FF"/>
              </w:rPr>
              <w:t>NY</w:t>
            </w:r>
          </w:p>
        </w:tc>
        <w:tc>
          <w:tcPr>
            <w:tcW w:w="184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200"/>
              <w:spacing w:after="0"/>
              <w:rPr>
                <w:sz w:val="20"/>
                <w:szCs w:val="20"/>
                <w:color w:val="auto"/>
              </w:rPr>
            </w:pPr>
            <w:r>
              <w:rPr>
                <w:rFonts w:ascii="Arial" w:cs="Arial" w:eastAsia="Arial" w:hAnsi="Arial"/>
                <w:sz w:val="14"/>
                <w:szCs w:val="14"/>
                <w:color w:val="auto"/>
              </w:rPr>
              <w:t>(State)</w:t>
            </w:r>
          </w:p>
        </w:tc>
        <w:tc>
          <w:tcPr>
            <w:tcW w:w="184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39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3931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8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643,048 Shares (as defined below) are held by Iroquois Master Fund Ltd., a Cayman Islands corporation ("Iroquois Master Fund"). 241,173 Shares are held by Iroquois Capital Management L.L.C., a Delaware limited liability company ("Iroquois Capital"). 4,791 Shares are held by Richard Abbe, a citizen of the United States of America ("Mr. Abbe"), as UGMA custodian for Mr. Abbe's three children. 4,791 Shares are held by American Capital Management LLC, as to which Mr. Abbe and Joshua Silverman, a citizen of the United States of America ("Mr. Silverman"), may be deemed to have a pecuniary interest. "Shares" are shares of the Issuer's common stock, par value $0.01 per share.</w:t>
      </w:r>
    </w:p>
    <w:p>
      <w:pPr>
        <w:spacing w:after="0" w:line="31"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Iroquois Capital is the investment manager of Iroquois Master Fund. Consequently, Iroquois Capital has voting control and investment discretion over securities held by Iroquois Master Fund. As managing members of Iroquois Capital, Mr. Silverman and Mr. Abbe make voting and investment decisions on behalf of Iroquois Capital in its capacity as investment manager to Iroquois Master Fund. As a result of the foregoing, Mr. Silverman and Mr. Abbe may be deemed to have beneficial ownership (as determined under Section 13(d) of the Securities Exchange Act of 1934, as amended) of the securities held by Iroquois Master Fund.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Iroquois Capital, Mr. Abbe and Mr. Silverman disclaim beneficial ownership of these Shares except to the extent of their pecuniary interest in these Shares.</w:t>
      </w:r>
    </w:p>
    <w:p>
      <w:pPr>
        <w:spacing w:after="0" w:line="41" w:lineRule="exact"/>
        <w:rPr>
          <w:rFonts w:ascii="Arial" w:cs="Arial" w:eastAsia="Arial" w:hAnsi="Arial"/>
          <w:sz w:val="14"/>
          <w:szCs w:val="14"/>
          <w:color w:val="008000"/>
        </w:rPr>
      </w:pPr>
    </w:p>
    <w:p>
      <w:pPr>
        <w:ind w:right="16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weighted average sale price of $1.1197 per share, at prices ranging from $1.11 to $1.12 per share. Upon request by the staff of the Securities and Exchange Commission, the Issuer, or a security holder of the Issuer, full information regarding the number of shares sold at each separate price will be provided.</w:t>
      </w:r>
    </w:p>
    <w:p>
      <w:pPr>
        <w:spacing w:after="0" w:line="30" w:lineRule="exact"/>
        <w:rPr>
          <w:rFonts w:ascii="Arial" w:cs="Arial" w:eastAsia="Arial" w:hAnsi="Arial"/>
          <w:sz w:val="14"/>
          <w:szCs w:val="14"/>
          <w:color w:val="008000"/>
        </w:rPr>
      </w:pPr>
    </w:p>
    <w:p>
      <w:pPr>
        <w:ind w:right="16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weighted average sale price of $1.1042 per share, at prices ranging from $1.06 to $1.13 per share. Upon request by the staff of the Securities and Exchange Commission, the Issuer, or a security holder of the Issuer, full information regarding the number of shares sold at each separate price will be provided.</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00" w:type="dxa"/>
            <w:vAlign w:val="bottom"/>
            <w:gridSpan w:val="7"/>
          </w:tcPr>
          <w:p>
            <w:pPr>
              <w:spacing w:after="0"/>
              <w:rPr>
                <w:sz w:val="20"/>
                <w:szCs w:val="20"/>
                <w:color w:val="auto"/>
              </w:rPr>
            </w:pPr>
            <w:r>
              <w:rPr>
                <w:rFonts w:ascii="Arial" w:cs="Arial" w:eastAsia="Arial" w:hAnsi="Arial"/>
                <w:sz w:val="18"/>
                <w:szCs w:val="18"/>
                <w:color w:val="0000FF"/>
                <w:w w:val="92"/>
              </w:rPr>
              <w:t>Iroquois Capital Management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L.L.C., By: /s/ Joshua</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12/20/2011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Silverman, Authorized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Signatory</w:t>
            </w:r>
          </w:p>
        </w:tc>
        <w:tc>
          <w:tcPr>
            <w:tcW w:w="900" w:type="dxa"/>
            <w:vAlign w:val="bottom"/>
            <w:tcBorders>
              <w:top w:val="single" w:sz="8" w:color="auto"/>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7"/>
          </w:tcPr>
          <w:p>
            <w:pPr>
              <w:spacing w:after="0"/>
              <w:rPr>
                <w:sz w:val="20"/>
                <w:szCs w:val="20"/>
                <w:color w:val="auto"/>
              </w:rPr>
            </w:pPr>
            <w:r>
              <w:rPr>
                <w:rFonts w:ascii="Arial" w:cs="Arial" w:eastAsia="Arial" w:hAnsi="Arial"/>
                <w:sz w:val="18"/>
                <w:szCs w:val="18"/>
                <w:color w:val="0000FF"/>
              </w:rPr>
              <w:t>/s/ Joshua Silverman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12/20/2011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w w:val="88"/>
              </w:rPr>
              <w:t>/s/ Richard Abbe</w:t>
            </w:r>
          </w:p>
        </w:tc>
        <w:tc>
          <w:tcPr>
            <w:tcW w:w="260" w:type="dxa"/>
            <w:vAlign w:val="bottom"/>
          </w:tcPr>
          <w:p>
            <w:pPr>
              <w:spacing w:after="0"/>
              <w:rPr>
                <w:sz w:val="21"/>
                <w:szCs w:val="21"/>
                <w:color w:val="auto"/>
              </w:rPr>
            </w:pPr>
          </w:p>
        </w:tc>
        <w:tc>
          <w:tcPr>
            <w:tcW w:w="740" w:type="dxa"/>
            <w:vAlign w:val="bottom"/>
            <w:gridSpan w:val="4"/>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12/20/2011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81867" TargetMode="External"/><Relationship Id="rId13" Type="http://schemas.openxmlformats.org/officeDocument/2006/relationships/hyperlink" Target="http://www.sec.gov/cgi-bin/browse-edgar?action=getcompany&amp;CIK=0001410428" TargetMode="External"/><Relationship Id="rId14" Type="http://schemas.openxmlformats.org/officeDocument/2006/relationships/hyperlink" Target="http://www.sec.gov/cgi-bin/browse-edgar?action=getcompany&amp;CIK=0001524858" TargetMode="External"/><Relationship Id="rId15" Type="http://schemas.openxmlformats.org/officeDocument/2006/relationships/hyperlink" Target="http://www.sec.gov/cgi-bin/browse-edgar?action=getcompany&amp;CIK=000152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2019-12-18T02:48:34Z</dcterms:created>
  <dcterms:modified xsi:type="dcterms:W3CDTF">2019-12-18T02:48:34Z</dcterms:modified>
</cp:coreProperties>
</file>