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28,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b w:val="1"/>
                <w:bCs w:val="1"/>
                <w:color w:val="auto"/>
              </w:rPr>
              <w:t>(Exact Name of Registrant as Specified in its Charter)</w:t>
            </w:r>
          </w:p>
        </w:tc>
      </w:tr>
      <w:tr>
        <w:trPr>
          <w:trHeight w:val="394"/>
        </w:trPr>
        <w:tc>
          <w:tcPr>
            <w:tcW w:w="2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center"/>
              <w:ind w:left="1550"/>
              <w:spacing w:after="0"/>
              <w:rPr>
                <w:sz w:val="20"/>
                <w:szCs w:val="20"/>
                <w:color w:val="auto"/>
              </w:rPr>
            </w:pPr>
            <w:r>
              <w:rPr>
                <w:rFonts w:ascii="Arial" w:cs="Arial" w:eastAsia="Arial" w:hAnsi="Arial"/>
                <w:sz w:val="18"/>
                <w:szCs w:val="18"/>
                <w:b w:val="1"/>
                <w:bCs w:val="1"/>
                <w:color w:val="auto"/>
                <w:w w:val="90"/>
              </w:rPr>
              <w:t>001-34785</w:t>
            </w:r>
          </w:p>
        </w:tc>
        <w:tc>
          <w:tcPr>
            <w:tcW w:w="3660" w:type="dxa"/>
            <w:vAlign w:val="bottom"/>
          </w:tcPr>
          <w:p>
            <w:pPr>
              <w:jc w:val="center"/>
              <w:ind w:left="215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(State or other jurisdiction</w:t>
            </w:r>
          </w:p>
        </w:tc>
        <w:tc>
          <w:tcPr>
            <w:tcW w:w="3260" w:type="dxa"/>
            <w:vAlign w:val="bottom"/>
          </w:tcPr>
          <w:p>
            <w:pPr>
              <w:jc w:val="center"/>
              <w:ind w:left="1550"/>
              <w:spacing w:after="0"/>
              <w:rPr>
                <w:sz w:val="20"/>
                <w:szCs w:val="20"/>
                <w:color w:val="auto"/>
              </w:rPr>
            </w:pPr>
            <w:r>
              <w:rPr>
                <w:rFonts w:ascii="Arial" w:cs="Arial" w:eastAsia="Arial" w:hAnsi="Arial"/>
                <w:sz w:val="18"/>
                <w:szCs w:val="18"/>
                <w:b w:val="1"/>
                <w:bCs w:val="1"/>
                <w:color w:val="auto"/>
                <w:w w:val="89"/>
              </w:rPr>
              <w:t>(Commission</w:t>
            </w:r>
          </w:p>
        </w:tc>
        <w:tc>
          <w:tcPr>
            <w:tcW w:w="3660" w:type="dxa"/>
            <w:vAlign w:val="bottom"/>
          </w:tcPr>
          <w:p>
            <w:pPr>
              <w:jc w:val="center"/>
              <w:ind w:left="21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of incorporation)</w:t>
            </w:r>
          </w:p>
        </w:tc>
        <w:tc>
          <w:tcPr>
            <w:tcW w:w="3260" w:type="dxa"/>
            <w:vAlign w:val="bottom"/>
          </w:tcPr>
          <w:p>
            <w:pPr>
              <w:jc w:val="center"/>
              <w:ind w:left="1550"/>
              <w:spacing w:after="0"/>
              <w:rPr>
                <w:sz w:val="20"/>
                <w:szCs w:val="20"/>
                <w:color w:val="auto"/>
              </w:rPr>
            </w:pPr>
            <w:r>
              <w:rPr>
                <w:rFonts w:ascii="Arial" w:cs="Arial" w:eastAsia="Arial" w:hAnsi="Arial"/>
                <w:sz w:val="18"/>
                <w:szCs w:val="18"/>
                <w:b w:val="1"/>
                <w:bCs w:val="1"/>
                <w:color w:val="auto"/>
                <w:w w:val="92"/>
              </w:rPr>
              <w:t>File Number)</w:t>
            </w:r>
          </w:p>
        </w:tc>
        <w:tc>
          <w:tcPr>
            <w:tcW w:w="3660" w:type="dxa"/>
            <w:vAlign w:val="bottom"/>
          </w:tcPr>
          <w:p>
            <w:pPr>
              <w:jc w:val="center"/>
              <w:ind w:left="215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360" w:type="dxa"/>
            <w:vAlign w:val="bottom"/>
          </w:tcPr>
          <w:p>
            <w:pPr>
              <w:spacing w:after="0"/>
              <w:rPr>
                <w:sz w:val="24"/>
                <w:szCs w:val="24"/>
                <w:color w:val="auto"/>
              </w:rPr>
            </w:pPr>
          </w:p>
        </w:tc>
        <w:tc>
          <w:tcPr>
            <w:tcW w:w="3260" w:type="dxa"/>
            <w:vAlign w:val="bottom"/>
          </w:tcPr>
          <w:p>
            <w:pPr>
              <w:ind w:left="1160"/>
              <w:spacing w:after="0"/>
              <w:rPr>
                <w:sz w:val="20"/>
                <w:szCs w:val="20"/>
                <w:color w:val="auto"/>
              </w:rPr>
            </w:pPr>
            <w:r>
              <w:rPr>
                <w:rFonts w:ascii="Arial" w:cs="Arial" w:eastAsia="Arial" w:hAnsi="Arial"/>
                <w:sz w:val="18"/>
                <w:szCs w:val="18"/>
                <w:b w:val="1"/>
                <w:bCs w:val="1"/>
                <w:color w:val="auto"/>
                <w:w w:val="88"/>
              </w:rPr>
              <w:t xml:space="preserve">254 West 31 </w:t>
            </w:r>
            <w:r>
              <w:rPr>
                <w:rFonts w:ascii="Arial" w:cs="Arial" w:eastAsia="Arial" w:hAnsi="Arial"/>
                <w:sz w:val="29"/>
                <w:szCs w:val="29"/>
                <w:b w:val="1"/>
                <w:bCs w:val="1"/>
                <w:color w:val="auto"/>
                <w:w w:val="88"/>
                <w:vertAlign w:val="superscript"/>
              </w:rPr>
              <w:t>st</w:t>
            </w:r>
            <w:r>
              <w:rPr>
                <w:rFonts w:ascii="Arial" w:cs="Arial" w:eastAsia="Arial" w:hAnsi="Arial"/>
                <w:sz w:val="18"/>
                <w:szCs w:val="18"/>
                <w:b w:val="1"/>
                <w:bCs w:val="1"/>
                <w:color w:val="auto"/>
                <w:w w:val="88"/>
              </w:rPr>
              <w:t xml:space="preserve"> Street, 11 </w:t>
            </w:r>
            <w:r>
              <w:rPr>
                <w:rFonts w:ascii="Arial" w:cs="Arial" w:eastAsia="Arial" w:hAnsi="Arial"/>
                <w:sz w:val="29"/>
                <w:szCs w:val="29"/>
                <w:b w:val="1"/>
                <w:bCs w:val="1"/>
                <w:color w:val="auto"/>
                <w:w w:val="88"/>
                <w:vertAlign w:val="superscript"/>
              </w:rPr>
              <w:t>th</w:t>
            </w:r>
          </w:p>
        </w:tc>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Floor</w:t>
            </w:r>
          </w:p>
        </w:tc>
      </w:tr>
      <w:tr>
        <w:trPr>
          <w:trHeight w:val="216"/>
        </w:trPr>
        <w:tc>
          <w:tcPr>
            <w:tcW w:w="2360" w:type="dxa"/>
            <w:vAlign w:val="bottom"/>
          </w:tcPr>
          <w:p>
            <w:pPr>
              <w:spacing w:after="0"/>
              <w:rPr>
                <w:sz w:val="18"/>
                <w:szCs w:val="18"/>
                <w:color w:val="auto"/>
              </w:rPr>
            </w:pPr>
          </w:p>
        </w:tc>
        <w:tc>
          <w:tcPr>
            <w:tcW w:w="6920" w:type="dxa"/>
            <w:vAlign w:val="bottom"/>
            <w:gridSpan w:val="2"/>
          </w:tcPr>
          <w:p>
            <w:pPr>
              <w:jc w:val="center"/>
              <w:ind w:right="1950"/>
              <w:spacing w:after="0"/>
              <w:rPr>
                <w:sz w:val="20"/>
                <w:szCs w:val="20"/>
                <w:color w:val="auto"/>
              </w:rPr>
            </w:pPr>
            <w:r>
              <w:rPr>
                <w:rFonts w:ascii="Arial" w:cs="Arial" w:eastAsia="Arial" w:hAnsi="Arial"/>
                <w:sz w:val="18"/>
                <w:szCs w:val="18"/>
                <w:b w:val="1"/>
                <w:bCs w:val="1"/>
                <w:color w:val="auto"/>
                <w:w w:val="92"/>
              </w:rPr>
              <w:t>New York, New York 10001</w:t>
            </w:r>
          </w:p>
        </w:tc>
      </w:tr>
      <w:tr>
        <w:trPr>
          <w:trHeight w:val="234"/>
        </w:trPr>
        <w:tc>
          <w:tcPr>
            <w:tcW w:w="2360" w:type="dxa"/>
            <w:vAlign w:val="bottom"/>
          </w:tcPr>
          <w:p>
            <w:pPr>
              <w:spacing w:after="0"/>
              <w:rPr>
                <w:sz w:val="20"/>
                <w:szCs w:val="20"/>
                <w:color w:val="auto"/>
              </w:rPr>
            </w:pPr>
          </w:p>
        </w:tc>
        <w:tc>
          <w:tcPr>
            <w:tcW w:w="6920" w:type="dxa"/>
            <w:vAlign w:val="bottom"/>
            <w:gridSpan w:val="2"/>
          </w:tcPr>
          <w:p>
            <w:pPr>
              <w:jc w:val="center"/>
              <w:ind w:right="19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 registered</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3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333333"/>
        </w:rPr>
        <w:t>Item 8.01</w:t>
      </w:r>
      <w:r>
        <w:rPr>
          <w:sz w:val="20"/>
          <w:szCs w:val="20"/>
          <w:color w:val="auto"/>
        </w:rPr>
        <w:tab/>
      </w:r>
      <w:r>
        <w:rPr>
          <w:rFonts w:ascii="Arial" w:cs="Arial" w:eastAsia="Arial" w:hAnsi="Arial"/>
          <w:sz w:val="16"/>
          <w:szCs w:val="16"/>
          <w:b w:val="1"/>
          <w:bCs w:val="1"/>
          <w:color w:val="333333"/>
        </w:rPr>
        <w:t>Other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333333"/>
        </w:rPr>
        <w:t>Due to the outbreak of coronavirus disease 2019 (“COVID-19”), XpresSpa Group, Inc., a Delaware corporation (the “Company”), filed a Current Report on Form 8-K on March 30, 2020 (the “Original Filing”) to avail itself of an extension to file its Annual Report on Form 10-K for the period ended December 31, 2019 (the “Annual Report”), originally due on March 30, 2020, relying on an order issued by the Securities and Exchange Commission (the “SEC”) on March 25, 2020 pursuant to Section 36 of the Securities Exchange Act of 1934, as amended (Release No. 34-88465) (the “Order”) regarding exemptions granted to certain public companies.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continues to experience delays in operations and business for the reasons previously disclosed in the </w:t>
      </w:r>
      <w:r>
        <w:rPr>
          <w:rFonts w:ascii="Arial" w:cs="Arial" w:eastAsia="Arial" w:hAnsi="Arial"/>
          <w:sz w:val="18"/>
          <w:szCs w:val="18"/>
          <w:color w:val="333333"/>
        </w:rPr>
        <w:t>Original Filing</w:t>
      </w:r>
      <w:r>
        <w:rPr>
          <w:rFonts w:ascii="Arial" w:cs="Arial" w:eastAsia="Arial" w:hAnsi="Arial"/>
          <w:sz w:val="18"/>
          <w:szCs w:val="18"/>
          <w:color w:val="auto"/>
        </w:rPr>
        <w:t xml:space="preserve"> , which is hereby incorporated herein by reference. For the reasons described in the Original Filing, the Company will be relying upon the 45-day grace period provided by the Order to delay the filing of the information required by Part III of Form 10-K (the “Part III Information”) on Form 10-K/A originally due April 30, 2020. The Company will file it’s Part III Information on Form 10-K/A by no later than June 15, 2020, </w:t>
      </w:r>
      <w:r>
        <w:rPr>
          <w:rFonts w:ascii="Arial" w:cs="Arial" w:eastAsia="Arial" w:hAnsi="Arial"/>
          <w:sz w:val="18"/>
          <w:szCs w:val="18"/>
          <w:color w:val="333333"/>
        </w:rPr>
        <w:t>45 days after the original due date of the Part III</w:t>
      </w:r>
      <w:r>
        <w:rPr>
          <w:rFonts w:ascii="Arial" w:cs="Arial" w:eastAsia="Arial" w:hAnsi="Arial"/>
          <w:sz w:val="18"/>
          <w:szCs w:val="18"/>
          <w:color w:val="auto"/>
        </w:rPr>
        <w:t xml:space="preserve"> </w:t>
      </w:r>
      <w:r>
        <w:rPr>
          <w:rFonts w:ascii="Arial" w:cs="Arial" w:eastAsia="Arial" w:hAnsi="Arial"/>
          <w:sz w:val="18"/>
          <w:szCs w:val="18"/>
          <w:color w:val="333333"/>
        </w:rPr>
        <w:t xml:space="preserve">Information </w:t>
      </w:r>
      <w:r>
        <w:rPr>
          <w:rFonts w:ascii="Arial" w:cs="Arial" w:eastAsia="Arial" w:hAnsi="Arial"/>
          <w:sz w:val="18"/>
          <w:szCs w:val="18"/>
          <w:color w:val="000000"/>
        </w:rPr>
        <w:t>.</w:t>
      </w:r>
    </w:p>
    <w:p>
      <w:pPr>
        <w:spacing w:after="0" w:line="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April 20, 2020, the Company filed its Annual Report on Form 10-K which included the following risk factor regarding the impact of the recent coronavirus pandemic on the Company’s business: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recent COVID-19 outbreak was declared a pandemic by the World Health Organization on March 11, 2020 and has rapidly spread to the United States and many other parts of the world and may continue to adversely affect our business operations, employee availability, financial condition, liquidity and cash flow for an extended period of time.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COVID-19 outbreak is having an impact on the global economy, resulting in rapidly changing market and economic conditions. Similar to many businesses in the travel sector, our business has been materially adversely impacted by the recent COVID-19 outbreak due to the restrictions on travel that have been implemented. Effective March 24, 2020, we temporarily closed all global spa locations, largely due to the categorization of our spa locations by local jurisdictions as “non-essential services” in connection with the outbreak of COVID-19. This has had a materially adverse impact on our cash flows from operations and caused a liquidity crisis. Ongoing significant reductions in business related activities could result in further loss of sales and profits and other material adverse effects. The extent of the impact of COVID-19 on our business, financial results, liquidity and cash flows will depend largely on future developments, including new information that may emerge concerning the severity and action taken to contain or prevent further spread within the U.S. and the related impact on consumer confidence and spending, all of which are highly uncertain and cannot be predicted. As the outbreak of COVID-19 continues to spread rapidly in the U.S. and globally, related government and private sector responsive actions may continue to adversely affect our business operations. It is impossible to predict the effect and ultimate impact of the COVID-19 pandemic as the situation is rapidly evolving. If the COVID-19 outbreak continues and persists for an extended period of time, we expect there will be significant and material disruptions to our operations, which will have a material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Current Report on Form 8-K (the “Form 8-K”) and the press release attached hereto include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this Form 8-K and the press release attached hereto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 including the Company’s Annual Report on Form 10-K for the year ended December 31, 2019 filed with the SEC on April 20, 2020. The Company expressly disclaims any obligation to publicly update any forward-looking statements contained herein,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960" w:type="dxa"/>
            <w:vAlign w:val="bottom"/>
            <w:gridSpan w:val="2"/>
          </w:tcPr>
          <w:p>
            <w:pPr>
              <w:ind w:left="270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Dated: April 28, 2020</w:t>
            </w:r>
          </w:p>
        </w:tc>
        <w:tc>
          <w:tcPr>
            <w:tcW w:w="6960" w:type="dxa"/>
            <w:vAlign w:val="bottom"/>
            <w:gridSpan w:val="2"/>
          </w:tcPr>
          <w:p>
            <w:pPr>
              <w:ind w:left="2700"/>
              <w:spacing w:after="0"/>
              <w:rPr>
                <w:sz w:val="20"/>
                <w:szCs w:val="20"/>
                <w:color w:val="auto"/>
              </w:rPr>
            </w:pPr>
            <w:r>
              <w:rPr>
                <w:rFonts w:ascii="Arial" w:cs="Arial" w:eastAsia="Arial" w:hAnsi="Arial"/>
                <w:sz w:val="18"/>
                <w:szCs w:val="18"/>
                <w:color w:val="auto"/>
              </w:rPr>
              <w:t>By: /s/ Douglas Satzman</w:t>
            </w:r>
          </w:p>
        </w:tc>
      </w:tr>
      <w:tr>
        <w:trPr>
          <w:trHeight w:val="195"/>
        </w:trPr>
        <w:tc>
          <w:tcPr>
            <w:tcW w:w="4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4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4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2020-04-28T15:10:27Z</dcterms:created>
  <dcterms:modified xsi:type="dcterms:W3CDTF">2020-04-28T15:10:27Z</dcterms:modified>
</cp:coreProperties>
</file>