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120"/>
        <w:ind w:left="0" w:right="0" w:hanging="0"/>
        <w:rPr/>
      </w:pPr>
      <w:hyperlink w:anchor="TOC">
        <w:bookmarkStart w:id="0" w:name="xwel-20221231x10ka.htm"/>
        <w:bookmarkStart w:id="1" w:name="ksxwel20221231x10ka"/>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spacing w:before="0" w:after="240"/>
        <w:ind w:left="0" w:right="0" w:hanging="0"/>
        <w:jc w:val="center"/>
        <w:rPr/>
      </w:pPr>
      <w:r>
        <w:rPr/>
        <w:t>​</w:t>
      </w:r>
    </w:p>
    <w:p>
      <w:pPr>
        <w:pStyle w:val="TextBody"/>
        <w:spacing w:before="120" w:after="0"/>
        <w:ind w:left="0" w:right="0" w:hanging="0"/>
        <w:jc w:val="center"/>
        <w:rPr>
          <w:rFonts w:ascii="Times New Roman;Times;serif" w:hAnsi="Times New Roman;Times;serif"/>
          <w:b/>
          <w:sz w:val="16"/>
        </w:rPr>
      </w:pPr>
      <w:bookmarkStart w:id="2" w:name="_39ee16c6_cd1f_4031_b6b7_982708b229da"/>
      <w:bookmarkEnd w:id="2"/>
      <w:r>
        <w:rPr>
          <w:rFonts w:ascii="Times New Roman;Times;serif" w:hAnsi="Times New Roman;Times;serif"/>
          <w:b/>
          <w:sz w:val="16"/>
        </w:rPr>
        <w:t>UNITED STATES</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AND EXCHANGE COMMISSION</w:t>
      </w:r>
    </w:p>
    <w:p>
      <w:pPr>
        <w:pStyle w:val="TextBody"/>
        <w:spacing w:before="0" w:after="12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FORM 10-K/A</w:t>
      </w:r>
    </w:p>
    <w:p>
      <w:pPr>
        <w:pStyle w:val="TextBody"/>
        <w:spacing w:before="0" w:after="120"/>
        <w:ind w:left="0" w:right="0" w:hanging="0"/>
        <w:jc w:val="center"/>
        <w:rPr>
          <w:rFonts w:ascii="Times New Roman;Times;serif" w:hAnsi="Times New Roman;Times;serif"/>
          <w:b/>
          <w:sz w:val="16"/>
        </w:rPr>
      </w:pPr>
      <w:r>
        <w:rPr>
          <w:rFonts w:ascii="Times New Roman;Times;serif" w:hAnsi="Times New Roman;Times;serif"/>
          <w:b/>
          <w:sz w:val="16"/>
        </w:rPr>
        <w:t>(Amendment No. 1)</w:t>
      </w:r>
    </w:p>
    <w:p>
      <w:pPr>
        <w:pStyle w:val="Normal"/>
        <w:spacing w:before="0" w:after="0"/>
        <w:rPr>
          <w:sz w:val="4"/>
          <w:szCs w:val="4"/>
        </w:rPr>
      </w:pPr>
      <w:r>
        <w:rPr>
          <w:sz w:val="4"/>
          <w:szCs w:val="4"/>
        </w:rPr>
      </w:r>
      <w:bookmarkStart w:id="3" w:name="Tc_KZ3ly7HJrkq6zcPsNivndw_1_1"/>
      <w:bookmarkStart w:id="4" w:name="_79e34bff_1882_4a26_9abd_7c6052edb2a4"/>
      <w:bookmarkStart w:id="5" w:name="Tc_KZ3ly7HJrkq6zcPsNivndw_1_1"/>
      <w:bookmarkStart w:id="6" w:name="_79e34bff_1882_4a26_9abd_7c6052edb2a4"/>
      <w:bookmarkEnd w:id="5"/>
      <w:bookmarkEnd w:id="6"/>
    </w:p>
    <w:tbl>
      <w:tblPr>
        <w:tblW w:w="8672" w:type="dxa"/>
        <w:jc w:val="left"/>
        <w:tblInd w:w="0" w:type="dxa"/>
        <w:tblCellMar>
          <w:top w:w="0" w:type="dxa"/>
          <w:left w:w="0" w:type="dxa"/>
          <w:bottom w:w="0" w:type="dxa"/>
          <w:right w:w="0" w:type="dxa"/>
        </w:tblCellMar>
      </w:tblPr>
      <w:tblGrid>
        <w:gridCol w:w="331"/>
        <w:gridCol w:w="8341"/>
      </w:tblGrid>
      <w:tr>
        <w:trPr/>
        <w:tc>
          <w:tcPr>
            <w:tcW w:w="331" w:type="dxa"/>
            <w:tcBorders/>
            <w:shd w:fill="auto" w:val="clear"/>
            <w:vAlign w:val="center"/>
          </w:tcPr>
          <w:p>
            <w:pPr>
              <w:pStyle w:val="TableContents"/>
              <w:spacing w:before="0" w:after="283"/>
              <w:ind w:left="0" w:right="0" w:hanging="0"/>
              <w:rPr>
                <w:sz w:val="4"/>
                <w:szCs w:val="4"/>
              </w:rPr>
            </w:pPr>
            <w:r>
              <w:rPr>
                <w:sz w:val="4"/>
                <w:szCs w:val="4"/>
              </w:rPr>
            </w:r>
          </w:p>
        </w:tc>
        <w:tc>
          <w:tcPr>
            <w:tcW w:w="8341" w:type="dxa"/>
            <w:tcBorders/>
            <w:shd w:fill="auto" w:val="clear"/>
            <w:vAlign w:val="center"/>
          </w:tcPr>
          <w:p>
            <w:pPr>
              <w:pStyle w:val="TableContents"/>
              <w:spacing w:before="0" w:after="283"/>
              <w:ind w:left="0" w:right="0" w:hanging="0"/>
              <w:rPr>
                <w:sz w:val="4"/>
                <w:szCs w:val="4"/>
              </w:rPr>
            </w:pPr>
            <w:r>
              <w:rPr>
                <w:sz w:val="4"/>
                <w:szCs w:val="4"/>
              </w:rPr>
            </w:r>
          </w:p>
        </w:tc>
      </w:tr>
      <w:tr>
        <w:trPr/>
        <w:tc>
          <w:tcPr>
            <w:tcW w:w="331" w:type="dxa"/>
            <w:tcBorders/>
            <w:shd w:fill="auto" w:val="clear"/>
            <w:vAlign w:val="center"/>
          </w:tcPr>
          <w:p>
            <w:pPr>
              <w:pStyle w:val="TableContents"/>
              <w:spacing w:lineRule="auto" w:line="304" w:before="0" w:after="0"/>
              <w:ind w:left="0" w:right="0" w:hanging="0"/>
              <w:rPr/>
            </w:pPr>
            <w:r>
              <w:rPr/>
              <w:t>☒</w:t>
            </w:r>
          </w:p>
        </w:tc>
        <w:tc>
          <w:tcPr>
            <w:tcW w:w="8341" w:type="dxa"/>
            <w:tcBorders/>
            <w:shd w:fill="auto" w:val="clear"/>
            <w:vAlign w:val="center"/>
          </w:tcPr>
          <w:p>
            <w:pPr>
              <w:pStyle w:val="TableContents"/>
              <w:spacing w:lineRule="auto" w:line="304" w:before="0" w:after="0"/>
              <w:ind w:left="0" w:right="0" w:hanging="0"/>
              <w:rPr>
                <w:rFonts w:ascii="Times New Roman;Times;serif" w:hAnsi="Times New Roman;Times;serif"/>
                <w:b/>
                <w:sz w:val="16"/>
              </w:rPr>
            </w:pPr>
            <w:r>
              <w:rPr>
                <w:rFonts w:ascii="Times New Roman;Times;serif" w:hAnsi="Times New Roman;Times;serif"/>
                <w:b/>
                <w:sz w:val="16"/>
              </w:rPr>
              <w:t>ANNUAL REPORT PURSUANT TO SECTION 13 OR 15(d) OF THE SECURITIES EXCHANGE ACT OF 1934</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16"/>
        </w:rPr>
      </w:pPr>
      <w:r>
        <w:rPr>
          <w:rFonts w:ascii="Times New Roman;Times;serif" w:hAnsi="Times New Roman;Times;serif"/>
          <w:b/>
          <w:sz w:val="16"/>
        </w:rPr>
        <w:t>(Mark One)</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fiscal year ended December 31, 2022</w:t>
      </w:r>
    </w:p>
    <w:p>
      <w:pPr>
        <w:pStyle w:val="TextBody"/>
        <w:spacing w:before="0" w:after="12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Normal"/>
        <w:spacing w:before="0" w:after="0"/>
        <w:rPr>
          <w:sz w:val="4"/>
          <w:szCs w:val="4"/>
        </w:rPr>
      </w:pPr>
      <w:r>
        <w:rPr>
          <w:sz w:val="4"/>
          <w:szCs w:val="4"/>
        </w:rPr>
      </w:r>
      <w:bookmarkStart w:id="7" w:name="Tc_Vi1AJqgdUkWyae9CfaW31Q_1_1"/>
      <w:bookmarkStart w:id="8" w:name="_a3974c3e_1640_4ea8_98a5_4884ed04dfb6"/>
      <w:bookmarkStart w:id="9" w:name="Tc_Vi1AJqgdUkWyae9CfaW31Q_1_1"/>
      <w:bookmarkStart w:id="10" w:name="_a3974c3e_1640_4ea8_98a5_4884ed04dfb6"/>
      <w:bookmarkEnd w:id="9"/>
      <w:bookmarkEnd w:id="10"/>
    </w:p>
    <w:tbl>
      <w:tblPr>
        <w:tblW w:w="9002" w:type="dxa"/>
        <w:jc w:val="left"/>
        <w:tblInd w:w="0" w:type="dxa"/>
        <w:tblCellMar>
          <w:top w:w="0" w:type="dxa"/>
          <w:left w:w="0" w:type="dxa"/>
          <w:bottom w:w="0" w:type="dxa"/>
          <w:right w:w="0" w:type="dxa"/>
        </w:tblCellMar>
      </w:tblPr>
      <w:tblGrid>
        <w:gridCol w:w="331"/>
        <w:gridCol w:w="8671"/>
      </w:tblGrid>
      <w:tr>
        <w:trPr/>
        <w:tc>
          <w:tcPr>
            <w:tcW w:w="331" w:type="dxa"/>
            <w:tcBorders/>
            <w:shd w:fill="auto" w:val="clear"/>
            <w:vAlign w:val="center"/>
          </w:tcPr>
          <w:p>
            <w:pPr>
              <w:pStyle w:val="TableContents"/>
              <w:spacing w:before="0" w:after="283"/>
              <w:ind w:left="0" w:right="0" w:hanging="0"/>
              <w:rPr>
                <w:sz w:val="4"/>
                <w:szCs w:val="4"/>
              </w:rPr>
            </w:pPr>
            <w:r>
              <w:rPr>
                <w:sz w:val="4"/>
                <w:szCs w:val="4"/>
              </w:rPr>
            </w:r>
          </w:p>
        </w:tc>
        <w:tc>
          <w:tcPr>
            <w:tcW w:w="8671" w:type="dxa"/>
            <w:tcBorders/>
            <w:shd w:fill="auto" w:val="clear"/>
            <w:vAlign w:val="center"/>
          </w:tcPr>
          <w:p>
            <w:pPr>
              <w:pStyle w:val="TableContents"/>
              <w:spacing w:before="0" w:after="283"/>
              <w:ind w:left="0" w:right="0" w:hanging="0"/>
              <w:rPr>
                <w:sz w:val="4"/>
                <w:szCs w:val="4"/>
              </w:rPr>
            </w:pPr>
            <w:r>
              <w:rPr>
                <w:sz w:val="4"/>
                <w:szCs w:val="4"/>
              </w:rPr>
            </w:r>
          </w:p>
        </w:tc>
      </w:tr>
      <w:tr>
        <w:trPr/>
        <w:tc>
          <w:tcPr>
            <w:tcW w:w="331" w:type="dxa"/>
            <w:tcBorders/>
            <w:shd w:fill="auto" w:val="clear"/>
            <w:vAlign w:val="center"/>
          </w:tcPr>
          <w:p>
            <w:pPr>
              <w:pStyle w:val="TableContents"/>
              <w:spacing w:lineRule="auto" w:line="300" w:before="0" w:after="0"/>
              <w:ind w:left="0" w:right="0" w:hanging="0"/>
              <w:rPr/>
            </w:pPr>
            <w:r>
              <w:rPr/>
              <w:t>☐</w:t>
            </w:r>
          </w:p>
        </w:tc>
        <w:tc>
          <w:tcPr>
            <w:tcW w:w="8671" w:type="dxa"/>
            <w:tcBorders/>
            <w:shd w:fill="auto" w:val="clear"/>
            <w:vAlign w:val="center"/>
          </w:tcPr>
          <w:p>
            <w:pPr>
              <w:pStyle w:val="TableContents"/>
              <w:spacing w:lineRule="auto" w:line="300" w:before="0" w:after="0"/>
              <w:ind w:left="0" w:right="0" w:hanging="0"/>
              <w:rPr>
                <w:rFonts w:ascii="Times New Roman;Times;serif" w:hAnsi="Times New Roman;Times;serif"/>
                <w:b/>
                <w:sz w:val="16"/>
              </w:rPr>
            </w:pPr>
            <w:r>
              <w:rPr>
                <w:rFonts w:ascii="Times New Roman;Times;serif" w:hAnsi="Times New Roman;Times;serif"/>
                <w:b/>
                <w:sz w:val="16"/>
              </w:rPr>
              <w:t>TRANSITION REPORT PURSUANT TO SECTION 13 OR 15(d) OF THE SECURITIES EXCHANGE ACT OF 1934</w:t>
            </w:r>
          </w:p>
        </w:tc>
      </w:tr>
    </w:tbl>
    <w:p>
      <w:pPr>
        <w:pStyle w:val="TextBody"/>
        <w:spacing w:before="0" w:after="0"/>
        <w:ind w:left="0" w:right="0" w:hanging="0"/>
        <w:rPr/>
      </w:pPr>
      <w:r>
        <w:rPr/>
        <w:t>​</w:t>
      </w:r>
    </w:p>
    <w:p>
      <w:pPr>
        <w:pStyle w:val="TextBody"/>
        <w:spacing w:before="0" w:after="12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___to _____</w:t>
      </w:r>
    </w:p>
    <w:p>
      <w:pPr>
        <w:pStyle w:val="TextBody"/>
        <w:spacing w:before="0" w:after="120"/>
        <w:ind w:left="0" w:right="0" w:hanging="0"/>
        <w:jc w:val="center"/>
        <w:rPr>
          <w:rFonts w:ascii="Times New Roman;Times;serif" w:hAnsi="Times New Roman;Times;serif"/>
          <w:b/>
          <w:sz w:val="16"/>
        </w:rPr>
      </w:pPr>
      <w:r>
        <w:rPr>
          <w:rFonts w:ascii="Times New Roman;Times;serif" w:hAnsi="Times New Roman;Times;serif"/>
          <w:b/>
          <w:sz w:val="16"/>
        </w:rPr>
        <w:t>Commission file number 001-34785</w:t>
      </w:r>
    </w:p>
    <w:p>
      <w:pPr>
        <w:pStyle w:val="TextBody"/>
        <w:spacing w:before="0" w:after="0"/>
        <w:ind w:left="0" w:right="0" w:hanging="0"/>
        <w:jc w:val="center"/>
        <w:rPr>
          <w:rFonts w:ascii="Times New Roman;Times;serif" w:hAnsi="Times New Roman;Times;serif"/>
          <w:b/>
          <w:sz w:val="44"/>
        </w:rPr>
      </w:pPr>
      <w:r>
        <w:rPr>
          <w:rFonts w:ascii="Times New Roman;Times;serif" w:hAnsi="Times New Roman;Times;serif"/>
          <w:b/>
          <w:sz w:val="44"/>
        </w:rPr>
        <w:t>XWELL, INC.</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spacing w:before="0" w:after="0"/>
        <w:ind w:left="0" w:right="0" w:hanging="0"/>
        <w:rPr/>
      </w:pPr>
      <w:r>
        <w:rPr/>
        <w:t>​</w:t>
      </w:r>
    </w:p>
    <w:p>
      <w:pPr>
        <w:pStyle w:val="Normal"/>
        <w:spacing w:before="0" w:after="0"/>
        <w:rPr>
          <w:sz w:val="4"/>
          <w:szCs w:val="4"/>
        </w:rPr>
      </w:pPr>
      <w:r>
        <w:rPr>
          <w:sz w:val="4"/>
          <w:szCs w:val="4"/>
        </w:rPr>
      </w:r>
      <w:bookmarkStart w:id="11" w:name="Tc_nUx_fjNo8kOiapXgGb3bmg_2_2"/>
      <w:bookmarkStart w:id="12" w:name="Tc_w3ASg6ViyEid53pyOsFW4w_2_0"/>
      <w:bookmarkStart w:id="13" w:name="_186c8662_df1f_4834_8d92_889cb98fde14"/>
      <w:bookmarkStart w:id="14" w:name="Tc_nUx_fjNo8kOiapXgGb3bmg_2_2"/>
      <w:bookmarkStart w:id="15" w:name="Tc_w3ASg6ViyEid53pyOsFW4w_2_0"/>
      <w:bookmarkStart w:id="16" w:name="_186c8662_df1f_4834_8d92_889cb98fde14"/>
      <w:bookmarkEnd w:id="14"/>
      <w:bookmarkEnd w:id="15"/>
      <w:bookmarkEnd w:id="16"/>
    </w:p>
    <w:tbl>
      <w:tblPr>
        <w:tblW w:w="6096" w:type="dxa"/>
        <w:jc w:val="left"/>
        <w:tblInd w:w="0" w:type="dxa"/>
        <w:tblCellMar>
          <w:top w:w="0" w:type="dxa"/>
          <w:left w:w="0" w:type="dxa"/>
          <w:bottom w:w="0" w:type="dxa"/>
          <w:right w:w="0" w:type="dxa"/>
        </w:tblCellMar>
      </w:tblPr>
      <w:tblGrid>
        <w:gridCol w:w="3316"/>
        <w:gridCol w:w="109"/>
        <w:gridCol w:w="2671"/>
      </w:tblGrid>
      <w:tr>
        <w:trPr/>
        <w:tc>
          <w:tcPr>
            <w:tcW w:w="331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0"/>
              <w:ind w:left="0" w:right="0" w:hanging="0"/>
              <w:rPr/>
            </w:pPr>
            <w:r>
              <w:rPr/>
              <w:t>​</w:t>
            </w:r>
          </w:p>
        </w:tc>
        <w:tc>
          <w:tcPr>
            <w:tcW w:w="2671" w:type="dxa"/>
            <w:tcBorders/>
            <w:shd w:fill="auto" w:val="clear"/>
            <w:vAlign w:val="center"/>
          </w:tcPr>
          <w:p>
            <w:pPr>
              <w:pStyle w:val="TableContents"/>
              <w:spacing w:before="0" w:after="283"/>
              <w:ind w:left="0" w:right="0" w:hanging="0"/>
              <w:rPr>
                <w:sz w:val="4"/>
                <w:szCs w:val="4"/>
              </w:rPr>
            </w:pPr>
            <w:r>
              <w:rPr>
                <w:sz w:val="4"/>
                <w:szCs w:val="4"/>
              </w:rPr>
            </w:r>
          </w:p>
        </w:tc>
      </w:tr>
      <w:tr>
        <w:trPr/>
        <w:tc>
          <w:tcPr>
            <w:tcW w:w="3316" w:type="dxa"/>
            <w:tcBorders/>
            <w:shd w:fill="auto" w:val="cle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09" w:type="dxa"/>
            <w:tcBorders/>
            <w:shd w:fill="auto" w:val="clear"/>
            <w:vAlign w:val="center"/>
          </w:tcPr>
          <w:p>
            <w:pPr>
              <w:pStyle w:val="TableContents"/>
              <w:spacing w:lineRule="auto" w:line="304" w:before="0" w:after="0"/>
              <w:ind w:left="0" w:right="0" w:hanging="0"/>
              <w:rPr/>
            </w:pPr>
            <w:r>
              <w:rPr/>
              <w:t>​</w:t>
            </w:r>
          </w:p>
        </w:tc>
        <w:tc>
          <w:tcPr>
            <w:tcW w:w="2671" w:type="dxa"/>
            <w:tcBorders/>
            <w:shd w:fill="auto" w:val="cle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20-4988129</w:t>
            </w:r>
          </w:p>
        </w:tc>
      </w:tr>
      <w:tr>
        <w:trPr/>
        <w:tc>
          <w:tcPr>
            <w:tcW w:w="3316" w:type="dxa"/>
            <w:tcBorders/>
            <w:shd w:fill="auto" w:val="clear"/>
            <w:vAlign w:val="center"/>
          </w:tcPr>
          <w:p>
            <w:pPr>
              <w:pStyle w:val="TableContents"/>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w:t>
              <w:br/>
              <w:t>organization)</w:t>
            </w:r>
          </w:p>
        </w:tc>
        <w:tc>
          <w:tcPr>
            <w:tcW w:w="109" w:type="dxa"/>
            <w:tcBorders/>
            <w:shd w:fill="auto" w:val="clear"/>
            <w:vAlign w:val="center"/>
          </w:tcPr>
          <w:p>
            <w:pPr>
              <w:pStyle w:val="TableContents"/>
              <w:spacing w:lineRule="auto" w:line="304" w:before="0" w:after="0"/>
              <w:ind w:left="0" w:right="0" w:hanging="0"/>
              <w:rPr/>
            </w:pPr>
            <w:r>
              <w:rPr/>
              <w:t>​</w:t>
            </w:r>
          </w:p>
        </w:tc>
        <w:tc>
          <w:tcPr>
            <w:tcW w:w="2671" w:type="dxa"/>
            <w:tcBorders/>
            <w:shd w:fill="auto" w:val="clear"/>
            <w:vAlign w:val="center"/>
          </w:tcPr>
          <w:p>
            <w:pPr>
              <w:pStyle w:val="TableContents"/>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bl>
    <w:p>
      <w:pPr>
        <w:pStyle w:val="TextBody"/>
        <w:spacing w:before="0" w:after="0"/>
        <w:ind w:left="0" w:right="0" w:hanging="0"/>
        <w:rPr/>
      </w:pPr>
      <w:r>
        <w:rPr/>
        <w:t>​</w:t>
      </w:r>
    </w:p>
    <w:p>
      <w:pPr>
        <w:pStyle w:val="TextBody"/>
        <w:spacing w:before="0" w:after="0"/>
        <w:ind w:left="0" w:right="0" w:hanging="0"/>
        <w:rPr/>
      </w:pPr>
      <w:r>
        <w:rPr/>
        <w:t>​</w:t>
      </w:r>
    </w:p>
    <w:p>
      <w:pPr>
        <w:pStyle w:val="Normal"/>
        <w:spacing w:before="0" w:after="0"/>
        <w:rPr>
          <w:sz w:val="4"/>
          <w:szCs w:val="4"/>
        </w:rPr>
      </w:pPr>
      <w:r>
        <w:rPr>
          <w:sz w:val="4"/>
          <w:szCs w:val="4"/>
        </w:rPr>
      </w:r>
      <w:bookmarkStart w:id="17" w:name="Tc_cc9NRwhidkaEckFh_Yeo-w_2_1"/>
      <w:bookmarkStart w:id="18" w:name="Tc_MqtN6nsQlESKxTdrlY-3kA_2_0"/>
      <w:bookmarkStart w:id="19" w:name="Tc_7ukBUrmAi02V2ZXHI0Fzqw_1_0"/>
      <w:bookmarkStart w:id="20" w:name="_c1558b5d_6a44_42b8_87f0_1ccda43a5674"/>
      <w:bookmarkStart w:id="21" w:name="Tc_cc9NRwhidkaEckFh_Yeo-w_2_1"/>
      <w:bookmarkStart w:id="22" w:name="Tc_MqtN6nsQlESKxTdrlY-3kA_2_0"/>
      <w:bookmarkStart w:id="23" w:name="Tc_7ukBUrmAi02V2ZXHI0Fzqw_1_0"/>
      <w:bookmarkStart w:id="24" w:name="_c1558b5d_6a44_42b8_87f0_1ccda43a5674"/>
      <w:bookmarkEnd w:id="21"/>
      <w:bookmarkEnd w:id="22"/>
      <w:bookmarkEnd w:id="23"/>
      <w:bookmarkEnd w:id="24"/>
    </w:p>
    <w:tbl>
      <w:tblPr>
        <w:tblW w:w="3782" w:type="dxa"/>
        <w:jc w:val="left"/>
        <w:tblInd w:w="0" w:type="dxa"/>
        <w:tblCellMar>
          <w:top w:w="0" w:type="dxa"/>
          <w:left w:w="0" w:type="dxa"/>
          <w:bottom w:w="0" w:type="dxa"/>
          <w:right w:w="0" w:type="dxa"/>
        </w:tblCellMar>
      </w:tblPr>
      <w:tblGrid>
        <w:gridCol w:w="2866"/>
        <w:gridCol w:w="916"/>
      </w:tblGrid>
      <w:tr>
        <w:trPr/>
        <w:tc>
          <w:tcPr>
            <w:tcW w:w="2866" w:type="dxa"/>
            <w:tcBorders/>
            <w:shd w:fill="auto" w:val="clear"/>
            <w:vAlign w:val="center"/>
          </w:tcPr>
          <w:p>
            <w:pPr>
              <w:pStyle w:val="TableContents"/>
              <w:spacing w:before="0" w:after="0"/>
              <w:ind w:left="0" w:right="0" w:hanging="0"/>
              <w:jc w:val="center"/>
              <w:rPr/>
            </w:pPr>
            <w:r>
              <w:rPr/>
              <w:t>​</w:t>
            </w:r>
          </w:p>
          <w:p>
            <w:pPr>
              <w:pStyle w:val="TableContents"/>
              <w:spacing w:before="0" w:after="0"/>
              <w:ind w:left="0" w:right="0" w:hanging="0"/>
              <w:rPr/>
            </w:pPr>
            <w:r>
              <w:rPr/>
              <w:t>​</w:t>
            </w:r>
          </w:p>
        </w:tc>
        <w:tc>
          <w:tcPr>
            <w:tcW w:w="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81660" cy="29210"/>
                      <wp:effectExtent l="0" t="0" r="0" b="0"/>
                      <wp:wrapNone/>
                      <wp:docPr id="1" name="Frame1"/>
                      <a:graphic xmlns:a="http://schemas.openxmlformats.org/drawingml/2006/main">
                        <a:graphicData uri="http://schemas.microsoft.com/office/word/2010/wordprocessingShape">
                          <wps:wsp>
                            <wps:cNvSpPr txBox="1"/>
                            <wps:spPr>
                              <a:xfrm>
                                <a:off x="0" y="0"/>
                                <a:ext cx="5816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2866" w:type="dxa"/>
            <w:tcBorders/>
            <w:shd w:fill="auto" w:val="clear"/>
            <w:vAlign w:val="center"/>
          </w:tcPr>
          <w:p>
            <w:pPr>
              <w:pStyle w:val="TableContents"/>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16"/>
              </w:rPr>
              <w:t>254 West 31</w:t>
            </w:r>
            <w:r>
              <w:rPr>
                <w:rFonts w:ascii="Times New Roman;Times;serif" w:hAnsi="Times New Roman;Times;serif"/>
                <w:b/>
                <w:sz w:val="12"/>
              </w:rPr>
              <w:t>st</w:t>
            </w:r>
            <w:r>
              <w:rPr>
                <w:rFonts w:ascii="Times New Roman;Times;serif" w:hAnsi="Times New Roman;Times;serif"/>
                <w:sz w:val="20"/>
              </w:rPr>
              <w:t xml:space="preserve"> </w:t>
            </w:r>
            <w:r>
              <w:rPr>
                <w:rFonts w:ascii="Times New Roman;Times;serif" w:hAnsi="Times New Roman;Times;serif"/>
                <w:b/>
                <w:sz w:val="16"/>
              </w:rPr>
              <w:t>Street</w:t>
            </w:r>
            <w:r>
              <w:rPr>
                <w:rFonts w:ascii="Times New Roman;Times;serif" w:hAnsi="Times New Roman;Times;serif"/>
                <w:sz w:val="20"/>
              </w:rPr>
              <w:t xml:space="preserve"> </w:t>
            </w:r>
            <w:r>
              <w:rPr>
                <w:rFonts w:ascii="Times New Roman;Times;serif" w:hAnsi="Times New Roman;Times;serif"/>
                <w:b/>
                <w:sz w:val="16"/>
              </w:rPr>
              <w:t>11</w:t>
            </w:r>
            <w:r>
              <w:rPr>
                <w:rFonts w:ascii="Times New Roman;Times;serif" w:hAnsi="Times New Roman;Times;serif"/>
                <w:b/>
                <w:sz w:val="12"/>
              </w:rPr>
              <w:t>th</w:t>
            </w:r>
            <w:r>
              <w:rPr>
                <w:rFonts w:ascii="Times New Roman;Times;serif" w:hAnsi="Times New Roman;Times;serif"/>
                <w:sz w:val="20"/>
              </w:rPr>
              <w:t> </w:t>
            </w:r>
            <w:r>
              <w:rPr>
                <w:rFonts w:ascii="Times New Roman;Times;serif" w:hAnsi="Times New Roman;Times;serif"/>
                <w:b/>
                <w:sz w:val="16"/>
              </w:rPr>
              <w:t>Floor</w:t>
            </w:r>
          </w:p>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New York, NY</w:t>
            </w:r>
          </w:p>
        </w:tc>
        <w:tc>
          <w:tcPr>
            <w:tcW w:w="91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10001</w:t>
            </w:r>
          </w:p>
        </w:tc>
      </w:tr>
      <w:tr>
        <w:trPr/>
        <w:tc>
          <w:tcPr>
            <w:tcW w:w="286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91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16"/>
        </w:rPr>
        <w:t>Registrant’s telephone number, including area code:</w:t>
      </w:r>
      <w:r>
        <w:rPr>
          <w:rFonts w:ascii="Times New Roman;Times;serif" w:hAnsi="Times New Roman;Times;serif"/>
          <w:sz w:val="20"/>
        </w:rPr>
        <w:t> </w:t>
      </w:r>
      <w:r>
        <w:rPr>
          <w:rFonts w:ascii="Times New Roman;Times;serif" w:hAnsi="Times New Roman;Times;serif"/>
          <w:b/>
          <w:sz w:val="16"/>
        </w:rPr>
        <w:t>(212)-750-9595</w:t>
      </w:r>
    </w:p>
    <w:p>
      <w:pPr>
        <w:pStyle w:val="TextBody"/>
        <w:spacing w:before="0" w:after="12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12(b) of the Act:</w:t>
      </w:r>
    </w:p>
    <w:tbl>
      <w:tblPr>
        <w:tblW w:w="6703" w:type="dxa"/>
        <w:jc w:val="left"/>
        <w:tblInd w:w="0" w:type="dxa"/>
        <w:tblCellMar>
          <w:top w:w="0" w:type="dxa"/>
          <w:left w:w="0" w:type="dxa"/>
          <w:bottom w:w="0" w:type="dxa"/>
          <w:right w:w="0" w:type="dxa"/>
        </w:tblCellMar>
      </w:tblPr>
      <w:tblGrid>
        <w:gridCol w:w="3061"/>
        <w:gridCol w:w="326"/>
        <w:gridCol w:w="3316"/>
      </w:tblGrid>
      <w:tr>
        <w:trPr/>
        <w:tc>
          <w:tcPr>
            <w:tcW w:w="3061"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pPr>
            <w:r>
              <w:rPr/>
              <w:t>​</w:t>
            </w:r>
          </w:p>
        </w:tc>
        <w:tc>
          <w:tcPr>
            <w:tcW w:w="3316" w:type="dxa"/>
            <w:tcBorders/>
            <w:shd w:fill="auto" w:val="clear"/>
            <w:vAlign w:val="center"/>
          </w:tcPr>
          <w:p>
            <w:pPr>
              <w:pStyle w:val="TableContents"/>
              <w:spacing w:before="0" w:after="283"/>
              <w:ind w:left="0" w:right="0" w:hanging="0"/>
              <w:rPr>
                <w:sz w:val="4"/>
                <w:szCs w:val="4"/>
              </w:rPr>
            </w:pPr>
            <w:r>
              <w:rPr>
                <w:sz w:val="4"/>
                <w:szCs w:val="4"/>
              </w:rPr>
            </w:r>
          </w:p>
        </w:tc>
      </w:tr>
      <w:tr>
        <w:trPr/>
        <w:tc>
          <w:tcPr>
            <w:tcW w:w="3061"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shd w:fill="auto" w:val="clear"/>
            <w:vAlign w:val="center"/>
          </w:tcPr>
          <w:p>
            <w:pPr>
              <w:pStyle w:val="TableContents"/>
              <w:spacing w:before="0" w:after="0"/>
              <w:ind w:left="0" w:right="0" w:hanging="0"/>
              <w:jc w:val="center"/>
              <w:rPr/>
            </w:pPr>
            <w:r>
              <w:rPr/>
              <w:t>    </w:t>
            </w:r>
          </w:p>
        </w:tc>
        <w:tc>
          <w:tcPr>
            <w:tcW w:w="3316"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306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par value $0.01 per share</w:t>
            </w:r>
          </w:p>
        </w:tc>
        <w:tc>
          <w:tcPr>
            <w:tcW w:w="326" w:type="dxa"/>
            <w:tcBorders/>
            <w:shd w:fill="auto" w:val="clear"/>
            <w:vAlign w:val="center"/>
          </w:tcPr>
          <w:p>
            <w:pPr>
              <w:pStyle w:val="TableContents"/>
              <w:spacing w:before="0" w:after="240"/>
              <w:ind w:left="0" w:right="0" w:hanging="0"/>
              <w:jc w:val="center"/>
              <w:rPr/>
            </w:pPr>
            <w:r>
              <w:rPr/>
              <w:t>​</w:t>
            </w:r>
          </w:p>
        </w:tc>
        <w:tc>
          <w:tcPr>
            <w:tcW w:w="331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16"/>
              </w:rPr>
              <w:t>The Nasdaq</w:t>
            </w:r>
            <w:r>
              <w:rPr>
                <w:rFonts w:ascii="Times New Roman;Times;serif" w:hAnsi="Times New Roman;Times;serif"/>
                <w:sz w:val="20"/>
              </w:rPr>
              <w:t xml:space="preserve"> </w:t>
            </w:r>
            <w:r>
              <w:rPr>
                <w:rFonts w:ascii="Times New Roman;Times;serif" w:hAnsi="Times New Roman;Times;serif"/>
                <w:sz w:val="16"/>
              </w:rPr>
              <w:t>Stock Market LLC</w:t>
            </w:r>
          </w:p>
        </w:tc>
      </w:tr>
    </w:tbl>
    <w:p>
      <w:pPr>
        <w:pStyle w:val="TextBody"/>
        <w:spacing w:before="0" w:after="0"/>
        <w:ind w:left="0" w:right="0" w:hanging="0"/>
        <w:rPr/>
      </w:pPr>
      <w:r>
        <w:rPr/>
        <w:t>​</w:t>
      </w:r>
    </w:p>
    <w:p>
      <w:pPr>
        <w:pStyle w:val="TextBody"/>
        <w:spacing w:before="0" w:after="12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12(g) of the Act: None</w:t>
      </w:r>
    </w:p>
    <w:p>
      <w:pPr>
        <w:pStyle w:val="TextBody"/>
        <w:spacing w:before="0" w:after="120"/>
        <w:ind w:left="0" w:right="0" w:hanging="0"/>
        <w:jc w:val="both"/>
        <w:rPr>
          <w:rFonts w:ascii="Times New Roman;Times;serif" w:hAnsi="Times New Roman;Times;serif"/>
          <w:sz w:val="20"/>
        </w:rPr>
      </w:pPr>
      <w:r>
        <w:rPr>
          <w:rFonts w:ascii="Times New Roman;Times;serif" w:hAnsi="Times New Roman;Times;serif"/>
          <w:sz w:val="16"/>
        </w:rPr>
        <w:t>Indicate by check mark 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spacing w:before="0" w:after="120"/>
        <w:ind w:left="0" w:right="0" w:hanging="0"/>
        <w:jc w:val="both"/>
        <w:rPr>
          <w:rFonts w:ascii="Times New Roman;Times;serif" w:hAnsi="Times New Roman;Times;serif"/>
          <w:sz w:val="20"/>
        </w:rPr>
      </w:pPr>
      <w:r>
        <w:rPr>
          <w:rFonts w:ascii="Times New Roman;Times;serif" w:hAnsi="Times New Roman;Times;serif"/>
          <w:sz w:val="16"/>
        </w:rPr>
        <w:t>Indicate by check mark if the registrant is not required to file reports pursuant to Section 13 or Section 15(d) of the Act.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spacing w:before="0" w:after="12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spacing w:before="0" w:after="12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spacing w:before="0" w:after="160"/>
        <w:ind w:left="0" w:right="0" w:hanging="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Normal"/>
        <w:spacing w:before="0" w:after="0"/>
        <w:rPr>
          <w:sz w:val="4"/>
          <w:szCs w:val="4"/>
        </w:rPr>
      </w:pPr>
      <w:r>
        <w:rPr>
          <w:sz w:val="4"/>
          <w:szCs w:val="4"/>
        </w:rPr>
      </w:r>
      <w:bookmarkStart w:id="25" w:name="Tc_fpBer8ZRjEmG970v88YXUg_3_3"/>
      <w:bookmarkStart w:id="26" w:name="Tc_3uThmcIihU2qc4vvmI2uWA_2_3"/>
      <w:bookmarkStart w:id="27" w:name="Tc_yDquottGokSFriw2DgxNLQ_2_1"/>
      <w:bookmarkStart w:id="28" w:name="Tc_Fh9YL7yzjEC2d3gRezCDoA_1_4"/>
      <w:bookmarkStart w:id="29" w:name="Tc_2NeDy69go0Kr6vnoXPII1A_1_3"/>
      <w:bookmarkStart w:id="30" w:name="Tc_G0qRshB-NEGOkYCdqCAfQg_1_1"/>
      <w:bookmarkStart w:id="31" w:name="Tc_SxOgsI58LE6DcyD0H9iEgA_1_0"/>
      <w:bookmarkStart w:id="32" w:name="_5e82da66_677a_453c_aa34_d3c481b8c819"/>
      <w:bookmarkStart w:id="33" w:name="Tc_fpBer8ZRjEmG970v88YXUg_3_3"/>
      <w:bookmarkStart w:id="34" w:name="Tc_3uThmcIihU2qc4vvmI2uWA_2_3"/>
      <w:bookmarkStart w:id="35" w:name="Tc_yDquottGokSFriw2DgxNLQ_2_1"/>
      <w:bookmarkStart w:id="36" w:name="Tc_Fh9YL7yzjEC2d3gRezCDoA_1_4"/>
      <w:bookmarkStart w:id="37" w:name="Tc_2NeDy69go0Kr6vnoXPII1A_1_3"/>
      <w:bookmarkStart w:id="38" w:name="Tc_G0qRshB-NEGOkYCdqCAfQg_1_1"/>
      <w:bookmarkStart w:id="39" w:name="Tc_SxOgsI58LE6DcyD0H9iEgA_1_0"/>
      <w:bookmarkStart w:id="40" w:name="_5e82da66_677a_453c_aa34_d3c481b8c819"/>
      <w:bookmarkEnd w:id="33"/>
      <w:bookmarkEnd w:id="34"/>
      <w:bookmarkEnd w:id="35"/>
      <w:bookmarkEnd w:id="36"/>
      <w:bookmarkEnd w:id="37"/>
      <w:bookmarkEnd w:id="38"/>
      <w:bookmarkEnd w:id="39"/>
      <w:bookmarkEnd w:id="40"/>
    </w:p>
    <w:tbl>
      <w:tblPr>
        <w:tblW w:w="4635" w:type="dxa"/>
        <w:jc w:val="left"/>
        <w:tblInd w:w="0" w:type="dxa"/>
        <w:tblCellMar>
          <w:top w:w="0" w:type="dxa"/>
          <w:left w:w="0" w:type="dxa"/>
          <w:bottom w:w="0" w:type="dxa"/>
          <w:right w:w="0" w:type="dxa"/>
        </w:tblCellMar>
      </w:tblPr>
      <w:tblGrid>
        <w:gridCol w:w="1666"/>
        <w:gridCol w:w="376"/>
        <w:gridCol w:w="146"/>
        <w:gridCol w:w="2026"/>
        <w:gridCol w:w="421"/>
      </w:tblGrid>
      <w:tr>
        <w:trPr/>
        <w:tc>
          <w:tcPr>
            <w:tcW w:w="1666" w:type="dxa"/>
            <w:tcBorders/>
            <w:shd w:fill="auto" w:val="clear"/>
            <w:vAlign w:val="center"/>
          </w:tcPr>
          <w:p>
            <w:pPr>
              <w:pStyle w:val="TableContents"/>
              <w:spacing w:before="0" w:after="283"/>
              <w:ind w:left="0" w:right="0" w:hanging="0"/>
              <w:rPr>
                <w:sz w:val="4"/>
                <w:szCs w:val="4"/>
              </w:rPr>
            </w:pPr>
            <w:r>
              <w:rPr>
                <w:sz w:val="4"/>
                <w:szCs w:val="4"/>
              </w:rPr>
            </w:r>
          </w:p>
        </w:tc>
        <w:tc>
          <w:tcPr>
            <w:tcW w:w="37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026" w:type="dxa"/>
            <w:tcBorders/>
            <w:shd w:fill="auto" w:val="clear"/>
            <w:vAlign w:val="center"/>
          </w:tcPr>
          <w:p>
            <w:pPr>
              <w:pStyle w:val="TableContents"/>
              <w:spacing w:before="0" w:after="283"/>
              <w:ind w:left="0" w:right="0" w:hanging="0"/>
              <w:rPr>
                <w:sz w:val="4"/>
                <w:szCs w:val="4"/>
              </w:rPr>
            </w:pPr>
            <w:r>
              <w:rPr>
                <w:sz w:val="4"/>
                <w:szCs w:val="4"/>
              </w:rPr>
            </w:r>
          </w:p>
        </w:tc>
        <w:tc>
          <w:tcPr>
            <w:tcW w:w="421" w:type="dxa"/>
            <w:tcBorders/>
            <w:shd w:fill="auto" w:val="clear"/>
            <w:vAlign w:val="center"/>
          </w:tcPr>
          <w:p>
            <w:pPr>
              <w:pStyle w:val="TableContents"/>
              <w:spacing w:before="0" w:after="283"/>
              <w:ind w:left="0" w:right="0" w:hanging="0"/>
              <w:rPr>
                <w:sz w:val="4"/>
                <w:szCs w:val="4"/>
              </w:rPr>
            </w:pPr>
            <w:r>
              <w:rPr>
                <w:sz w:val="4"/>
                <w:szCs w:val="4"/>
              </w:rPr>
            </w:r>
          </w:p>
        </w:tc>
      </w:tr>
      <w:tr>
        <w:trPr/>
        <w:tc>
          <w:tcPr>
            <w:tcW w:w="166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Large accelerated filer</w:t>
            </w:r>
          </w:p>
        </w:tc>
        <w:tc>
          <w:tcPr>
            <w:tcW w:w="376" w:type="dxa"/>
            <w:tcBorders/>
            <w:shd w:fill="auto" w:val="clear"/>
            <w:vAlign w:val="center"/>
          </w:tcPr>
          <w:p>
            <w:pPr>
              <w:pStyle w:val="TableContents"/>
              <w:spacing w:before="0" w:after="0"/>
              <w:ind w:left="0" w:right="0" w:hanging="0"/>
              <w:rPr/>
            </w:pPr>
            <w:r>
              <w:rPr/>
              <w:t> ☐</w:t>
            </w:r>
          </w:p>
        </w:tc>
        <w:tc>
          <w:tcPr>
            <w:tcW w:w="146" w:type="dxa"/>
            <w:tcBorders/>
            <w:shd w:fill="auto" w:val="clear"/>
            <w:vAlign w:val="center"/>
          </w:tcPr>
          <w:p>
            <w:pPr>
              <w:pStyle w:val="TableContents"/>
              <w:spacing w:before="0" w:after="0"/>
              <w:ind w:left="0" w:right="0" w:hanging="0"/>
              <w:rPr/>
            </w:pPr>
            <w:r>
              <w:rPr/>
              <w:t> </w:t>
            </w:r>
          </w:p>
        </w:tc>
        <w:tc>
          <w:tcPr>
            <w:tcW w:w="202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Accelerated filer</w:t>
            </w:r>
          </w:p>
        </w:tc>
        <w:tc>
          <w:tcPr>
            <w:tcW w:w="421" w:type="dxa"/>
            <w:tcBorders/>
            <w:shd w:fill="auto" w:val="clear"/>
            <w:vAlign w:val="center"/>
          </w:tcPr>
          <w:p>
            <w:pPr>
              <w:pStyle w:val="TableContents"/>
              <w:spacing w:before="0" w:after="0"/>
              <w:ind w:left="0" w:right="0" w:hanging="0"/>
              <w:rPr/>
            </w:pPr>
            <w:r>
              <w:rPr/>
              <w:t>☐</w:t>
            </w:r>
          </w:p>
        </w:tc>
      </w:tr>
      <w:tr>
        <w:trPr/>
        <w:tc>
          <w:tcPr>
            <w:tcW w:w="166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Non-accelerated filer</w:t>
            </w:r>
          </w:p>
        </w:tc>
        <w:tc>
          <w:tcPr>
            <w:tcW w:w="376" w:type="dxa"/>
            <w:tcBorders/>
            <w:shd w:fill="auto" w:val="clear"/>
            <w:vAlign w:val="center"/>
          </w:tcPr>
          <w:p>
            <w:pPr>
              <w:pStyle w:val="TableContents"/>
              <w:spacing w:before="0" w:after="0"/>
              <w:ind w:left="0" w:right="0" w:hanging="0"/>
              <w:rPr/>
            </w:pPr>
            <w:r>
              <w:rPr/>
              <w:t> ⌧</w:t>
            </w:r>
          </w:p>
        </w:tc>
        <w:tc>
          <w:tcPr>
            <w:tcW w:w="146" w:type="dxa"/>
            <w:tcBorders/>
            <w:shd w:fill="auto" w:val="clear"/>
            <w:vAlign w:val="center"/>
          </w:tcPr>
          <w:p>
            <w:pPr>
              <w:pStyle w:val="TableContents"/>
              <w:spacing w:before="0" w:after="0"/>
              <w:ind w:left="0" w:right="0" w:hanging="0"/>
              <w:rPr/>
            </w:pPr>
            <w:r>
              <w:rPr/>
              <w:t> </w:t>
            </w:r>
          </w:p>
        </w:tc>
        <w:tc>
          <w:tcPr>
            <w:tcW w:w="202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Smaller reporting company</w:t>
            </w:r>
          </w:p>
        </w:tc>
        <w:tc>
          <w:tcPr>
            <w:tcW w:w="421" w:type="dxa"/>
            <w:tcBorders/>
            <w:shd w:fill="auto" w:val="clear"/>
            <w:vAlign w:val="center"/>
          </w:tcPr>
          <w:p>
            <w:pPr>
              <w:pStyle w:val="TableContents"/>
              <w:spacing w:before="0" w:after="0"/>
              <w:ind w:left="0" w:right="0" w:hanging="0"/>
              <w:rPr/>
            </w:pPr>
            <w:r>
              <w:rPr/>
              <w:t>☒</w:t>
            </w:r>
          </w:p>
        </w:tc>
      </w:tr>
      <w:tr>
        <w:trPr/>
        <w:tc>
          <w:tcPr>
            <w:tcW w:w="2188" w:type="dxa"/>
            <w:gridSpan w:val="3"/>
            <w:tcBorders/>
            <w:shd w:fill="auto" w:val="clear"/>
            <w:vAlign w:val="center"/>
          </w:tcPr>
          <w:p>
            <w:pPr>
              <w:pStyle w:val="TableContents"/>
              <w:spacing w:before="0" w:after="283"/>
              <w:ind w:left="0" w:right="0" w:hanging="0"/>
              <w:rPr>
                <w:sz w:val="4"/>
                <w:szCs w:val="4"/>
              </w:rPr>
            </w:pPr>
            <w:r>
              <w:rPr>
                <w:sz w:val="4"/>
                <w:szCs w:val="4"/>
              </w:rPr>
            </w:r>
          </w:p>
        </w:tc>
        <w:tc>
          <w:tcPr>
            <w:tcW w:w="202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Emerging growth company</w:t>
            </w:r>
          </w:p>
        </w:tc>
        <w:tc>
          <w:tcPr>
            <w:tcW w:w="421" w:type="dxa"/>
            <w:tcBorders/>
            <w:shd w:fill="auto" w:val="clear"/>
            <w:vAlign w:val="center"/>
          </w:tcPr>
          <w:p>
            <w:pPr>
              <w:pStyle w:val="TableContents"/>
              <w:spacing w:before="0" w:after="0"/>
              <w:ind w:left="0" w:right="0" w:hanging="0"/>
              <w:rPr/>
            </w:pPr>
            <w:r>
              <w:rPr/>
              <w:t> ☐</w:t>
            </w:r>
          </w:p>
        </w:tc>
      </w:tr>
    </w:tbl>
    <w:p>
      <w:pPr>
        <w:pStyle w:val="TextBody"/>
        <w:spacing w:before="0" w:after="0"/>
        <w:ind w:left="0" w:right="0" w:hanging="0"/>
        <w:rPr/>
      </w:pPr>
      <w:r>
        <w:rPr/>
        <w:t>​</w:t>
      </w:r>
    </w:p>
    <w:p>
      <w:pPr>
        <w:pStyle w:val="TextBody"/>
        <w:spacing w:before="0" w:after="120"/>
        <w:ind w:left="0" w:right="0" w:hanging="0"/>
        <w:jc w:val="both"/>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60"/>
        <w:ind w:left="0" w:right="0" w:hanging="0"/>
        <w:jc w:val="both"/>
        <w:rPr>
          <w:rFonts w:ascii="Times New Roman;Times;serif" w:hAnsi="Times New Roman;Times;serif"/>
          <w:sz w:val="20"/>
        </w:rPr>
      </w:pPr>
      <w:r>
        <w:rPr>
          <w:rFonts w:ascii="Times New Roman;Times;serif" w:hAnsi="Times New Roman;Times;serif"/>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spacing w:before="0" w:after="60"/>
        <w:ind w:left="0" w:right="0" w:hanging="0"/>
        <w:jc w:val="both"/>
        <w:rPr>
          <w:rFonts w:ascii="Times New Roman;Times;serif" w:hAnsi="Times New Roman;Times;serif"/>
          <w:sz w:val="16"/>
        </w:rPr>
      </w:pPr>
      <w:r>
        <w:rPr>
          <w:rFonts w:ascii="Times New Roman;Times;serif" w:hAnsi="Times New Roman;Times;serif"/>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spacing w:before="0" w:after="60"/>
        <w:ind w:left="0" w:right="0" w:hanging="0"/>
        <w:jc w:val="both"/>
        <w:rPr>
          <w:rFonts w:ascii="Times New Roman;Times;serif" w:hAnsi="Times New Roman;Times;serif"/>
          <w:sz w:val="16"/>
        </w:rPr>
      </w:pPr>
      <w:r>
        <w:rPr>
          <w:rFonts w:ascii="Times New Roman;Times;serif" w:hAnsi="Times New Roman;Times;serif"/>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spacing w:before="0" w:after="12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spacing w:before="0" w:after="60"/>
        <w:ind w:left="0" w:right="0" w:hanging="0"/>
        <w:jc w:val="both"/>
        <w:rPr>
          <w:rFonts w:ascii="Times New Roman;Times;serif" w:hAnsi="Times New Roman;Times;serif"/>
          <w:sz w:val="18"/>
        </w:rPr>
      </w:pPr>
      <w:bookmarkStart w:id="41" w:name="_Hlk98928670"/>
      <w:bookmarkEnd w:id="41"/>
      <w:r>
        <w:rPr>
          <w:rFonts w:ascii="Times New Roman;Times;serif" w:hAnsi="Times New Roman;Times;serif"/>
          <w:sz w:val="18"/>
        </w:rPr>
        <w:t>The aggregate market value of the registrant’s common stock held by non-affiliates of the registrant (without admitting that any person whose shares are not included in such calculation is an affiliate), as of June 30, 2022, the last business day of the registrant’s most recently completed second quarter, was $65,798,587 computed by reference to the closing sale price of $0.69 per share on the Nasdaq Stock Market LLC on June 30, 2022.</w:t>
      </w:r>
    </w:p>
    <w:p>
      <w:pPr>
        <w:pStyle w:val="TextBody"/>
        <w:spacing w:before="0" w:after="60"/>
        <w:ind w:left="0" w:right="0" w:hanging="0"/>
        <w:jc w:val="both"/>
        <w:rPr>
          <w:rFonts w:ascii="Times New Roman;Times;serif" w:hAnsi="Times New Roman;Times;serif"/>
          <w:sz w:val="18"/>
        </w:rPr>
      </w:pPr>
      <w:r>
        <w:rPr>
          <w:rFonts w:ascii="Times New Roman;Times;serif" w:hAnsi="Times New Roman;Times;serif"/>
          <w:sz w:val="18"/>
        </w:rPr>
        <w:t>As of April 19, 2023, 83,418,535 shares of the registrant’s common stock are outstanding.</w:t>
      </w:r>
    </w:p>
    <w:p>
      <w:pPr>
        <w:pStyle w:val="TextBody"/>
        <w:spacing w:before="0" w:after="120"/>
        <w:ind w:left="0" w:right="0" w:hanging="0"/>
        <w:jc w:val="center"/>
        <w:rPr>
          <w:rFonts w:ascii="Times New Roman;Times;serif" w:hAnsi="Times New Roman;Times;serif"/>
          <w:b/>
          <w:sz w:val="16"/>
        </w:rPr>
      </w:pPr>
      <w:r>
        <w:rPr>
          <w:rFonts w:ascii="Times New Roman;Times;serif" w:hAnsi="Times New Roman;Times;serif"/>
          <w:b/>
          <w:sz w:val="16"/>
        </w:rPr>
        <w:t>DOCUMENTS INCORPORATED BY REFERENCE: None</w:t>
      </w:r>
    </w:p>
    <w:p>
      <w:pPr>
        <w:pStyle w:val="Normal"/>
        <w:spacing w:before="0" w:after="0"/>
        <w:rPr>
          <w:sz w:val="4"/>
          <w:szCs w:val="4"/>
        </w:rPr>
      </w:pPr>
      <w:r>
        <w:rPr>
          <w:sz w:val="4"/>
          <w:szCs w:val="4"/>
        </w:rPr>
      </w:r>
      <w:bookmarkStart w:id="42" w:name="Tc_M_ctcDKtukGaPMkSfEAudg_2_4"/>
      <w:bookmarkStart w:id="43" w:name="Tc_3WQ1pZGxIEOn_21quXSD7A_2_2"/>
      <w:bookmarkStart w:id="44" w:name="Tc_LHbFDMF9zEO7PxHg8rJtjw_2_0"/>
      <w:bookmarkStart w:id="45" w:name="_5f8e58d5_29db_45d6_8ae5_d7258959003b"/>
      <w:bookmarkStart w:id="46" w:name="Tc_M_ctcDKtukGaPMkSfEAudg_2_4"/>
      <w:bookmarkStart w:id="47" w:name="Tc_3WQ1pZGxIEOn_21quXSD7A_2_2"/>
      <w:bookmarkStart w:id="48" w:name="Tc_LHbFDMF9zEO7PxHg8rJtjw_2_0"/>
      <w:bookmarkStart w:id="49" w:name="_5f8e58d5_29db_45d6_8ae5_d7258959003b"/>
      <w:bookmarkEnd w:id="46"/>
      <w:bookmarkEnd w:id="47"/>
      <w:bookmarkEnd w:id="48"/>
      <w:bookmarkEnd w:id="49"/>
    </w:p>
    <w:tbl>
      <w:tblPr>
        <w:tblW w:w="7161" w:type="dxa"/>
        <w:jc w:val="left"/>
        <w:tblInd w:w="0" w:type="dxa"/>
        <w:tblCellMar>
          <w:top w:w="0" w:type="dxa"/>
          <w:left w:w="0" w:type="dxa"/>
          <w:bottom w:w="0" w:type="dxa"/>
          <w:right w:w="0" w:type="dxa"/>
        </w:tblCellMar>
      </w:tblPr>
      <w:tblGrid>
        <w:gridCol w:w="1156"/>
        <w:gridCol w:w="1036"/>
        <w:gridCol w:w="1351"/>
        <w:gridCol w:w="1906"/>
        <w:gridCol w:w="1291"/>
        <w:gridCol w:w="421"/>
      </w:tblGrid>
      <w:tr>
        <w:trPr/>
        <w:tc>
          <w:tcPr>
            <w:tcW w:w="115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c>
          <w:tcPr>
            <w:tcW w:w="1351" w:type="dxa"/>
            <w:tcBorders/>
            <w:shd w:fill="auto" w:val="clear"/>
            <w:vAlign w:val="center"/>
          </w:tcPr>
          <w:p>
            <w:pPr>
              <w:pStyle w:val="TableContents"/>
              <w:spacing w:before="0" w:after="0"/>
              <w:ind w:left="0" w:right="0" w:hanging="0"/>
              <w:rPr/>
            </w:pPr>
            <w:r>
              <w:rPr/>
              <w:t>​</w:t>
            </w:r>
          </w:p>
        </w:tc>
        <w:tc>
          <w:tcPr>
            <w:tcW w:w="190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rPr/>
            </w:pPr>
            <w:r>
              <w:rPr/>
              <w:t>​</w:t>
            </w:r>
          </w:p>
        </w:tc>
      </w:tr>
      <w:tr>
        <w:trPr/>
        <w:tc>
          <w:tcPr>
            <w:tcW w:w="115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c>
          <w:tcPr>
            <w:tcW w:w="1351" w:type="dxa"/>
            <w:tcBorders/>
            <w:shd w:fill="auto" w:val="clear"/>
            <w:vAlign w:val="center"/>
          </w:tcPr>
          <w:p>
            <w:pPr>
              <w:pStyle w:val="TableContents"/>
              <w:spacing w:before="0" w:after="0"/>
              <w:ind w:left="0" w:right="0" w:hanging="0"/>
              <w:rPr/>
            </w:pPr>
            <w:r>
              <w:rPr/>
              <w:t>​</w:t>
            </w:r>
          </w:p>
        </w:tc>
        <w:tc>
          <w:tcPr>
            <w:tcW w:w="1906" w:type="dxa"/>
            <w:tcBorders/>
            <w:shd w:fill="auto" w:val="clear"/>
            <w:vAlign w:val="center"/>
          </w:tcPr>
          <w:p>
            <w:pPr>
              <w:pStyle w:val="TableContents"/>
              <w:spacing w:before="0" w:after="0"/>
              <w:ind w:left="0" w:right="0" w:hanging="0"/>
              <w:rPr/>
            </w:pPr>
            <w:r>
              <w:rPr/>
              <w:t>​</w:t>
            </w:r>
          </w:p>
        </w:tc>
        <w:tc>
          <w:tcPr>
            <w:tcW w:w="1291" w:type="dxa"/>
            <w:tcBorders/>
            <w:shd w:fill="auto" w:val="clear"/>
            <w:vAlign w:val="center"/>
          </w:tcPr>
          <w:p>
            <w:pPr>
              <w:pStyle w:val="TableContents"/>
              <w:spacing w:before="0" w:after="0"/>
              <w:ind w:left="0" w:right="0" w:hanging="0"/>
              <w:rPr/>
            </w:pPr>
            <w:r>
              <w:rPr/>
              <w:t>​</w:t>
            </w:r>
          </w:p>
        </w:tc>
        <w:tc>
          <w:tcPr>
            <w:tcW w:w="421" w:type="dxa"/>
            <w:tcBorders/>
            <w:shd w:fill="auto" w:val="clear"/>
            <w:vAlign w:val="center"/>
          </w:tcPr>
          <w:p>
            <w:pPr>
              <w:pStyle w:val="TableContents"/>
              <w:spacing w:before="0" w:after="0"/>
              <w:ind w:left="0" w:right="0" w:hanging="0"/>
              <w:rPr/>
            </w:pPr>
            <w:r>
              <w:rPr/>
              <w:t>​</w:t>
            </w:r>
          </w:p>
        </w:tc>
      </w:tr>
      <w:tr>
        <w:trPr/>
        <w:tc>
          <w:tcPr>
            <w:tcW w:w="11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Auditor Name:</w:t>
            </w:r>
          </w:p>
        </w:tc>
        <w:tc>
          <w:tcPr>
            <w:tcW w:w="1036" w:type="dxa"/>
            <w:tcBorders/>
            <w:shd w:fill="auto" w:val="clear"/>
            <w:vAlign w:val="center"/>
          </w:tcPr>
          <w:p>
            <w:pPr>
              <w:pStyle w:val="TableContents"/>
              <w:spacing w:before="0" w:after="0"/>
              <w:ind w:left="0" w:right="0" w:hanging="0"/>
              <w:jc w:val="both"/>
              <w:rPr>
                <w:rFonts w:ascii="Times New Roman;Times;serif" w:hAnsi="Times New Roman;Times;serif"/>
                <w:sz w:val="16"/>
              </w:rPr>
            </w:pPr>
            <w:r>
              <w:rPr>
                <w:rFonts w:ascii="Times New Roman;Times;serif" w:hAnsi="Times New Roman;Times;serif"/>
                <w:sz w:val="16"/>
              </w:rPr>
              <w:t>Marcum LLP</w:t>
            </w:r>
          </w:p>
        </w:tc>
        <w:tc>
          <w:tcPr>
            <w:tcW w:w="135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Auditor Location:</w:t>
            </w:r>
          </w:p>
        </w:tc>
        <w:tc>
          <w:tcPr>
            <w:tcW w:w="1906" w:type="dxa"/>
            <w:tcBorders/>
            <w:shd w:fill="auto" w:val="clear"/>
            <w:vAlign w:val="center"/>
          </w:tcPr>
          <w:p>
            <w:pPr>
              <w:pStyle w:val="TableContents"/>
              <w:spacing w:before="0" w:after="0"/>
              <w:ind w:left="0" w:right="0" w:hanging="0"/>
              <w:jc w:val="both"/>
              <w:rPr>
                <w:rFonts w:ascii="Times New Roman;Times;serif" w:hAnsi="Times New Roman;Times;serif"/>
                <w:sz w:val="16"/>
              </w:rPr>
            </w:pPr>
            <w:r>
              <w:rPr>
                <w:rFonts w:ascii="Times New Roman;Times;serif" w:hAnsi="Times New Roman;Times;serif"/>
                <w:sz w:val="16"/>
              </w:rPr>
              <w:t>East Hanover, New Jersey</w:t>
            </w:r>
          </w:p>
        </w:tc>
        <w:tc>
          <w:tcPr>
            <w:tcW w:w="12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Auditor Firm ID:</w:t>
            </w:r>
          </w:p>
        </w:tc>
        <w:tc>
          <w:tcPr>
            <w:tcW w:w="42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688</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pBdr>
          <w:top w:val="single" w:sz="8" w:space="1" w:color="000000"/>
          <w:bottom w:val="single" w:sz="24" w:space="1" w:color="000000"/>
        </w:pBdr>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50" w:name="TOC"/>
      <w:bookmarkStart w:id="51" w:name="_56d84fcb_cc1b_4d59_9923_a1c45a5b3923"/>
      <w:bookmarkEnd w:id="50"/>
      <w:bookmarkEnd w:id="51"/>
      <w:r>
        <w:rPr>
          <w:rFonts w:ascii="Times New Roman;Times;serif" w:hAnsi="Times New Roman;Times;serif"/>
          <w:b/>
          <w:sz w:val="20"/>
        </w:rPr>
        <w:t>TABLE OF CONTENTS</w:t>
      </w:r>
    </w:p>
    <w:p>
      <w:pPr>
        <w:pStyle w:val="TextBody"/>
        <w:spacing w:before="0" w:after="240"/>
        <w:ind w:left="0" w:right="0" w:hanging="0"/>
        <w:jc w:val="both"/>
        <w:rPr/>
      </w:pPr>
      <w:r>
        <w:rPr/>
        <w:t>​</w:t>
      </w:r>
    </w:p>
    <w:tbl>
      <w:tblPr>
        <w:tblW w:w="9408" w:type="dxa"/>
        <w:jc w:val="left"/>
        <w:tblInd w:w="0" w:type="dxa"/>
        <w:tblCellMar>
          <w:top w:w="0" w:type="dxa"/>
          <w:left w:w="0" w:type="dxa"/>
          <w:bottom w:w="0" w:type="dxa"/>
          <w:right w:w="0" w:type="dxa"/>
        </w:tblCellMar>
      </w:tblPr>
      <w:tblGrid>
        <w:gridCol w:w="796"/>
        <w:gridCol w:w="8251"/>
        <w:gridCol w:w="361"/>
      </w:tblGrid>
      <w:tr>
        <w:trPr/>
        <w:tc>
          <w:tcPr>
            <w:tcW w:w="9047" w:type="dxa"/>
            <w:gridSpan w:val="2"/>
            <w:tcBorders/>
            <w:shd w:fill="CCEEFF" w:val="clear"/>
            <w:vAlign w:val="center"/>
          </w:tcPr>
          <w:p>
            <w:pPr>
              <w:pStyle w:val="TableContents"/>
              <w:spacing w:before="0" w:after="0"/>
              <w:ind w:left="0" w:right="0" w:hanging="0"/>
              <w:rPr/>
            </w:pPr>
            <w:hyperlink w:anchor="ExplanatoryNote_811886">
              <w:r>
                <w:rPr>
                  <w:rStyle w:val="InternetLink"/>
                  <w:rFonts w:ascii="Times New Roman;Times;serif" w:hAnsi="Times New Roman;Times;serif"/>
                  <w:b w:val="false"/>
                  <w:i w:val="false"/>
                  <w:caps w:val="false"/>
                  <w:smallCaps w:val="false"/>
                  <w:sz w:val="20"/>
                </w:rPr>
                <w:t>Explanatory Note</w:t>
              </w:r>
            </w:hyperlink>
          </w:p>
        </w:tc>
        <w:tc>
          <w:tcPr>
            <w:tcW w:w="3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9047" w:type="dxa"/>
            <w:gridSpan w:val="2"/>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r>
      <w:tr>
        <w:trPr/>
        <w:tc>
          <w:tcPr>
            <w:tcW w:w="9047" w:type="dxa"/>
            <w:gridSpan w:val="2"/>
            <w:tcBorders/>
            <w:shd w:fill="CCEEFF" w:val="clear"/>
            <w:vAlign w:val="center"/>
          </w:tcPr>
          <w:p>
            <w:pPr>
              <w:pStyle w:val="TableContents"/>
              <w:spacing w:before="0" w:after="0"/>
              <w:ind w:left="0" w:right="0" w:hanging="0"/>
              <w:rPr/>
            </w:pPr>
            <w:hyperlink w:anchor="ForwardLookingStatements_308250">
              <w:r>
                <w:rPr>
                  <w:rStyle w:val="InternetLink"/>
                  <w:rFonts w:ascii="Times New Roman;Times;serif" w:hAnsi="Times New Roman;Times;serif"/>
                  <w:b w:val="false"/>
                  <w:i w:val="false"/>
                  <w:caps w:val="false"/>
                  <w:smallCaps w:val="false"/>
                  <w:sz w:val="20"/>
                </w:rPr>
                <w:t>Forward-Looking Statements</w:t>
              </w:r>
            </w:hyperlink>
          </w:p>
        </w:tc>
        <w:tc>
          <w:tcPr>
            <w:tcW w:w="3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047" w:type="dxa"/>
            <w:gridSpan w:val="2"/>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r>
      <w:tr>
        <w:trPr/>
        <w:tc>
          <w:tcPr>
            <w:tcW w:w="9047" w:type="dxa"/>
            <w:gridSpan w:val="2"/>
            <w:tcBorders/>
            <w:shd w:fill="CCEEFF" w:val="clear"/>
            <w:vAlign w:val="center"/>
          </w:tcPr>
          <w:p>
            <w:pPr>
              <w:pStyle w:val="TableContents"/>
              <w:spacing w:before="0" w:after="0"/>
              <w:ind w:left="0" w:right="0" w:hanging="0"/>
              <w:rPr/>
            </w:pPr>
            <w:hyperlink w:anchor="PARTIII_998158">
              <w:r>
                <w:rPr>
                  <w:rStyle w:val="InternetLink"/>
                  <w:rFonts w:ascii="Times New Roman;Times;serif" w:hAnsi="Times New Roman;Times;serif"/>
                  <w:b w:val="false"/>
                  <w:i w:val="false"/>
                  <w:caps w:val="false"/>
                  <w:smallCaps w:val="false"/>
                  <w:sz w:val="20"/>
                </w:rPr>
                <w:t>PART III</w:t>
              </w:r>
            </w:hyperlink>
          </w:p>
        </w:tc>
        <w:tc>
          <w:tcPr>
            <w:tcW w:w="361" w:type="dxa"/>
            <w:tcBorders/>
            <w:shd w:fill="CCEEFF" w:val="clear"/>
            <w:vAlign w:val="center"/>
          </w:tcPr>
          <w:p>
            <w:pPr>
              <w:pStyle w:val="TableContents"/>
              <w:spacing w:before="0" w:after="0"/>
              <w:ind w:left="0" w:right="0" w:hanging="0"/>
              <w:jc w:val="center"/>
              <w:rPr/>
            </w:pPr>
            <w:r>
              <w:rPr/>
              <w:t>​</w:t>
            </w:r>
          </w:p>
        </w:tc>
      </w:tr>
      <w:tr>
        <w:trPr/>
        <w:tc>
          <w:tcPr>
            <w:tcW w:w="796" w:type="dxa"/>
            <w:tcBorders/>
            <w:shd w:fill="auto" w:val="clear"/>
            <w:vAlign w:val="center"/>
          </w:tcPr>
          <w:p>
            <w:pPr>
              <w:pStyle w:val="TableContents"/>
              <w:spacing w:before="0" w:after="0"/>
              <w:ind w:left="0" w:right="0" w:hanging="0"/>
              <w:rPr/>
            </w:pPr>
            <w:hyperlink w:anchor="ITEM10DIRECTORSEXECUTIVEOFFICERSANDCORPO">
              <w:r>
                <w:rPr>
                  <w:rStyle w:val="InternetLink"/>
                  <w:rFonts w:ascii="Times New Roman;Times;serif" w:hAnsi="Times New Roman;Times;serif"/>
                  <w:b w:val="false"/>
                  <w:i w:val="false"/>
                  <w:caps w:val="false"/>
                  <w:smallCaps w:val="false"/>
                  <w:sz w:val="20"/>
                </w:rPr>
                <w:t>Item 10:</w:t>
              </w:r>
            </w:hyperlink>
          </w:p>
        </w:tc>
        <w:tc>
          <w:tcPr>
            <w:tcW w:w="8251" w:type="dxa"/>
            <w:tcBorders/>
            <w:shd w:fill="auto" w:val="clear"/>
            <w:vAlign w:val="center"/>
          </w:tcPr>
          <w:p>
            <w:pPr>
              <w:pStyle w:val="TableContents"/>
              <w:spacing w:before="0" w:after="0"/>
              <w:ind w:left="0" w:right="0" w:hanging="0"/>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3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796" w:type="dxa"/>
            <w:tcBorders/>
            <w:shd w:fill="CCEEFF" w:val="clear"/>
            <w:vAlign w:val="center"/>
          </w:tcPr>
          <w:p>
            <w:pPr>
              <w:pStyle w:val="TableContents"/>
              <w:spacing w:before="0" w:after="0"/>
              <w:ind w:left="0" w:right="0" w:hanging="0"/>
              <w:rPr/>
            </w:pPr>
            <w:hyperlink w:anchor="ITEM11EXECUTIVECOMPENSATION_983420">
              <w:r>
                <w:rPr>
                  <w:rStyle w:val="InternetLink"/>
                  <w:rFonts w:ascii="Times New Roman;Times;serif" w:hAnsi="Times New Roman;Times;serif"/>
                  <w:b w:val="false"/>
                  <w:i w:val="false"/>
                  <w:caps w:val="false"/>
                  <w:smallCaps w:val="false"/>
                  <w:sz w:val="20"/>
                </w:rPr>
                <w:t>Item 11:</w:t>
              </w:r>
            </w:hyperlink>
          </w:p>
        </w:tc>
        <w:tc>
          <w:tcPr>
            <w:tcW w:w="8251" w:type="dxa"/>
            <w:tcBorders/>
            <w:shd w:fill="CCEEFF" w:val="clear"/>
            <w:vAlign w:val="center"/>
          </w:tcPr>
          <w:p>
            <w:pPr>
              <w:pStyle w:val="TableContents"/>
              <w:spacing w:before="0" w:after="0"/>
              <w:ind w:left="0" w:right="0" w:hanging="0"/>
              <w:rPr/>
            </w:pPr>
            <w:hyperlink w:anchor="ITEM11EXECUTIVECOMPENSATION_983420">
              <w:r>
                <w:rPr>
                  <w:rStyle w:val="InternetLink"/>
                  <w:rFonts w:ascii="Times New Roman;Times;serif" w:hAnsi="Times New Roman;Times;serif"/>
                  <w:b w:val="false"/>
                  <w:i w:val="false"/>
                  <w:caps w:val="false"/>
                  <w:smallCaps w:val="false"/>
                  <w:sz w:val="20"/>
                </w:rPr>
                <w:t>Executive Compensation</w:t>
              </w:r>
            </w:hyperlink>
          </w:p>
        </w:tc>
        <w:tc>
          <w:tcPr>
            <w:tcW w:w="3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796" w:type="dxa"/>
            <w:tcBorders/>
            <w:shd w:fill="auto" w:val="clear"/>
            <w:vAlign w:val="center"/>
          </w:tcPr>
          <w:p>
            <w:pPr>
              <w:pStyle w:val="TableContents"/>
              <w:spacing w:before="0" w:after="0"/>
              <w:ind w:left="0" w:right="0" w:hanging="0"/>
              <w:rPr/>
            </w:pPr>
            <w:hyperlink w:anchor="ITEM12SECURITYOWNERSHIP_852208">
              <w:r>
                <w:rPr>
                  <w:rStyle w:val="InternetLink"/>
                  <w:rFonts w:ascii="Times New Roman;Times;serif" w:hAnsi="Times New Roman;Times;serif"/>
                  <w:b w:val="false"/>
                  <w:i w:val="false"/>
                  <w:caps w:val="false"/>
                  <w:smallCaps w:val="false"/>
                  <w:sz w:val="20"/>
                </w:rPr>
                <w:t>Item 12:</w:t>
              </w:r>
            </w:hyperlink>
          </w:p>
        </w:tc>
        <w:tc>
          <w:tcPr>
            <w:tcW w:w="8251" w:type="dxa"/>
            <w:tcBorders/>
            <w:shd w:fill="auto" w:val="clear"/>
            <w:vAlign w:val="center"/>
          </w:tcPr>
          <w:p>
            <w:pPr>
              <w:pStyle w:val="TableContents"/>
              <w:spacing w:before="0" w:after="0"/>
              <w:ind w:left="0" w:right="0" w:hanging="0"/>
              <w:rPr/>
            </w:pPr>
            <w:hyperlink w:anchor="ITEM12SECURITYOWNERSHIP_852208">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3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tc>
      </w:tr>
      <w:tr>
        <w:trPr/>
        <w:tc>
          <w:tcPr>
            <w:tcW w:w="796" w:type="dxa"/>
            <w:tcBorders/>
            <w:shd w:fill="CCEEFF" w:val="clear"/>
            <w:vAlign w:val="center"/>
          </w:tcPr>
          <w:p>
            <w:pPr>
              <w:pStyle w:val="TableContents"/>
              <w:spacing w:before="0" w:after="0"/>
              <w:ind w:left="0" w:right="0" w:hanging="0"/>
              <w:rPr/>
            </w:pPr>
            <w:hyperlink w:anchor="ITEM13CERTAINRELATIONSHIPS_17893">
              <w:r>
                <w:rPr>
                  <w:rStyle w:val="InternetLink"/>
                  <w:rFonts w:ascii="Times New Roman;Times;serif" w:hAnsi="Times New Roman;Times;serif"/>
                  <w:b w:val="false"/>
                  <w:i w:val="false"/>
                  <w:caps w:val="false"/>
                  <w:smallCaps w:val="false"/>
                  <w:sz w:val="20"/>
                </w:rPr>
                <w:t>Item 13:</w:t>
              </w:r>
            </w:hyperlink>
          </w:p>
        </w:tc>
        <w:tc>
          <w:tcPr>
            <w:tcW w:w="8251" w:type="dxa"/>
            <w:tcBorders/>
            <w:shd w:fill="CCEEFF" w:val="clear"/>
            <w:vAlign w:val="center"/>
          </w:tcPr>
          <w:p>
            <w:pPr>
              <w:pStyle w:val="TableContents"/>
              <w:spacing w:before="0" w:after="0"/>
              <w:ind w:left="0" w:right="0" w:hanging="0"/>
              <w:rPr/>
            </w:pPr>
            <w:hyperlink w:anchor="ITEM13CERTAINRELATIONSHIPS_17893">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3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tc>
      </w:tr>
      <w:tr>
        <w:trPr/>
        <w:tc>
          <w:tcPr>
            <w:tcW w:w="796" w:type="dxa"/>
            <w:tcBorders/>
            <w:shd w:fill="auto" w:val="clear"/>
            <w:vAlign w:val="center"/>
          </w:tcPr>
          <w:p>
            <w:pPr>
              <w:pStyle w:val="TableContents"/>
              <w:spacing w:before="0" w:after="0"/>
              <w:ind w:left="0" w:right="0" w:hanging="0"/>
              <w:rPr/>
            </w:pPr>
            <w:hyperlink w:anchor="ITEM14PRINCIPALACCOUNTINGFEESANDSERVICES">
              <w:r>
                <w:rPr>
                  <w:rStyle w:val="InternetLink"/>
                  <w:rFonts w:ascii="Times New Roman;Times;serif" w:hAnsi="Times New Roman;Times;serif"/>
                  <w:b w:val="false"/>
                  <w:i w:val="false"/>
                  <w:caps w:val="false"/>
                  <w:smallCaps w:val="false"/>
                  <w:sz w:val="20"/>
                </w:rPr>
                <w:t>Item 14:</w:t>
              </w:r>
            </w:hyperlink>
          </w:p>
        </w:tc>
        <w:tc>
          <w:tcPr>
            <w:tcW w:w="8251" w:type="dxa"/>
            <w:tcBorders/>
            <w:shd w:fill="auto" w:val="clear"/>
            <w:vAlign w:val="center"/>
          </w:tcPr>
          <w:p>
            <w:pPr>
              <w:pStyle w:val="TableContents"/>
              <w:spacing w:before="0" w:after="0"/>
              <w:ind w:left="0" w:right="0" w:hanging="0"/>
              <w:rPr/>
            </w:pPr>
            <w:hyperlink w:anchor="ITEM14PRINCIPALACCOUNTINGFEESANDSERVICES">
              <w:r>
                <w:rPr>
                  <w:rStyle w:val="InternetLink"/>
                  <w:rFonts w:ascii="Times New Roman;Times;serif" w:hAnsi="Times New Roman;Times;serif"/>
                  <w:b w:val="false"/>
                  <w:i w:val="false"/>
                  <w:caps w:val="false"/>
                  <w:smallCaps w:val="false"/>
                  <w:sz w:val="20"/>
                </w:rPr>
                <w:t>Principal Accountant Fees and Services</w:t>
              </w:r>
            </w:hyperlink>
          </w:p>
        </w:tc>
        <w:tc>
          <w:tcPr>
            <w:tcW w:w="3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tc>
      </w:tr>
      <w:tr>
        <w:trPr/>
        <w:tc>
          <w:tcPr>
            <w:tcW w:w="796" w:type="dxa"/>
            <w:tcBorders/>
            <w:shd w:fill="CCEEFF" w:val="clear"/>
            <w:vAlign w:val="center"/>
          </w:tcPr>
          <w:p>
            <w:pPr>
              <w:pStyle w:val="TableContents"/>
              <w:spacing w:before="0" w:after="0"/>
              <w:ind w:left="0" w:right="0" w:hanging="0"/>
              <w:rPr/>
            </w:pPr>
            <w:r>
              <w:rPr/>
              <w:t>​</w:t>
            </w:r>
          </w:p>
        </w:tc>
        <w:tc>
          <w:tcPr>
            <w:tcW w:w="8251" w:type="dxa"/>
            <w:tcBorders/>
            <w:shd w:fill="CCEEFF" w:val="clear"/>
            <w:vAlign w:val="center"/>
          </w:tcPr>
          <w:p>
            <w:pPr>
              <w:pStyle w:val="TableContents"/>
              <w:spacing w:before="0" w:after="0"/>
              <w:ind w:left="0" w:right="0" w:hanging="0"/>
              <w:rPr/>
            </w:pPr>
            <w:r>
              <w:rPr/>
              <w:t>​</w:t>
            </w:r>
          </w:p>
        </w:tc>
        <w:tc>
          <w:tcPr>
            <w:tcW w:w="361" w:type="dxa"/>
            <w:tcBorders/>
            <w:shd w:fill="CCEEFF" w:val="clear"/>
            <w:vAlign w:val="center"/>
          </w:tcPr>
          <w:p>
            <w:pPr>
              <w:pStyle w:val="TableContents"/>
              <w:spacing w:before="0" w:after="0"/>
              <w:ind w:left="0" w:right="0" w:hanging="0"/>
              <w:jc w:val="center"/>
              <w:rPr/>
            </w:pPr>
            <w:r>
              <w:rPr/>
              <w:t>​</w:t>
            </w:r>
          </w:p>
        </w:tc>
      </w:tr>
      <w:tr>
        <w:trPr/>
        <w:tc>
          <w:tcPr>
            <w:tcW w:w="9047" w:type="dxa"/>
            <w:gridSpan w:val="2"/>
            <w:tcBorders/>
            <w:shd w:fill="auto" w:val="clear"/>
            <w:vAlign w:val="center"/>
          </w:tcPr>
          <w:p>
            <w:pPr>
              <w:pStyle w:val="TableContents"/>
              <w:spacing w:before="0" w:after="0"/>
              <w:ind w:left="0" w:right="0" w:hanging="0"/>
              <w:rPr/>
            </w:pPr>
            <w:hyperlink w:anchor="PARTIV_326056">
              <w:r>
                <w:rPr>
                  <w:rStyle w:val="InternetLink"/>
                  <w:rFonts w:ascii="Times New Roman;Times;serif" w:hAnsi="Times New Roman;Times;serif"/>
                  <w:b w:val="false"/>
                  <w:i w:val="false"/>
                  <w:caps w:val="false"/>
                  <w:smallCaps w:val="false"/>
                  <w:sz w:val="20"/>
                </w:rPr>
                <w:t>PART IV</w:t>
              </w:r>
            </w:hyperlink>
          </w:p>
        </w:tc>
        <w:tc>
          <w:tcPr>
            <w:tcW w:w="361" w:type="dxa"/>
            <w:tcBorders/>
            <w:shd w:fill="auto" w:val="clear"/>
            <w:vAlign w:val="center"/>
          </w:tcPr>
          <w:p>
            <w:pPr>
              <w:pStyle w:val="TableContents"/>
              <w:spacing w:before="0" w:after="0"/>
              <w:ind w:left="0" w:right="0" w:hanging="0"/>
              <w:jc w:val="center"/>
              <w:rPr/>
            </w:pPr>
            <w:r>
              <w:rPr/>
              <w:t>​</w:t>
            </w:r>
          </w:p>
        </w:tc>
      </w:tr>
      <w:tr>
        <w:trPr/>
        <w:tc>
          <w:tcPr>
            <w:tcW w:w="796" w:type="dxa"/>
            <w:tcBorders/>
            <w:shd w:fill="CCEEFF" w:val="clear"/>
            <w:vAlign w:val="center"/>
          </w:tcPr>
          <w:p>
            <w:pPr>
              <w:pStyle w:val="TableContents"/>
              <w:spacing w:before="0" w:after="0"/>
              <w:ind w:left="0" w:right="0" w:hanging="0"/>
              <w:rPr/>
            </w:pPr>
            <w:hyperlink w:anchor="ITEM15EXHIBITSFINANCIALSTATEMENTSCHEDULE">
              <w:r>
                <w:rPr>
                  <w:rStyle w:val="InternetLink"/>
                  <w:rFonts w:ascii="Times New Roman;Times;serif" w:hAnsi="Times New Roman;Times;serif"/>
                  <w:b w:val="false"/>
                  <w:i w:val="false"/>
                  <w:caps w:val="false"/>
                  <w:smallCaps w:val="false"/>
                  <w:sz w:val="20"/>
                </w:rPr>
                <w:t>Item 15:</w:t>
              </w:r>
            </w:hyperlink>
          </w:p>
        </w:tc>
        <w:tc>
          <w:tcPr>
            <w:tcW w:w="8251" w:type="dxa"/>
            <w:tcBorders/>
            <w:shd w:fill="CCEEFF" w:val="clear"/>
            <w:vAlign w:val="center"/>
          </w:tcPr>
          <w:p>
            <w:pPr>
              <w:pStyle w:val="TableContents"/>
              <w:spacing w:before="0" w:after="0"/>
              <w:ind w:left="0" w:right="0" w:hanging="0"/>
              <w:rPr/>
            </w:pPr>
            <w:hyperlink w:anchor="ITEM15EXHIBITSFINANCIALSTATEMENTSCHEDULE">
              <w:r>
                <w:rPr>
                  <w:rStyle w:val="InternetLink"/>
                  <w:rFonts w:ascii="Times New Roman;Times;serif" w:hAnsi="Times New Roman;Times;serif"/>
                  <w:b w:val="false"/>
                  <w:i w:val="false"/>
                  <w:caps w:val="false"/>
                  <w:smallCaps w:val="false"/>
                  <w:sz w:val="20"/>
                </w:rPr>
                <w:t>Exhibits, Financial Statement Schedules</w:t>
              </w:r>
            </w:hyperlink>
          </w:p>
        </w:tc>
        <w:tc>
          <w:tcPr>
            <w:tcW w:w="3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tc>
      </w:tr>
      <w:tr>
        <w:trPr/>
        <w:tc>
          <w:tcPr>
            <w:tcW w:w="796" w:type="dxa"/>
            <w:tcBorders/>
            <w:shd w:fill="auto" w:val="clear"/>
            <w:vAlign w:val="center"/>
          </w:tcPr>
          <w:p>
            <w:pPr>
              <w:pStyle w:val="TableContents"/>
              <w:spacing w:before="0" w:after="0"/>
              <w:ind w:left="0" w:right="0" w:hanging="0"/>
              <w:rPr/>
            </w:pPr>
            <w:r>
              <w:rPr/>
              <w:t>​</w:t>
            </w:r>
          </w:p>
        </w:tc>
        <w:tc>
          <w:tcPr>
            <w:tcW w:w="8251"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jc w:val="center"/>
              <w:rPr/>
            </w:pPr>
            <w:r>
              <w:rPr/>
              <w:t>​</w:t>
            </w:r>
          </w:p>
        </w:tc>
      </w:tr>
      <w:tr>
        <w:trPr/>
        <w:tc>
          <w:tcPr>
            <w:tcW w:w="9047" w:type="dxa"/>
            <w:gridSpan w:val="2"/>
            <w:tcBorders/>
            <w:shd w:fill="CCEEFF" w:val="clear"/>
            <w:vAlign w:val="center"/>
          </w:tcPr>
          <w:p>
            <w:pPr>
              <w:pStyle w:val="TableContents"/>
              <w:spacing w:before="0" w:after="0"/>
              <w:ind w:left="0" w:right="0" w:hanging="0"/>
              <w:rPr/>
            </w:pPr>
            <w:hyperlink w:anchor="SIGNATURES_236392">
              <w:r>
                <w:rPr>
                  <w:rStyle w:val="InternetLink"/>
                  <w:rFonts w:ascii="Times New Roman;Times;serif" w:hAnsi="Times New Roman;Times;serif"/>
                  <w:b w:val="false"/>
                  <w:i w:val="false"/>
                  <w:caps w:val="false"/>
                  <w:smallCaps w:val="false"/>
                  <w:sz w:val="20"/>
                </w:rPr>
                <w:t>Signature Page</w:t>
              </w:r>
            </w:hyperlink>
          </w:p>
        </w:tc>
        <w:tc>
          <w:tcPr>
            <w:tcW w:w="36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52" w:name="ExplanatoryNote_811886"/>
      <w:bookmarkStart w:id="53" w:name="_1e5e6100_f700_40be_a4ef_b63768309f88"/>
      <w:bookmarkEnd w:id="52"/>
      <w:bookmarkEnd w:id="53"/>
      <w:r>
        <w:rPr>
          <w:rFonts w:ascii="Times New Roman;Times;serif" w:hAnsi="Times New Roman;Times;serif"/>
          <w:b/>
          <w:sz w:val="20"/>
        </w:rPr>
        <w:t>Explanatory Note</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This Amendment No. 1 on Form 10-K/A (this “Form 10-K/A”) amends the Annual Report on Form 10-K of XWELL, Inc. (“XWELL” or the “Company”) for the fiscal year ended December 31, 2022 as originally filed with the Securities and Exchange Commission (the “SEC”) on April 17, 2023 (the “Original Filing”). This Form 10-K/A amends the Original Filing to include the information required by Part III of the Original Filing because the Company has not filed and will not file a definitive proxy statement within 120 days after the end of its 2022 fiscal year. In addition, this Form 10-K/A amends Item 15 of Part IV of the Original Filing to include new certifications by our principal executive officer and principal financial and accounting officer under Section 302 of the Sarbanes-Oxley Act of 2002, as required by Rule 12b-15 under the Securities Exchange Act of 1934, as amended (the “Exchange Act”).</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Except for the foregoing, we have not modified or updated disclosures presented in the Original Filing in this Form 10-K/A. Accordingly, this Form 10-K/A does not modify or update the disclosures in the Original Filing to reflect subsequent events, results or developments or facts that have become known to us after the date of the Original Filing. Information not affected by this Form 10-K/A remains unchanged and reflects the disclosures made at the time the Original Filing was filed. Therefore, this Form 10-K/A should be read in conjunction with any documents incorporated by reference therein and our filings made with the SEC subsequent to the Original Filing.</w:t>
      </w:r>
    </w:p>
    <w:p>
      <w:pPr>
        <w:pStyle w:val="TextBody"/>
        <w:spacing w:before="0" w:after="0"/>
        <w:ind w:left="0" w:right="0" w:hanging="0"/>
        <w:jc w:val="both"/>
        <w:rPr/>
      </w:pPr>
      <w:r>
        <w:rPr/>
        <w:t> </w:t>
      </w:r>
    </w:p>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54" w:name="ForwardLookingStatements_308250"/>
      <w:bookmarkStart w:id="55" w:name="_be40570f_6652_4af0_b4e6_e6fe648bd82b"/>
      <w:bookmarkEnd w:id="54"/>
      <w:bookmarkEnd w:id="55"/>
      <w:r>
        <w:rPr>
          <w:rFonts w:ascii="Times New Roman;Times;serif" w:hAnsi="Times New Roman;Times;serif"/>
          <w:b/>
          <w:sz w:val="20"/>
        </w:rPr>
        <w:t>Forward-Looking Statements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This Form 10-K/A contains “forward-looking statements” within the meaning of the Private Securities Litigation Reform Act of 1995. Such statements are based on management’s expectations and are subject to certain factors, risks and uncertainties that may cause actual results, outcome of events, timing and performance to differ materially from those expressed or implied by such forward-looking statements. Forward-looking statements should be evaluated together with the many uncertainties that affect our business, particularly those mentioned in the Risk Factors in Item 1A of our Original Filing and in our periodic reports on Form 10-Q and Form 8-K.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All references in this Form 10-K/A to “we,” “us” and “our” refer to XWELL, Inc., a Delaware corporation, and its consolidated subsidiaries unless the context requires otherwise.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56" w:name="PARTIII_998158"/>
      <w:bookmarkStart w:id="57" w:name="_0503f41c_8d69_4b70_94ac_52747e6eaf26"/>
      <w:bookmarkEnd w:id="56"/>
      <w:bookmarkEnd w:id="57"/>
      <w:r>
        <w:rPr>
          <w:rFonts w:ascii="Times New Roman;Times;serif" w:hAnsi="Times New Roman;Times;serif"/>
          <w:b/>
          <w:sz w:val="20"/>
        </w:rPr>
        <w:t>PART III</w:t>
      </w:r>
    </w:p>
    <w:p>
      <w:pPr>
        <w:pStyle w:val="TextBody"/>
        <w:spacing w:before="0" w:after="240"/>
        <w:ind w:left="0" w:right="0" w:hanging="0"/>
        <w:rPr>
          <w:rFonts w:ascii="Times New Roman;Times;serif" w:hAnsi="Times New Roman;Times;serif"/>
          <w:b/>
          <w:sz w:val="20"/>
        </w:rPr>
      </w:pPr>
      <w:bookmarkStart w:id="58" w:name="ITEM10DIRECTORSEXECUTIVEOFFICERSANDCORPO"/>
      <w:bookmarkEnd w:id="58"/>
      <w:r>
        <w:rPr>
          <w:rFonts w:ascii="Times New Roman;Times;serif" w:hAnsi="Times New Roman;Times;serif"/>
          <w:b/>
          <w:sz w:val="20"/>
        </w:rPr>
        <w:t>ITEM 10. DIRECTORS, EXECUTIVE OFFICERS AND CORPORATE GOVERNANCE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Directors and Executive Officers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Board of Directors currently consists of five (5) members. Prior to each annual meeting of stockholders, the Board of Directors considers the recommendations of the Nominating and Corporate Governance Committee and votes to nominate individuals for election or re-election for a term of one year or until their successors are duly elected and qualify or until their earlier death, resignation, or removal. Election takes place at our annual meeting of stockholders.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Set forth below are the names of our directors and executive officers, their ages (as of the filing date of this Form 10-K/A), their position(s) with the Company,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There are no family relationships among any of the directors or executive officers. Additionally, information about the specific experience, qualifications, attributes or skills that led to our Board of Directors’ conclusion that each person listed below as a director should serve as a director is set forth below:</w:t>
      </w:r>
    </w:p>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1832"/>
        <w:gridCol w:w="326"/>
        <w:gridCol w:w="391"/>
        <w:gridCol w:w="326"/>
        <w:gridCol w:w="7330"/>
      </w:tblGrid>
      <w:tr>
        <w:trPr/>
        <w:tc>
          <w:tcPr>
            <w:tcW w:w="18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163320" cy="175260"/>
                      <wp:effectExtent l="0" t="0" r="0" b="0"/>
                      <wp:wrapNone/>
                      <wp:docPr id="2" name="Frame2"/>
                      <a:graphic xmlns:a="http://schemas.openxmlformats.org/drawingml/2006/main">
                        <a:graphicData uri="http://schemas.microsoft.com/office/word/2010/wordprocessingShape">
                          <wps:wsp>
                            <wps:cNvSpPr txBox="1"/>
                            <wps:spPr>
                              <a:xfrm>
                                <a:off x="0" y="0"/>
                                <a:ext cx="11633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7010" cy="175260"/>
                      <wp:effectExtent l="0" t="0" r="0" b="0"/>
                      <wp:wrapNone/>
                      <wp:docPr id="3" name="Frame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48285" cy="175260"/>
                      <wp:effectExtent l="0" t="0" r="0" b="0"/>
                      <wp:wrapNone/>
                      <wp:docPr id="4" name="Frame4"/>
                      <a:graphic xmlns:a="http://schemas.openxmlformats.org/drawingml/2006/main">
                        <a:graphicData uri="http://schemas.microsoft.com/office/word/2010/wordprocessingShape">
                          <wps:wsp>
                            <wps:cNvSpPr txBox="1"/>
                            <wps:spPr>
                              <a:xfrm>
                                <a:off x="0" y="0"/>
                                <a:ext cx="248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654550" cy="175260"/>
                      <wp:effectExtent l="0" t="0" r="0" b="0"/>
                      <wp:wrapNone/>
                      <wp:docPr id="6" name="Frame6"/>
                      <a:graphic xmlns:a="http://schemas.openxmlformats.org/drawingml/2006/main">
                        <a:graphicData uri="http://schemas.microsoft.com/office/word/2010/wordprocessingShape">
                          <wps:wsp>
                            <wps:cNvSpPr txBox="1"/>
                            <wps:spPr>
                              <a:xfrm>
                                <a:off x="0" y="0"/>
                                <a:ext cx="46545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832"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Name</w:t>
            </w:r>
          </w:p>
        </w:tc>
        <w:tc>
          <w:tcPr>
            <w:tcW w:w="326" w:type="dxa"/>
            <w:tcBorders/>
            <w:shd w:fill="auto" w:val="clear"/>
            <w:vAlign w:val="center"/>
          </w:tcPr>
          <w:p>
            <w:pPr>
              <w:pStyle w:val="TableContents"/>
              <w:spacing w:before="0" w:after="1"/>
              <w:ind w:left="0" w:right="0" w:hanging="0"/>
              <w:rPr/>
            </w:pPr>
            <w:r>
              <w:rPr/>
              <w:t>    </w:t>
            </w:r>
          </w:p>
        </w:tc>
        <w:tc>
          <w:tcPr>
            <w:tcW w:w="3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26" w:type="dxa"/>
            <w:tcBorders/>
            <w:shd w:fill="auto" w:val="clear"/>
            <w:vAlign w:val="center"/>
          </w:tcPr>
          <w:p>
            <w:pPr>
              <w:pStyle w:val="TableContents"/>
              <w:spacing w:before="0" w:after="1"/>
              <w:ind w:left="0" w:right="0" w:hanging="0"/>
              <w:rPr/>
            </w:pPr>
            <w:r>
              <w:rPr/>
              <w:t>    </w:t>
            </w:r>
          </w:p>
        </w:tc>
        <w:tc>
          <w:tcPr>
            <w:tcW w:w="7330"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Position(s) with the Company</w:t>
            </w:r>
          </w:p>
        </w:tc>
      </w:tr>
      <w:tr>
        <w:trPr/>
        <w:tc>
          <w:tcPr>
            <w:tcW w:w="1832"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Bruce T. Bernstein*</w:t>
            </w:r>
            <w:r>
              <w:rPr>
                <w:rFonts w:ascii="Times New Roman;Times;serif" w:hAnsi="Times New Roman;Times;serif"/>
                <w:sz w:val="15"/>
              </w:rPr>
              <w:t>(1)(2)(3)(4)</w:t>
            </w:r>
          </w:p>
        </w:tc>
        <w:tc>
          <w:tcPr>
            <w:tcW w:w="326" w:type="dxa"/>
            <w:tcBorders/>
            <w:shd w:fill="CCEEFF" w:val="clear"/>
            <w:vAlign w:val="center"/>
          </w:tcPr>
          <w:p>
            <w:pPr>
              <w:pStyle w:val="TableContents"/>
              <w:spacing w:before="0" w:after="1"/>
              <w:ind w:left="0" w:right="0" w:hanging="0"/>
              <w:rPr/>
            </w:pPr>
            <w:r>
              <w:rPr/>
              <w:t> </w:t>
            </w:r>
          </w:p>
        </w:tc>
        <w:tc>
          <w:tcPr>
            <w:tcW w:w="39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59</w:t>
            </w:r>
          </w:p>
        </w:tc>
        <w:tc>
          <w:tcPr>
            <w:tcW w:w="326" w:type="dxa"/>
            <w:tcBorders/>
            <w:shd w:fill="CCEEFF" w:val="clear"/>
            <w:vAlign w:val="center"/>
          </w:tcPr>
          <w:p>
            <w:pPr>
              <w:pStyle w:val="TableContents"/>
              <w:spacing w:before="0" w:after="1"/>
              <w:ind w:left="0" w:right="0" w:hanging="0"/>
              <w:rPr/>
            </w:pPr>
            <w:r>
              <w:rPr/>
              <w:t> </w:t>
            </w:r>
          </w:p>
        </w:tc>
        <w:tc>
          <w:tcPr>
            <w:tcW w:w="733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Chairman of the Board of Directors</w:t>
            </w:r>
          </w:p>
        </w:tc>
      </w:tr>
      <w:tr>
        <w:trPr/>
        <w:tc>
          <w:tcPr>
            <w:tcW w:w="1832"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Robert Weinstein</w:t>
            </w:r>
            <w:r>
              <w:rPr>
                <w:rFonts w:ascii="Times New Roman;Times;serif" w:hAnsi="Times New Roman;Times;serif"/>
                <w:sz w:val="15"/>
              </w:rPr>
              <w:t>*(2)(4)</w:t>
            </w:r>
          </w:p>
        </w:tc>
        <w:tc>
          <w:tcPr>
            <w:tcW w:w="326" w:type="dxa"/>
            <w:tcBorders/>
            <w:shd w:fill="auto" w:val="clear"/>
            <w:vAlign w:val="center"/>
          </w:tcPr>
          <w:p>
            <w:pPr>
              <w:pStyle w:val="TableContents"/>
              <w:spacing w:before="0" w:after="1"/>
              <w:ind w:left="0" w:right="0" w:hanging="0"/>
              <w:rPr/>
            </w:pPr>
            <w:r>
              <w:rPr/>
              <w:t> </w:t>
            </w:r>
          </w:p>
        </w:tc>
        <w:tc>
          <w:tcPr>
            <w:tcW w:w="39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63</w:t>
            </w:r>
          </w:p>
        </w:tc>
        <w:tc>
          <w:tcPr>
            <w:tcW w:w="326" w:type="dxa"/>
            <w:tcBorders/>
            <w:shd w:fill="auto" w:val="clear"/>
            <w:vAlign w:val="center"/>
          </w:tcPr>
          <w:p>
            <w:pPr>
              <w:pStyle w:val="TableContents"/>
              <w:spacing w:before="0" w:after="1"/>
              <w:ind w:left="0" w:right="0" w:hanging="0"/>
              <w:rPr/>
            </w:pPr>
            <w:r>
              <w:rPr/>
              <w:t> </w:t>
            </w:r>
          </w:p>
        </w:tc>
        <w:tc>
          <w:tcPr>
            <w:tcW w:w="733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Director</w:t>
            </w:r>
          </w:p>
        </w:tc>
      </w:tr>
      <w:tr>
        <w:trPr/>
        <w:tc>
          <w:tcPr>
            <w:tcW w:w="1832"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Donald E. Stout*</w:t>
            </w:r>
            <w:r>
              <w:rPr>
                <w:rFonts w:ascii="Times New Roman;Times;serif" w:hAnsi="Times New Roman;Times;serif"/>
                <w:sz w:val="15"/>
              </w:rPr>
              <w:t>(1)(2)(3)</w:t>
            </w:r>
          </w:p>
        </w:tc>
        <w:tc>
          <w:tcPr>
            <w:tcW w:w="326" w:type="dxa"/>
            <w:tcBorders/>
            <w:shd w:fill="CCEEFF" w:val="clear"/>
            <w:vAlign w:val="center"/>
          </w:tcPr>
          <w:p>
            <w:pPr>
              <w:pStyle w:val="TableContents"/>
              <w:spacing w:before="0" w:after="1"/>
              <w:ind w:left="0" w:right="0" w:hanging="0"/>
              <w:rPr/>
            </w:pPr>
            <w:r>
              <w:rPr/>
              <w:t> </w:t>
            </w:r>
          </w:p>
        </w:tc>
        <w:tc>
          <w:tcPr>
            <w:tcW w:w="39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77</w:t>
            </w:r>
          </w:p>
        </w:tc>
        <w:tc>
          <w:tcPr>
            <w:tcW w:w="326" w:type="dxa"/>
            <w:tcBorders/>
            <w:shd w:fill="CCEEFF" w:val="clear"/>
            <w:vAlign w:val="center"/>
          </w:tcPr>
          <w:p>
            <w:pPr>
              <w:pStyle w:val="TableContents"/>
              <w:spacing w:before="0" w:after="1"/>
              <w:ind w:left="0" w:right="0" w:hanging="0"/>
              <w:rPr/>
            </w:pPr>
            <w:r>
              <w:rPr/>
              <w:t> </w:t>
            </w:r>
          </w:p>
        </w:tc>
        <w:tc>
          <w:tcPr>
            <w:tcW w:w="733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Director</w:t>
            </w:r>
          </w:p>
        </w:tc>
      </w:tr>
      <w:tr>
        <w:trPr/>
        <w:tc>
          <w:tcPr>
            <w:tcW w:w="1832"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Michael Lebowitz</w:t>
            </w:r>
            <w:r>
              <w:rPr>
                <w:rFonts w:ascii="Times New Roman;Times;serif" w:hAnsi="Times New Roman;Times;serif"/>
                <w:sz w:val="15"/>
              </w:rPr>
              <w:t>* (4)</w:t>
            </w:r>
          </w:p>
        </w:tc>
        <w:tc>
          <w:tcPr>
            <w:tcW w:w="326" w:type="dxa"/>
            <w:tcBorders/>
            <w:shd w:fill="auto" w:val="clear"/>
            <w:vAlign w:val="center"/>
          </w:tcPr>
          <w:p>
            <w:pPr>
              <w:pStyle w:val="TableContents"/>
              <w:spacing w:before="0" w:after="1"/>
              <w:ind w:left="0" w:right="0" w:hanging="0"/>
              <w:rPr/>
            </w:pPr>
            <w:r>
              <w:rPr/>
              <w:t> </w:t>
            </w:r>
          </w:p>
        </w:tc>
        <w:tc>
          <w:tcPr>
            <w:tcW w:w="39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50</w:t>
            </w:r>
          </w:p>
        </w:tc>
        <w:tc>
          <w:tcPr>
            <w:tcW w:w="326" w:type="dxa"/>
            <w:tcBorders/>
            <w:shd w:fill="auto" w:val="clear"/>
            <w:vAlign w:val="center"/>
          </w:tcPr>
          <w:p>
            <w:pPr>
              <w:pStyle w:val="TableContents"/>
              <w:spacing w:before="0" w:after="1"/>
              <w:ind w:left="0" w:right="0" w:hanging="0"/>
              <w:rPr/>
            </w:pPr>
            <w:r>
              <w:rPr/>
              <w:t> </w:t>
            </w:r>
          </w:p>
        </w:tc>
        <w:tc>
          <w:tcPr>
            <w:tcW w:w="733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Director</w:t>
            </w:r>
          </w:p>
        </w:tc>
      </w:tr>
      <w:tr>
        <w:trPr/>
        <w:tc>
          <w:tcPr>
            <w:tcW w:w="183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Scott R. Milford</w:t>
            </w:r>
          </w:p>
        </w:tc>
        <w:tc>
          <w:tcPr>
            <w:tcW w:w="326" w:type="dxa"/>
            <w:tcBorders/>
            <w:shd w:fill="CCEEFF" w:val="clear"/>
            <w:vAlign w:val="center"/>
          </w:tcPr>
          <w:p>
            <w:pPr>
              <w:pStyle w:val="TableContents"/>
              <w:spacing w:before="0" w:after="1"/>
              <w:ind w:left="0" w:right="0" w:hanging="0"/>
              <w:rPr/>
            </w:pPr>
            <w:r>
              <w:rPr/>
              <w:t> </w:t>
            </w:r>
          </w:p>
        </w:tc>
        <w:tc>
          <w:tcPr>
            <w:tcW w:w="39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58</w:t>
            </w:r>
          </w:p>
        </w:tc>
        <w:tc>
          <w:tcPr>
            <w:tcW w:w="326" w:type="dxa"/>
            <w:tcBorders/>
            <w:shd w:fill="CCEEFF" w:val="clear"/>
            <w:vAlign w:val="center"/>
          </w:tcPr>
          <w:p>
            <w:pPr>
              <w:pStyle w:val="TableContents"/>
              <w:spacing w:before="0" w:after="1"/>
              <w:ind w:left="0" w:right="0" w:hanging="0"/>
              <w:rPr/>
            </w:pPr>
            <w:r>
              <w:rPr/>
              <w:t> </w:t>
            </w:r>
          </w:p>
        </w:tc>
        <w:tc>
          <w:tcPr>
            <w:tcW w:w="733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Chief Executive Officer and Director</w:t>
            </w:r>
          </w:p>
        </w:tc>
      </w:tr>
      <w:tr>
        <w:trPr/>
        <w:tc>
          <w:tcPr>
            <w:tcW w:w="183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Omar A. Haynes</w:t>
            </w:r>
          </w:p>
        </w:tc>
        <w:tc>
          <w:tcPr>
            <w:tcW w:w="326" w:type="dxa"/>
            <w:tcBorders/>
            <w:shd w:fill="auto" w:val="clear"/>
            <w:vAlign w:val="center"/>
          </w:tcPr>
          <w:p>
            <w:pPr>
              <w:pStyle w:val="TableContents"/>
              <w:spacing w:before="0" w:after="1"/>
              <w:ind w:left="0" w:right="0" w:hanging="0"/>
              <w:rPr/>
            </w:pPr>
            <w:r>
              <w:rPr/>
              <w:t>​</w:t>
            </w:r>
          </w:p>
        </w:tc>
        <w:tc>
          <w:tcPr>
            <w:tcW w:w="391"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shd w:fill="auto" w:val="clear"/>
            <w:vAlign w:val="center"/>
          </w:tcPr>
          <w:p>
            <w:pPr>
              <w:pStyle w:val="TableContents"/>
              <w:spacing w:before="0" w:after="1"/>
              <w:ind w:left="0" w:right="0" w:hanging="0"/>
              <w:rPr/>
            </w:pPr>
            <w:r>
              <w:rPr/>
              <w:t>​</w:t>
            </w:r>
          </w:p>
        </w:tc>
        <w:tc>
          <w:tcPr>
            <w:tcW w:w="733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Interim Chief Financial Officer</w:t>
            </w:r>
          </w:p>
        </w:tc>
      </w:tr>
      <w:tr>
        <w:trPr/>
        <w:tc>
          <w:tcPr>
            <w:tcW w:w="183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Ezra T. Ernst</w:t>
            </w:r>
          </w:p>
        </w:tc>
        <w:tc>
          <w:tcPr>
            <w:tcW w:w="326" w:type="dxa"/>
            <w:tcBorders/>
            <w:shd w:fill="CCEEFF" w:val="clear"/>
            <w:vAlign w:val="center"/>
          </w:tcPr>
          <w:p>
            <w:pPr>
              <w:pStyle w:val="TableContents"/>
              <w:spacing w:before="0" w:after="1"/>
              <w:ind w:left="0" w:right="0" w:hanging="0"/>
              <w:rPr/>
            </w:pPr>
            <w:r>
              <w:rPr/>
              <w:t>​</w:t>
            </w:r>
          </w:p>
        </w:tc>
        <w:tc>
          <w:tcPr>
            <w:tcW w:w="391"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54</w:t>
            </w:r>
          </w:p>
        </w:tc>
        <w:tc>
          <w:tcPr>
            <w:tcW w:w="326" w:type="dxa"/>
            <w:tcBorders/>
            <w:shd w:fill="CCEEFF" w:val="clear"/>
            <w:vAlign w:val="center"/>
          </w:tcPr>
          <w:p>
            <w:pPr>
              <w:pStyle w:val="TableContents"/>
              <w:spacing w:before="0" w:after="1"/>
              <w:ind w:left="0" w:right="0" w:hanging="0"/>
              <w:rPr/>
            </w:pPr>
            <w:r>
              <w:rPr/>
              <w:t>​</w:t>
            </w:r>
          </w:p>
        </w:tc>
        <w:tc>
          <w:tcPr>
            <w:tcW w:w="733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Executive Vice President of XWELL, Chief Executive Officer of XpresTest, Inc. and President and Chief Executive Officer of Hyperpointe</w:t>
            </w:r>
          </w:p>
        </w:tc>
      </w:tr>
    </w:tbl>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*Independent director under the rules of The Nasdaq Stock Market</w:t>
      </w:r>
    </w:p>
    <w:tbl>
      <w:tblPr>
        <w:tblW w:w="4187" w:type="dxa"/>
        <w:jc w:val="left"/>
        <w:tblInd w:w="0" w:type="dxa"/>
        <w:tblCellMar>
          <w:top w:w="0" w:type="dxa"/>
          <w:left w:w="0" w:type="dxa"/>
          <w:bottom w:w="0" w:type="dxa"/>
          <w:right w:w="0" w:type="dxa"/>
        </w:tblCellMar>
      </w:tblPr>
      <w:tblGrid>
        <w:gridCol w:w="346"/>
        <w:gridCol w:w="384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384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member of Compensation Committee</w:t>
            </w:r>
          </w:p>
        </w:tc>
      </w:tr>
    </w:tbl>
    <w:tbl>
      <w:tblPr>
        <w:tblW w:w="3467" w:type="dxa"/>
        <w:jc w:val="left"/>
        <w:tblInd w:w="0" w:type="dxa"/>
        <w:tblCellMar>
          <w:top w:w="0" w:type="dxa"/>
          <w:left w:w="0" w:type="dxa"/>
          <w:bottom w:w="0" w:type="dxa"/>
          <w:right w:w="0" w:type="dxa"/>
        </w:tblCellMar>
      </w:tblPr>
      <w:tblGrid>
        <w:gridCol w:w="346"/>
        <w:gridCol w:w="312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312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member of Audit Committee</w:t>
            </w:r>
          </w:p>
        </w:tc>
      </w:tr>
    </w:tbl>
    <w:tbl>
      <w:tblPr>
        <w:tblW w:w="6197" w:type="dxa"/>
        <w:jc w:val="left"/>
        <w:tblInd w:w="0" w:type="dxa"/>
        <w:tblCellMar>
          <w:top w:w="0" w:type="dxa"/>
          <w:left w:w="0" w:type="dxa"/>
          <w:bottom w:w="0" w:type="dxa"/>
          <w:right w:w="0" w:type="dxa"/>
        </w:tblCellMar>
      </w:tblPr>
      <w:tblGrid>
        <w:gridCol w:w="346"/>
        <w:gridCol w:w="585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585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member of Nominating and Corporate Governance Committee</w:t>
            </w:r>
          </w:p>
        </w:tc>
      </w:tr>
    </w:tbl>
    <w:tbl>
      <w:tblPr>
        <w:tblW w:w="4352" w:type="dxa"/>
        <w:jc w:val="left"/>
        <w:tblInd w:w="0" w:type="dxa"/>
        <w:tblCellMar>
          <w:top w:w="0" w:type="dxa"/>
          <w:left w:w="0" w:type="dxa"/>
          <w:bottom w:w="0" w:type="dxa"/>
          <w:right w:w="0" w:type="dxa"/>
        </w:tblCellMar>
      </w:tblPr>
      <w:tblGrid>
        <w:gridCol w:w="346"/>
        <w:gridCol w:w="4006"/>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400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Current member of Strategic Affairs Committee </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Board of Directors has reviewed the materiality of any relationship that each of our directors has with us, either directly or indirectly. Based upon this review, our Board of Directors has determined that the following members of our Board of Directors are “independent directors” as defined by The Nasdaq Stock Market (“Nasdaq”)</w:t>
      </w:r>
      <w:r>
        <w:rPr>
          <w:rFonts w:ascii="Times New Roman;Times;serif" w:hAnsi="Times New Roman;Times;serif"/>
          <w:b/>
          <w:sz w:val="20"/>
        </w:rPr>
        <w:t>: </w:t>
      </w:r>
      <w:r>
        <w:rPr>
          <w:rFonts w:ascii="Times New Roman;Times;serif" w:hAnsi="Times New Roman;Times;serif"/>
          <w:sz w:val="20"/>
        </w:rPr>
        <w:t>Bruce T. Bernstein, Donald E. Stout, Robert Weinstein, and Michael Lebowitz.</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i/>
          <w:sz w:val="20"/>
        </w:rPr>
        <w:t xml:space="preserve">Scott Milford </w:t>
      </w:r>
      <w:r>
        <w:rPr>
          <w:rFonts w:ascii="Times New Roman;Times;serif" w:hAnsi="Times New Roman;Times;serif"/>
          <w:sz w:val="20"/>
        </w:rPr>
        <w:t xml:space="preserve">joined the Company in July 2019 and has served as our Chief Executive Officer and as a member of our Board of Directors since January 19, 2022. Prior to January 2022, Mr. Milford served as our Chief Operating Officer since December 2020.  Prior to that, he served as our first Chief People Officer since July 2019.  Mr. Milford has over 30 years of experience at high profile and diverse organizations. Prior to joining XWELL, he served as VP, People Operations at SoulCycle from January to July 2019, where he led the creation and deployment of that company’s talent acquisition strategy, the development of an annual performance cycle, and created and deployed the “people strategy” that supported the opening of the brand’s first European studio in London. This included the development of talent acquisition and talent management plans, compensation design and all policies and procedures governing studio operations. Prior to that, he served as Chief People Officer for Bayada, a $1 billion Home Health Care Company, during 2018, where he played a significant role in building the organizational infrastructure necessary to scale the business from 400 service offices to 1,000 offices. Previously, he was Senior Vice President – Human Resources for Le Pain Quotidien from 2016 to 2018, where he was responsible for driving operational excellence through strategic HR planning, building organizational and employee capabilities, facilitating change, and building effective working relationships with employees and guests on a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global scale. His other relevant experiences include senior leadership positions at Town Sports International, Starbucks Coffee Company, Universal Music Group, Viacom, and Blockbuster Entertainment.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believe Mr. Milford’s extensive experience in the retail industry and his knowledge of the Company’s business due to his status as an executive officer of the Company qualifies him to serve on our Board of Directors.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i/>
          <w:sz w:val="20"/>
        </w:rPr>
        <w:t>Bruce T. Bernstein</w:t>
      </w:r>
      <w:r>
        <w:rPr>
          <w:rFonts w:ascii="Times New Roman;Times;serif" w:hAnsi="Times New Roman;Times;serif"/>
          <w:sz w:val="20"/>
        </w:rPr>
        <w:t> joined our Board of Directors in February 2016 and has served as the Chairman of our Board of Directors since February 2018. Mr. Bernstein has over thirty years of experience in the securities industry, primarily as senior portfolio manager for two alternative finance funds as well as in trading and structuring of arbitrage strategies. Mr. Bernstein served as President of Rockmore Capital, LLC from 2006 until February 2017,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was with Fortis Investments Inc., where he was Senior Vice President in the bank’s Global Securities Arbitrage business unit, specializing in equity structured products and equity arbitrage and then President in charge of the bank’s proprietary investment business in the United States. Prior to Fortis,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Mr. Bernstein also serves as a member of the Board of Directors of Synaptogenix, Inc.  (formerly Neurotrope Bioscience, Inc.), Mr. Bernstein is also a member of the board of Summit Digital Health, a laser-based blood glucose monitor distributor, based in New Jersey. Mr. Bernstein holds a B.B.A. from City University of New York (Baruch).</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believe Mr. Bernstein’s extensive experience in the securities industry qualifies him to serve as the chairman of our Board of Directors.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i/>
          <w:sz w:val="20"/>
        </w:rPr>
        <w:t>Robert Weinstein </w:t>
      </w:r>
      <w:r>
        <w:rPr>
          <w:rFonts w:ascii="Times New Roman;Times;serif" w:hAnsi="Times New Roman;Times;serif"/>
          <w:sz w:val="20"/>
        </w:rPr>
        <w:t>joined our Board of Directors in February 2020. Mr. Weinstein has extensive accounting and finance experience, spanning more than thirty years, as a public accountant, investment banker, healthcare private equity fund principal and chief financial officer. Since October 2013, Mr. Weinstein has been the Chief Financial Officer of Synaptogenix, Inc. (formerly Neurotrope Bioscience, Inc.), a publicly-traded biotechnology company. From September 2011 to September 2013, Mr. Weinstein was an independent consultant for several healthcare companies in the pharmaceutical and biotechnology industries. From March 2010 to August 2011, Mr. Weinstein was the Chief Financial Officer of Green Energy Management Services Holdings, Inc., a publicly-traded energy consulting company. From August 2007 to February 2010, Mr. Weinstein served as Chief Financial Officer of Xcorporeal, Inc., a publicly-traded, development-stage medical device company which was sold in March 2010 to Fresenius Medical USA, the largest provider of dialysis equipment and services worldwide. Mr. Weinstein received his MBA degree in finance and international business from the University of Chicago Graduate School of Business, is a Certified Public Accountant (inactive), and received his B.S. in accounting from the State University of New York at Albany.</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believe Mr. Weinstein’s extensive financial expertise and healthcare experience qualifies him to serve on our Board of Directors and as a member and the chairperson of the audit committee of our Board of Directors.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i/>
          <w:sz w:val="20"/>
        </w:rPr>
        <w:t>Donald E. Stout</w:t>
      </w:r>
      <w:r>
        <w:rPr>
          <w:rFonts w:ascii="Times New Roman;Times;serif" w:hAnsi="Times New Roman;Times;serif"/>
          <w:sz w:val="20"/>
        </w:rPr>
        <w:t xml:space="preserve"> has been our director since July 2012, and was a director of Innovate/Protect, Inc. from November 2011 through the consummation of its merger with us. In a career spanning over forty years, Mr. Stout has been involved in virtually all facets of intellectual property law. Mr. Stout is a partner at a law firm Fitch, Even, Tabin &amp; Flannery LLP since 2015 and he had been a senior partner at the law firm of Antonelli, Terry, Stout &amp; Kraus, LLP from 1982 to 2015. As an attorney in private practice, Mr. Stout has focused on litigation, licensing and representation of clients before the United States Patent and Trademark Office (“USPTO”) in diverse technological areas. From 1971 to 1972, Mr. Stout worked as a law clerk for two members of the USPTO Board of Appeals and, from 1968 to 1972. Mr. Stout was an assistant examiner at the USPTO, where he focused on patent applications covering radio and television technologies. Mr. Stout has written and prosecuted hundreds of patent applications in diverse technologies, rendered opinions on patent infringement and validity, and has testified as an expert witness regarding obtaining and prosecuting patents. Mr. Stout is also the co-founder of NTP Inc., which licensed Research in Motion (RIM), the maker of the Blackberry handheld devices,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for $612.5 million to settle a patent infringement action. Mr. Stout also previously served on the Board of Directors of Tessera Technologies, Inc. (TSRA). Mr. Stout is a member of the bars of the District of Columbia and Virginia, and is admitted to practice before the Supreme Court of the United States, the Court of Appeals for the Federal Circuit and the USPTO. Mr. Stout holds a Bachelor’s degree in Electrical Engineering, with distinction, from Pennsylvania State University, and a J.D., with honors, from The George Washington University.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believe Mr. Stout’s historical knowledge of the Company and intellectual property experience qualifies him to serve on our Board of Directors.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i/>
          <w:sz w:val="20"/>
        </w:rPr>
        <w:t>Michael Lebowitz</w:t>
      </w:r>
      <w:r>
        <w:rPr>
          <w:rFonts w:ascii="Times New Roman;Times;serif" w:hAnsi="Times New Roman;Times;serif"/>
          <w:sz w:val="20"/>
        </w:rPr>
        <w:t> joined our Board of Directors in April 2020. An expert in customer experience strategy and innovation, Mr. Lebowitz has a twenty-five year track record in defining creative strategy and vision for some of the world’s most recognizable brands. Mr. Lebowitz founded Big Spaceship, a globally-recognized creative consultancy, in 2000 and has served as Chief Executive Officer of Big Spaceship since its founding. Mr. Lebowitz received his Bachelor’s degree in Film from Vassar College.</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believe Mr. Lebowitz’s extensive experience in the area of creative brand strategy qualifies him to serve on our Board of Directors.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Executive Officers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Omar Haynes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Mr. Haynes has served as Vice President of Treasury &amp; Finance of the Company since June 2021 and will continue to retain those titles while serving as the Company’s Interim Chief Financial Officer.  He joined the Company as Associate Director of Finance in March 2017, then served as Director of Finance, Analytics &amp; Treasury from January 2019 to June 2020, and then Treasurer &amp; Senior Director of Finance from June 2020 to May 2021. Previously he was an associate at both Alvarez &amp; Marsal and Conway, Del Genio, Gries &amp; Co., LLC. Mr. Haynes holds a Bachelor of Arts in Quantitative Economics from Tufts University.</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Ezra T. Ernst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Mr. Ernst has served as Executive Vice President of the Company and Chief Executive Officer of our subsidiary XpresTest, Inc. since our January 2022 acquisition of gcg Connect LLC d/b/a Hyperpointe.  He also has served as President and Chief Executive Officer of Hyperpointe since March, 2020.  Prior to Hyperpointe, he previously served as Chief Executive Officer of Physicians Weekly, LLC, a provider of medical news and education for healthcare professionals, from August 2015 to March 2020, Chief Commercial Officer of Treato, a health-related data analytics company, from September 2013 to August 2015 and General Manager at WebMD, an online publisher of health and medical news and information, from December 2008 to January 2013.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Committees of the Board of Directors and Meetings</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b/>
          <w:i/>
          <w:sz w:val="20"/>
        </w:rPr>
        <w:t>Meeting Attendance</w:t>
      </w:r>
      <w:r>
        <w:rPr>
          <w:rFonts w:ascii="Times New Roman;Times;serif" w:hAnsi="Times New Roman;Times;serif"/>
          <w:sz w:val="20"/>
        </w:rPr>
        <w:t xml:space="preserve">. During the fiscal year ended December 31, 2022, there were five meetings of our Board of Directors as well as nine unanimous written consents. The various committees of the Board of Directors met a total of 11 times. All directors attended more than 75 percent of the aggregate of the total number of meetings of the Board of Directors and the total number of meetings held by all committees of the board on which he served.  The Board of Directors has adopted a policy under which each member of the Board of Directors is strongly encouraged, but not required, to attend each annual meeting of our stockholders.  All five of our directors attended our 2022 annual meeting of stockholders. </w:t>
      </w:r>
    </w:p>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i/>
          <w:sz w:val="20"/>
        </w:rPr>
        <w:t>Audit Committee</w:t>
      </w:r>
      <w:r>
        <w:rPr>
          <w:rFonts w:ascii="Times New Roman;Times;serif" w:hAnsi="Times New Roman;Times;serif"/>
          <w:sz w:val="20"/>
        </w:rPr>
        <w:t xml:space="preserve">. Our Audit Committee met five times during fiscal 2022. This committee currently has three members, Robert Weinstein (Chairman), Bruce T. Bernstein and Donald E. Stout. 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Board determined that all members of the Audit Committee qualify as independent under the listing standards promulgated by the SEC and Nasdaq, as such standards apply specifically to members of audit committees. The Board of Directors has determined that both Messrs. Weinstein and Bernstein are “audit committee financial experts,” as defined by the SEC in Item 407 of Regulation S-K.  A copy of the Audit Committee’s written charter is publicly available through the “Investors — Corporate Governance” section of our website at </w:t>
      </w:r>
      <w:r>
        <w:rPr>
          <w:rFonts w:ascii="Times New Roman;Times;serif" w:hAnsi="Times New Roman;Times;serif"/>
          <w:i/>
          <w:sz w:val="20"/>
        </w:rPr>
        <w:t>www.xwell.com/corporate-governance</w:t>
      </w:r>
      <w:r>
        <w:rPr>
          <w:rFonts w:ascii="Times New Roman;Times;serif" w:hAnsi="Times New Roman;Times;serif"/>
          <w:sz w:val="20"/>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i/>
          <w:sz w:val="20"/>
        </w:rPr>
        <w:t>Compensation Committee</w:t>
      </w:r>
      <w:r>
        <w:rPr>
          <w:rFonts w:ascii="Times New Roman;Times;serif" w:hAnsi="Times New Roman;Times;serif"/>
          <w:sz w:val="20"/>
        </w:rPr>
        <w:t>. Our Compensation Committee met three times during fiscal 2022.  This committee currently, has two members, Bruce T. Bernstein (Chairman) and Donald E. Stout.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 administers our 2012 Employee, Director and Consultant Equity Incentive Plan (the “2012 Plan”) and our 2020 Equity Incentive Plan (the “2020 Plan”).  The Compensation Committee is responsible for (1) the determination of the compensation of our Chief Executive Officer, and conducts its decision-making process with respect to that issue without the Chief Executive Officer present, (2) the determination of the compensation of the executive officers of the Company other than the Chief Executive Officer based upon the recommendation of the Chief Executive Officer and such other customary factors that the Committee deems necessary or appropriate, and (3) the establishment and review of general compensation policies with the objective of attracting and retaining superior talent, rewarding individual performance and achieving our financial goals. The Compensation Committee has the authority to directly retain the services of independent consultants and other experts to assist in fulfilling its responsibilities. During fiscal year 2022, the Compensation Committee did engage a third-party compensation consultant to review the Board’s compensation structure as well as benchmark it against the Company’s peer group.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Board determined that both members of the Compensation Committee qualify as independent under the Nasdaq listing standards. A copy of the Compensation Committee’s written charter is publicly available through the “Investors — Corporate Governance” section of our website at </w:t>
      </w:r>
      <w:r>
        <w:rPr>
          <w:rFonts w:ascii="Times New Roman;Times;serif" w:hAnsi="Times New Roman;Times;serif"/>
          <w:i/>
          <w:sz w:val="20"/>
        </w:rPr>
        <w:t>www.xwell.com/corporate-governance</w:t>
      </w:r>
      <w:r>
        <w:rPr>
          <w:rFonts w:ascii="Times New Roman;Times;serif" w:hAnsi="Times New Roman;Times;serif"/>
          <w:sz w:val="20"/>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i/>
          <w:sz w:val="20"/>
        </w:rPr>
        <w:t>Nominating and Corporate Governance Committee</w:t>
      </w:r>
      <w:r>
        <w:rPr>
          <w:rFonts w:ascii="Times New Roman;Times;serif" w:hAnsi="Times New Roman;Times;serif"/>
          <w:sz w:val="20"/>
        </w:rPr>
        <w:t>. Our Nominating and Corporate Governance Committee met one time during fiscal 2022.  This committee, currently has two members, Bruce T. Bernstein (Chairman) and Donald E. Stout.  The Nominating and Corporate Governance Committee’s role and responsibilities are set forth in the Nominating and Corporate Governance Committee’s written charter and is authorized to:</w:t>
      </w:r>
    </w:p>
    <w:tbl>
      <w:tblPr>
        <w:tblW w:w="5196" w:type="dxa"/>
        <w:jc w:val="left"/>
        <w:tblInd w:w="0" w:type="dxa"/>
        <w:tblCellMar>
          <w:top w:w="28" w:type="dxa"/>
          <w:left w:w="28" w:type="dxa"/>
          <w:bottom w:w="28" w:type="dxa"/>
          <w:right w:w="28" w:type="dxa"/>
        </w:tblCellMar>
      </w:tblPr>
      <w:tblGrid>
        <w:gridCol w:w="124"/>
        <w:gridCol w:w="256"/>
        <w:gridCol w:w="48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8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and nominate members of the Board of Directors;</w:t>
            </w:r>
          </w:p>
        </w:tc>
      </w:tr>
    </w:tbl>
    <w:tbl>
      <w:tblPr>
        <w:tblW w:w="5886" w:type="dxa"/>
        <w:jc w:val="left"/>
        <w:tblInd w:w="0" w:type="dxa"/>
        <w:tblCellMar>
          <w:top w:w="28" w:type="dxa"/>
          <w:left w:w="28" w:type="dxa"/>
          <w:bottom w:w="28" w:type="dxa"/>
          <w:right w:w="28" w:type="dxa"/>
        </w:tblCellMar>
      </w:tblPr>
      <w:tblGrid>
        <w:gridCol w:w="124"/>
        <w:gridCol w:w="256"/>
        <w:gridCol w:w="55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5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 the evaluation of the Board of Directors and management;</w:t>
            </w:r>
          </w:p>
        </w:tc>
      </w:tr>
    </w:tbl>
    <w:tbl>
      <w:tblPr>
        <w:tblW w:w="7326" w:type="dxa"/>
        <w:jc w:val="left"/>
        <w:tblInd w:w="0" w:type="dxa"/>
        <w:tblCellMar>
          <w:top w:w="28" w:type="dxa"/>
          <w:left w:w="28" w:type="dxa"/>
          <w:bottom w:w="28" w:type="dxa"/>
          <w:right w:w="28" w:type="dxa"/>
        </w:tblCellMar>
      </w:tblPr>
      <w:tblGrid>
        <w:gridCol w:w="124"/>
        <w:gridCol w:w="256"/>
        <w:gridCol w:w="69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9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and recommend corporate governance guidelines to the Board of Directors;</w:t>
            </w:r>
          </w:p>
        </w:tc>
      </w:tr>
    </w:tbl>
    <w:tbl>
      <w:tblPr>
        <w:tblW w:w="6291" w:type="dxa"/>
        <w:jc w:val="left"/>
        <w:tblInd w:w="0" w:type="dxa"/>
        <w:tblCellMar>
          <w:top w:w="28" w:type="dxa"/>
          <w:left w:w="28" w:type="dxa"/>
          <w:bottom w:w="28" w:type="dxa"/>
          <w:right w:w="28" w:type="dxa"/>
        </w:tblCellMar>
      </w:tblPr>
      <w:tblGrid>
        <w:gridCol w:w="124"/>
        <w:gridCol w:w="256"/>
        <w:gridCol w:w="59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the performance of the members of the Board of Directors;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recommendations to the Board of Directors as to the structure, composition and functioning of the Board of Directors and its committees.</w:t>
            </w:r>
          </w:p>
        </w:tc>
      </w:tr>
    </w:tbl>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Board determined that both members of the Nominating and Corporate Governance Committee qualify as independent under the Nasdaq listing standards. A copy of the Nominating and Governance Committee’s written charter is publicly available through the “Investors — Corporate Governance” section of our website at </w:t>
      </w:r>
      <w:r>
        <w:rPr>
          <w:rFonts w:ascii="Times New Roman;Times;serif" w:hAnsi="Times New Roman;Times;serif"/>
          <w:i/>
          <w:sz w:val="20"/>
        </w:rPr>
        <w:t>www.xwell.com/corporate-governance</w:t>
      </w:r>
      <w:r>
        <w:rPr>
          <w:rFonts w:ascii="Times New Roman;Times;serif" w:hAnsi="Times New Roman;Times;serif"/>
          <w:sz w:val="20"/>
        </w:rPr>
        <w: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b/>
          <w:i/>
          <w:sz w:val="20"/>
        </w:rPr>
        <w:t>Additional Committee – the Strategic Affairs Committee.  </w:t>
      </w:r>
      <w:r>
        <w:rPr>
          <w:rFonts w:ascii="Times New Roman;Times;serif" w:hAnsi="Times New Roman;Times;serif"/>
          <w:sz w:val="20"/>
        </w:rPr>
        <w:t>The Strategic Affairs Committee met two times during fiscal 2022.  This committee was formed in September of 2021 to assist the Board in reviewing, analyzing, considering and assessing, potential acquisitions, joint ventures, strategic investments, divestitures and other strategic transactions. The committee currently has three members: Bruce T. Bernstein (Chairman), Robert Weinstein and Michael Lebowitz.  The Strategic Affairs Committee’s responsibilities include, among others: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assisting management with the identification of potential acquisition, joint venture, strategic investment, divestiture and other strategic transaction opportunities and review transaction candidates with management, when and as appropriate;</w:t>
            </w:r>
          </w:p>
        </w:tc>
      </w:tr>
    </w:tbl>
    <w:tbl>
      <w:tblPr>
        <w:tblW w:w="8031" w:type="dxa"/>
        <w:jc w:val="left"/>
        <w:tblInd w:w="0" w:type="dxa"/>
        <w:tblCellMar>
          <w:top w:w="28" w:type="dxa"/>
          <w:left w:w="28" w:type="dxa"/>
          <w:bottom w:w="28" w:type="dxa"/>
          <w:right w:w="28" w:type="dxa"/>
        </w:tblCellMar>
      </w:tblPr>
      <w:tblGrid>
        <w:gridCol w:w="124"/>
        <w:gridCol w:w="256"/>
        <w:gridCol w:w="76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6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strategic transactions received by the Company or proposed by management;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overseeing and coordinating the process of reviewing, analyzing and responding to proposals received by the Company or proposed by management with respect to such potential acquisition, joint venture, strategic investment, divestiture and other strategic transaction opportunities. </w:t>
            </w:r>
          </w:p>
        </w:tc>
      </w:tr>
    </w:tbl>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Board Leadership Structure and Role in Risk Oversight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Effective February 5, 2018, the Board appointed Bruce T. Bernstein as the non-executive Chairman of the Board of Directors.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leadership structure of the Board currently consists of a Chairman of the Board who oversees the Board meetings. We separate the roles of Chairman of the Board and Chief Executive Officer in recognition of the differences between the two roles. Our Board believes this division of responsibility is an effective approach for addressing the risks we face. All of our Board committees are comprised of only independent directors. All Board committees are chaired by independent directors who report to the full Board whenever necessary. We believe this leadership structure helps facilitate efficient decision-making and communication among our directors and fosters efficient Board functioning at meetings.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management is primarily responsible for managing the risks we face in the ordinary course of operating our business. The Board oversees potential risks and our risk management activities by receiving operational and strategic presentations from management which include discussions of key risks to our business. The Board also periodically discusses with management important compliance and quality issues. In addition, the Board has delegated risk oversight to each of its key committees within their areas of responsibility. For example, the Audit Committee assists the Board in fulfilling its oversight of the quality and integrity of our financial statements and our compliance with legal and regulatory requirements relating to our financial statements and related disclosures. The Compensation Committee assists the Board in its risk oversight function by overseeing strategies with respect to our incentive compensation programs and key employee retention issues. We believe our Board leadership structure facilitates the division of risk management oversight responsibilities among the Board committees and enhances the Board’s efficiency in fulfilling its oversight function with respect to different areas of our business risks and our risk mitigation practices.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pPr>
      <w:r>
        <w:rPr/>
        <w:t>​</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Board Diversity Matrix</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Nasdaq diversity matrix is set forth below as required under the listing requirements of Nasdaq.</w:t>
      </w:r>
    </w:p>
    <w:p>
      <w:pPr>
        <w:pStyle w:val="TextBody"/>
        <w:spacing w:before="0" w:after="0"/>
        <w:ind w:left="0" w:right="0" w:hanging="0"/>
        <w:rPr/>
      </w:pPr>
      <w:r>
        <w:rPr/>
        <w:t>​</w:t>
      </w:r>
    </w:p>
    <w:tbl>
      <w:tblPr>
        <w:tblW w:w="9589" w:type="dxa"/>
        <w:jc w:val="left"/>
        <w:tblInd w:w="0" w:type="dxa"/>
        <w:tblCellMar>
          <w:top w:w="0" w:type="dxa"/>
          <w:left w:w="0" w:type="dxa"/>
          <w:bottom w:w="0" w:type="dxa"/>
          <w:right w:w="0" w:type="dxa"/>
        </w:tblCellMar>
      </w:tblPr>
      <w:tblGrid>
        <w:gridCol w:w="3691"/>
        <w:gridCol w:w="326"/>
        <w:gridCol w:w="736"/>
        <w:gridCol w:w="326"/>
        <w:gridCol w:w="541"/>
        <w:gridCol w:w="326"/>
        <w:gridCol w:w="1111"/>
        <w:gridCol w:w="326"/>
        <w:gridCol w:w="2206"/>
      </w:tblGrid>
      <w:tr>
        <w:trPr/>
        <w:tc>
          <w:tcPr>
            <w:tcW w:w="36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206" w:type="dxa"/>
            <w:tcBorders/>
            <w:shd w:fill="auto" w:val="clear"/>
            <w:vAlign w:val="center"/>
          </w:tcPr>
          <w:p>
            <w:pPr>
              <w:pStyle w:val="TableContents"/>
              <w:spacing w:before="0" w:after="1"/>
              <w:ind w:left="0" w:right="0" w:hanging="0"/>
              <w:rPr/>
            </w:pPr>
            <w:r>
              <w:rPr/>
              <w:t>​</w:t>
            </w:r>
          </w:p>
        </w:tc>
      </w:tr>
      <w:tr>
        <w:trPr/>
        <w:tc>
          <w:tcPr>
            <w:tcW w:w="9589" w:type="dxa"/>
            <w:gridSpan w:val="9"/>
            <w:tcBorders>
              <w:top w:val="single" w:sz="2" w:space="0" w:color="000000"/>
              <w:left w:val="single" w:sz="2" w:space="0" w:color="000000"/>
              <w:bottom w:val="single" w:sz="12" w:space="0" w:color="000000"/>
              <w:right w:val="single" w:sz="2" w:space="0" w:color="000000"/>
            </w:tcBorders>
            <w:shd w:fill="FFFFFF" w:val="clear"/>
            <w:tcMar>
              <w:top w:w="28" w:type="dxa"/>
              <w:left w:w="28" w:type="dxa"/>
              <w:bottom w:w="28" w:type="dxa"/>
              <w:right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Board Diversity Matrix (As of April 17, 2023)</w:t>
            </w:r>
          </w:p>
        </w:tc>
      </w:tr>
      <w:tr>
        <w:trPr/>
        <w:tc>
          <w:tcPr>
            <w:tcW w:w="3691" w:type="dxa"/>
            <w:tcBorders>
              <w:left w:val="single" w:sz="2" w:space="0" w:color="000000"/>
            </w:tcBorders>
            <w:shd w:fill="FFFFFF" w:val="clear"/>
            <w:tcMar>
              <w:left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Number of Directors - 5</w:t>
            </w:r>
          </w:p>
        </w:tc>
        <w:tc>
          <w:tcPr>
            <w:tcW w:w="326" w:type="dxa"/>
            <w:tcBorders/>
            <w:shd w:fill="FFFFFF" w:val="clear"/>
            <w:vAlign w:val="center"/>
          </w:tcPr>
          <w:p>
            <w:pPr>
              <w:pStyle w:val="TableContents"/>
              <w:spacing w:before="0" w:after="1"/>
              <w:ind w:left="0" w:right="0" w:hanging="0"/>
              <w:rPr/>
            </w:pPr>
            <w:r>
              <w:rPr/>
              <w:t>    </w:t>
            </w:r>
          </w:p>
        </w:tc>
        <w:tc>
          <w:tcPr>
            <w:tcW w:w="736" w:type="dxa"/>
            <w:tcBorders/>
            <w:shd w:fill="FFFFFF" w:val="clear"/>
            <w:vAlign w:val="center"/>
          </w:tcPr>
          <w:p>
            <w:pPr>
              <w:pStyle w:val="TableContents"/>
              <w:spacing w:before="0" w:after="1"/>
              <w:ind w:left="0" w:right="0" w:hanging="0"/>
              <w:rPr/>
            </w:pPr>
            <w:r>
              <w:rPr/>
              <w:t>​</w:t>
            </w:r>
          </w:p>
        </w:tc>
        <w:tc>
          <w:tcPr>
            <w:tcW w:w="326" w:type="dxa"/>
            <w:tcBorders/>
            <w:shd w:fill="FFFFFF" w:val="clear"/>
            <w:vAlign w:val="center"/>
          </w:tcPr>
          <w:p>
            <w:pPr>
              <w:pStyle w:val="TableContents"/>
              <w:spacing w:before="0" w:after="1"/>
              <w:ind w:left="0" w:right="0" w:hanging="0"/>
              <w:rPr/>
            </w:pPr>
            <w:r>
              <w:rPr/>
              <w:t>    </w:t>
            </w:r>
          </w:p>
        </w:tc>
        <w:tc>
          <w:tcPr>
            <w:tcW w:w="541" w:type="dxa"/>
            <w:tcBorders/>
            <w:shd w:fill="FFFFFF" w:val="clear"/>
            <w:vAlign w:val="center"/>
          </w:tcPr>
          <w:p>
            <w:pPr>
              <w:pStyle w:val="TableContents"/>
              <w:spacing w:before="0" w:after="1"/>
              <w:ind w:left="0" w:right="0" w:hanging="0"/>
              <w:rPr/>
            </w:pPr>
            <w:r>
              <w:rPr/>
              <w:t>​</w:t>
            </w:r>
          </w:p>
        </w:tc>
        <w:tc>
          <w:tcPr>
            <w:tcW w:w="326" w:type="dxa"/>
            <w:tcBorders/>
            <w:shd w:fill="FFFFFF" w:val="clear"/>
            <w:vAlign w:val="center"/>
          </w:tcPr>
          <w:p>
            <w:pPr>
              <w:pStyle w:val="TableContents"/>
              <w:spacing w:before="0" w:after="1"/>
              <w:ind w:left="0" w:right="0" w:hanging="0"/>
              <w:rPr/>
            </w:pPr>
            <w:r>
              <w:rPr/>
              <w:t>    </w:t>
            </w:r>
          </w:p>
        </w:tc>
        <w:tc>
          <w:tcPr>
            <w:tcW w:w="1111" w:type="dxa"/>
            <w:tcBorders/>
            <w:shd w:fill="FFFFFF" w:val="clear"/>
            <w:vAlign w:val="center"/>
          </w:tcPr>
          <w:p>
            <w:pPr>
              <w:pStyle w:val="TableContents"/>
              <w:spacing w:before="0" w:after="1"/>
              <w:ind w:left="0" w:right="0" w:hanging="0"/>
              <w:rPr/>
            </w:pPr>
            <w:r>
              <w:rPr/>
              <w:t>​</w:t>
            </w:r>
          </w:p>
        </w:tc>
        <w:tc>
          <w:tcPr>
            <w:tcW w:w="326" w:type="dxa"/>
            <w:tcBorders/>
            <w:shd w:fill="FFFFFF" w:val="clear"/>
            <w:vAlign w:val="center"/>
          </w:tcPr>
          <w:p>
            <w:pPr>
              <w:pStyle w:val="TableContents"/>
              <w:spacing w:before="0" w:after="1"/>
              <w:ind w:left="0" w:right="0" w:hanging="0"/>
              <w:rPr/>
            </w:pPr>
            <w:r>
              <w:rPr/>
              <w:t>    </w:t>
            </w:r>
          </w:p>
        </w:tc>
        <w:tc>
          <w:tcPr>
            <w:tcW w:w="2206" w:type="dxa"/>
            <w:tcBorders>
              <w:right w:val="single" w:sz="2" w:space="0" w:color="000000"/>
            </w:tcBorders>
            <w:shd w:fill="FFFFFF" w:val="clear"/>
            <w:tcMar>
              <w:right w:w="28" w:type="dxa"/>
            </w:tcMar>
            <w:vAlign w:val="center"/>
          </w:tcPr>
          <w:p>
            <w:pPr>
              <w:pStyle w:val="TableContents"/>
              <w:spacing w:before="0" w:after="1"/>
              <w:ind w:left="0" w:right="0" w:hanging="0"/>
              <w:rPr/>
            </w:pPr>
            <w:r>
              <w:rPr/>
              <w:t>​</w:t>
            </w:r>
          </w:p>
        </w:tc>
      </w:tr>
      <w:tr>
        <w:trPr/>
        <w:tc>
          <w:tcPr>
            <w:tcW w:w="3691" w:type="dxa"/>
            <w:tcBorders>
              <w:left w:val="single" w:sz="2" w:space="0" w:color="000000"/>
            </w:tcBorders>
            <w:shd w:fill="FFFFFF" w:val="clear"/>
            <w:tcMar>
              <w:left w:w="28" w:type="dxa"/>
            </w:tcMar>
            <w:vAlign w:val="center"/>
          </w:tcPr>
          <w:p>
            <w:pPr>
              <w:pStyle w:val="TableContents"/>
              <w:spacing w:before="0" w:after="1"/>
              <w:ind w:left="0" w:right="0" w:hanging="0"/>
              <w:rPr/>
            </w:pPr>
            <w:r>
              <w:rPr/>
              <w:t>​</w:t>
            </w:r>
          </w:p>
        </w:tc>
        <w:tc>
          <w:tcPr>
            <w:tcW w:w="326" w:type="dxa"/>
            <w:tcBorders/>
            <w:shd w:fill="FFFFFF" w:val="clear"/>
            <w:vAlign w:val="center"/>
          </w:tcPr>
          <w:p>
            <w:pPr>
              <w:pStyle w:val="TableContents"/>
              <w:spacing w:before="0" w:after="1"/>
              <w:ind w:left="0" w:right="0" w:hanging="0"/>
              <w:rPr/>
            </w:pPr>
            <w:r>
              <w:rPr/>
              <w:t>​</w:t>
            </w:r>
          </w:p>
        </w:tc>
        <w:tc>
          <w:tcPr>
            <w:tcW w:w="736" w:type="dxa"/>
            <w:tcBorders/>
            <w:shd w:fill="FFFFFF"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Female</w:t>
            </w:r>
          </w:p>
        </w:tc>
        <w:tc>
          <w:tcPr>
            <w:tcW w:w="326" w:type="dxa"/>
            <w:tcBorders/>
            <w:shd w:fill="FFFFFF" w:val="clear"/>
            <w:vAlign w:val="center"/>
          </w:tcPr>
          <w:p>
            <w:pPr>
              <w:pStyle w:val="TableContents"/>
              <w:spacing w:before="0" w:after="1"/>
              <w:ind w:left="0" w:right="0" w:hanging="0"/>
              <w:rPr/>
            </w:pPr>
            <w:r>
              <w:rPr/>
              <w:t>​</w:t>
            </w:r>
          </w:p>
        </w:tc>
        <w:tc>
          <w:tcPr>
            <w:tcW w:w="541" w:type="dxa"/>
            <w:tcBorders/>
            <w:shd w:fill="FFFFFF"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Male</w:t>
            </w:r>
          </w:p>
        </w:tc>
        <w:tc>
          <w:tcPr>
            <w:tcW w:w="326" w:type="dxa"/>
            <w:tcBorders/>
            <w:shd w:fill="FFFFFF" w:val="clear"/>
            <w:vAlign w:val="center"/>
          </w:tcPr>
          <w:p>
            <w:pPr>
              <w:pStyle w:val="TableContents"/>
              <w:spacing w:before="0" w:after="1"/>
              <w:ind w:left="0" w:right="0" w:hanging="0"/>
              <w:rPr/>
            </w:pPr>
            <w:r>
              <w:rPr/>
              <w:t>​</w:t>
            </w:r>
          </w:p>
        </w:tc>
        <w:tc>
          <w:tcPr>
            <w:tcW w:w="1111" w:type="dxa"/>
            <w:tcBorders/>
            <w:shd w:fill="FFFFFF"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Non-Binary</w:t>
            </w:r>
          </w:p>
        </w:tc>
        <w:tc>
          <w:tcPr>
            <w:tcW w:w="326" w:type="dxa"/>
            <w:tcBorders/>
            <w:shd w:fill="FFFFFF" w:val="clear"/>
            <w:vAlign w:val="center"/>
          </w:tcPr>
          <w:p>
            <w:pPr>
              <w:pStyle w:val="TableContents"/>
              <w:spacing w:before="0" w:after="1"/>
              <w:ind w:left="0" w:right="0" w:hanging="0"/>
              <w:rPr/>
            </w:pPr>
            <w:r>
              <w:rPr/>
              <w:t>​</w:t>
            </w:r>
          </w:p>
        </w:tc>
        <w:tc>
          <w:tcPr>
            <w:tcW w:w="2206" w:type="dxa"/>
            <w:tcBorders>
              <w:right w:val="single" w:sz="2" w:space="0" w:color="000000"/>
            </w:tcBorders>
            <w:shd w:fill="FFFFFF" w:val="clear"/>
            <w:tcMar>
              <w:right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Did Not Disclose Gender</w:t>
            </w:r>
          </w:p>
        </w:tc>
      </w:tr>
      <w:tr>
        <w:trPr/>
        <w:tc>
          <w:tcPr>
            <w:tcW w:w="3691" w:type="dxa"/>
            <w:tcBorders>
              <w:left w:val="single" w:sz="2" w:space="0" w:color="000000"/>
            </w:tcBorders>
            <w:shd w:fill="CCEEFF" w:val="clear"/>
            <w:tcMar>
              <w:left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Part I: Gender Identity</w:t>
            </w:r>
          </w:p>
        </w:tc>
        <w:tc>
          <w:tcPr>
            <w:tcW w:w="32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54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1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206" w:type="dxa"/>
            <w:tcBorders>
              <w:right w:val="single" w:sz="2" w:space="0" w:color="000000"/>
            </w:tcBorders>
            <w:shd w:fill="CCEEFF" w:val="clear"/>
            <w:tcMar>
              <w:right w:w="28" w:type="dxa"/>
            </w:tcMar>
            <w:vAlign w:val="center"/>
          </w:tcPr>
          <w:p>
            <w:pPr>
              <w:pStyle w:val="TableContents"/>
              <w:spacing w:before="0" w:after="1"/>
              <w:ind w:left="0" w:right="0" w:hanging="0"/>
              <w:rPr/>
            </w:pPr>
            <w:r>
              <w:rPr/>
              <w:t>​</w:t>
            </w:r>
          </w:p>
        </w:tc>
      </w:tr>
      <w:tr>
        <w:trPr/>
        <w:tc>
          <w:tcPr>
            <w:tcW w:w="3691" w:type="dxa"/>
            <w:tcBorders>
              <w:left w:val="single" w:sz="2" w:space="0" w:color="000000"/>
            </w:tcBorders>
            <w:shd w:fill="FFFFFF" w:val="clear"/>
            <w:tcMar>
              <w:left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Directors</w:t>
            </w:r>
          </w:p>
        </w:tc>
        <w:tc>
          <w:tcPr>
            <w:tcW w:w="326" w:type="dxa"/>
            <w:tcBorders/>
            <w:shd w:fill="FFFFFF" w:val="clear"/>
            <w:vAlign w:val="center"/>
          </w:tcPr>
          <w:p>
            <w:pPr>
              <w:pStyle w:val="TableContents"/>
              <w:spacing w:before="0" w:after="1"/>
              <w:ind w:left="0" w:right="0" w:hanging="0"/>
              <w:rPr/>
            </w:pPr>
            <w:r>
              <w:rPr/>
              <w:t>​</w:t>
            </w:r>
          </w:p>
        </w:tc>
        <w:tc>
          <w:tcPr>
            <w:tcW w:w="736" w:type="dxa"/>
            <w:tcBorders/>
            <w:shd w:fill="FFFFFF" w:val="clear"/>
            <w:vAlign w:val="center"/>
          </w:tcPr>
          <w:p>
            <w:pPr>
              <w:pStyle w:val="TableContents"/>
              <w:spacing w:before="0" w:after="1"/>
              <w:ind w:left="0" w:right="0" w:hanging="0"/>
              <w:rPr/>
            </w:pPr>
            <w:r>
              <w:rPr/>
              <w:t>​</w:t>
            </w:r>
          </w:p>
        </w:tc>
        <w:tc>
          <w:tcPr>
            <w:tcW w:w="326" w:type="dxa"/>
            <w:tcBorders/>
            <w:shd w:fill="FFFFFF" w:val="clear"/>
            <w:vAlign w:val="center"/>
          </w:tcPr>
          <w:p>
            <w:pPr>
              <w:pStyle w:val="TableContents"/>
              <w:spacing w:before="0" w:after="1"/>
              <w:ind w:left="0" w:right="0" w:hanging="0"/>
              <w:rPr/>
            </w:pPr>
            <w:r>
              <w:rPr/>
              <w:t>​</w:t>
            </w:r>
          </w:p>
        </w:tc>
        <w:tc>
          <w:tcPr>
            <w:tcW w:w="541" w:type="dxa"/>
            <w:tcBorders/>
            <w:shd w:fill="FFFF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shd w:fill="FFFFFF" w:val="clear"/>
            <w:vAlign w:val="center"/>
          </w:tcPr>
          <w:p>
            <w:pPr>
              <w:pStyle w:val="TableContents"/>
              <w:spacing w:before="0" w:after="1"/>
              <w:ind w:left="0" w:right="0" w:hanging="0"/>
              <w:rPr/>
            </w:pPr>
            <w:r>
              <w:rPr/>
              <w:t>​</w:t>
            </w:r>
          </w:p>
        </w:tc>
        <w:tc>
          <w:tcPr>
            <w:tcW w:w="1111" w:type="dxa"/>
            <w:tcBorders/>
            <w:shd w:fill="FFFFFF" w:val="clear"/>
            <w:vAlign w:val="center"/>
          </w:tcPr>
          <w:p>
            <w:pPr>
              <w:pStyle w:val="TableContents"/>
              <w:spacing w:before="0" w:after="1"/>
              <w:ind w:left="0" w:right="0" w:hanging="0"/>
              <w:rPr/>
            </w:pPr>
            <w:r>
              <w:rPr/>
              <w:t>​</w:t>
            </w:r>
          </w:p>
        </w:tc>
        <w:tc>
          <w:tcPr>
            <w:tcW w:w="326" w:type="dxa"/>
            <w:tcBorders/>
            <w:shd w:fill="FFFFFF" w:val="clear"/>
            <w:vAlign w:val="center"/>
          </w:tcPr>
          <w:p>
            <w:pPr>
              <w:pStyle w:val="TableContents"/>
              <w:spacing w:before="0" w:after="1"/>
              <w:ind w:left="0" w:right="0" w:hanging="0"/>
              <w:rPr/>
            </w:pPr>
            <w:r>
              <w:rPr/>
              <w:t>​</w:t>
            </w:r>
          </w:p>
        </w:tc>
        <w:tc>
          <w:tcPr>
            <w:tcW w:w="2206" w:type="dxa"/>
            <w:tcBorders>
              <w:right w:val="single" w:sz="2" w:space="0" w:color="000000"/>
            </w:tcBorders>
            <w:shd w:fill="FFFFFF" w:val="clear"/>
            <w:tcMar>
              <w:right w:w="28" w:type="dxa"/>
            </w:tcMar>
            <w:vAlign w:val="center"/>
          </w:tcPr>
          <w:p>
            <w:pPr>
              <w:pStyle w:val="TableContents"/>
              <w:spacing w:before="0" w:after="1"/>
              <w:ind w:left="0" w:right="0" w:hanging="0"/>
              <w:rPr/>
            </w:pPr>
            <w:r>
              <w:rPr/>
              <w:t>​</w:t>
            </w:r>
          </w:p>
        </w:tc>
      </w:tr>
      <w:tr>
        <w:trPr/>
        <w:tc>
          <w:tcPr>
            <w:tcW w:w="3691" w:type="dxa"/>
            <w:tcBorders>
              <w:left w:val="single" w:sz="2" w:space="0" w:color="000000"/>
            </w:tcBorders>
            <w:shd w:fill="CCEEFF" w:val="clear"/>
            <w:tcMar>
              <w:left w:w="28" w:type="dxa"/>
            </w:tcM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54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1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206" w:type="dxa"/>
            <w:tcBorders>
              <w:right w:val="single" w:sz="2" w:space="0" w:color="000000"/>
            </w:tcBorders>
            <w:shd w:fill="CCEEFF" w:val="clear"/>
            <w:tcMar>
              <w:right w:w="28" w:type="dxa"/>
            </w:tcMar>
            <w:vAlign w:val="center"/>
          </w:tcPr>
          <w:p>
            <w:pPr>
              <w:pStyle w:val="TableContents"/>
              <w:spacing w:before="0" w:after="1"/>
              <w:ind w:left="0" w:right="0" w:hanging="0"/>
              <w:rPr/>
            </w:pPr>
            <w:r>
              <w:rPr/>
              <w:t>​</w:t>
            </w:r>
          </w:p>
        </w:tc>
      </w:tr>
      <w:tr>
        <w:trPr/>
        <w:tc>
          <w:tcPr>
            <w:tcW w:w="3691" w:type="dxa"/>
            <w:tcBorders>
              <w:left w:val="single" w:sz="2" w:space="0" w:color="000000"/>
            </w:tcBorders>
            <w:shd w:fill="FFFFFF" w:val="clear"/>
            <w:tcMar>
              <w:left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Part II: Demographic Background</w:t>
            </w:r>
          </w:p>
        </w:tc>
        <w:tc>
          <w:tcPr>
            <w:tcW w:w="326" w:type="dxa"/>
            <w:tcBorders/>
            <w:shd w:fill="FFFFFF" w:val="clear"/>
            <w:vAlign w:val="center"/>
          </w:tcPr>
          <w:p>
            <w:pPr>
              <w:pStyle w:val="TableContents"/>
              <w:spacing w:before="0" w:after="1"/>
              <w:ind w:left="0" w:right="0" w:hanging="0"/>
              <w:rPr/>
            </w:pPr>
            <w:r>
              <w:rPr/>
              <w:t>​</w:t>
            </w:r>
          </w:p>
        </w:tc>
        <w:tc>
          <w:tcPr>
            <w:tcW w:w="736" w:type="dxa"/>
            <w:tcBorders/>
            <w:shd w:fill="FFFFFF" w:val="clear"/>
            <w:vAlign w:val="center"/>
          </w:tcPr>
          <w:p>
            <w:pPr>
              <w:pStyle w:val="TableContents"/>
              <w:spacing w:before="0" w:after="1"/>
              <w:ind w:left="0" w:right="0" w:hanging="0"/>
              <w:rPr/>
            </w:pPr>
            <w:r>
              <w:rPr/>
              <w:t>​</w:t>
            </w:r>
          </w:p>
        </w:tc>
        <w:tc>
          <w:tcPr>
            <w:tcW w:w="326" w:type="dxa"/>
            <w:tcBorders/>
            <w:shd w:fill="FFFFFF" w:val="clear"/>
            <w:vAlign w:val="center"/>
          </w:tcPr>
          <w:p>
            <w:pPr>
              <w:pStyle w:val="TableContents"/>
              <w:spacing w:before="0" w:after="1"/>
              <w:ind w:left="0" w:right="0" w:hanging="0"/>
              <w:rPr/>
            </w:pPr>
            <w:r>
              <w:rPr/>
              <w:t>​</w:t>
            </w:r>
          </w:p>
        </w:tc>
        <w:tc>
          <w:tcPr>
            <w:tcW w:w="541" w:type="dxa"/>
            <w:tcBorders/>
            <w:shd w:fill="FFFFFF" w:val="clear"/>
            <w:vAlign w:val="center"/>
          </w:tcPr>
          <w:p>
            <w:pPr>
              <w:pStyle w:val="TableContents"/>
              <w:spacing w:before="0" w:after="1"/>
              <w:ind w:left="0" w:right="0" w:hanging="0"/>
              <w:rPr/>
            </w:pPr>
            <w:r>
              <w:rPr/>
              <w:t>​</w:t>
            </w:r>
          </w:p>
        </w:tc>
        <w:tc>
          <w:tcPr>
            <w:tcW w:w="326" w:type="dxa"/>
            <w:tcBorders/>
            <w:shd w:fill="FFFFFF" w:val="clear"/>
            <w:vAlign w:val="center"/>
          </w:tcPr>
          <w:p>
            <w:pPr>
              <w:pStyle w:val="TableContents"/>
              <w:spacing w:before="0" w:after="1"/>
              <w:ind w:left="0" w:right="0" w:hanging="0"/>
              <w:rPr/>
            </w:pPr>
            <w:r>
              <w:rPr/>
              <w:t>​</w:t>
            </w:r>
          </w:p>
        </w:tc>
        <w:tc>
          <w:tcPr>
            <w:tcW w:w="1111" w:type="dxa"/>
            <w:tcBorders/>
            <w:shd w:fill="FFFFFF" w:val="clear"/>
            <w:vAlign w:val="center"/>
          </w:tcPr>
          <w:p>
            <w:pPr>
              <w:pStyle w:val="TableContents"/>
              <w:spacing w:before="0" w:after="1"/>
              <w:ind w:left="0" w:right="0" w:hanging="0"/>
              <w:rPr/>
            </w:pPr>
            <w:r>
              <w:rPr/>
              <w:t>​</w:t>
            </w:r>
          </w:p>
        </w:tc>
        <w:tc>
          <w:tcPr>
            <w:tcW w:w="326" w:type="dxa"/>
            <w:tcBorders/>
            <w:shd w:fill="FFFFFF" w:val="clear"/>
            <w:vAlign w:val="center"/>
          </w:tcPr>
          <w:p>
            <w:pPr>
              <w:pStyle w:val="TableContents"/>
              <w:spacing w:before="0" w:after="1"/>
              <w:ind w:left="0" w:right="0" w:hanging="0"/>
              <w:rPr/>
            </w:pPr>
            <w:r>
              <w:rPr/>
              <w:t>​</w:t>
            </w:r>
          </w:p>
        </w:tc>
        <w:tc>
          <w:tcPr>
            <w:tcW w:w="2206" w:type="dxa"/>
            <w:tcBorders>
              <w:right w:val="single" w:sz="2" w:space="0" w:color="000000"/>
            </w:tcBorders>
            <w:shd w:fill="FFFFFF" w:val="clear"/>
            <w:tcMar>
              <w:right w:w="28" w:type="dxa"/>
            </w:tcMar>
            <w:vAlign w:val="center"/>
          </w:tcPr>
          <w:p>
            <w:pPr>
              <w:pStyle w:val="TableContents"/>
              <w:spacing w:before="0" w:after="1"/>
              <w:ind w:left="0" w:right="0" w:hanging="0"/>
              <w:rPr/>
            </w:pPr>
            <w:r>
              <w:rPr/>
              <w:t>​</w:t>
            </w:r>
          </w:p>
        </w:tc>
      </w:tr>
      <w:tr>
        <w:trPr/>
        <w:tc>
          <w:tcPr>
            <w:tcW w:w="3691" w:type="dxa"/>
            <w:tcBorders>
              <w:left w:val="single" w:sz="2" w:space="0" w:color="000000"/>
            </w:tcBorders>
            <w:shd w:fill="CCEEFF" w:val="clear"/>
            <w:tcMar>
              <w:left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African American or Black</w:t>
            </w:r>
          </w:p>
        </w:tc>
        <w:tc>
          <w:tcPr>
            <w:tcW w:w="32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54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1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206" w:type="dxa"/>
            <w:tcBorders>
              <w:right w:val="single" w:sz="2" w:space="0" w:color="000000"/>
            </w:tcBorders>
            <w:shd w:fill="CCEEFF" w:val="clear"/>
            <w:tcMar>
              <w:right w:w="28" w:type="dxa"/>
            </w:tcMar>
            <w:vAlign w:val="center"/>
          </w:tcPr>
          <w:p>
            <w:pPr>
              <w:pStyle w:val="TableContents"/>
              <w:spacing w:before="0" w:after="1"/>
              <w:ind w:left="0" w:right="0" w:hanging="0"/>
              <w:rPr/>
            </w:pPr>
            <w:r>
              <w:rPr/>
              <w:t>​</w:t>
            </w:r>
          </w:p>
        </w:tc>
      </w:tr>
      <w:tr>
        <w:trPr/>
        <w:tc>
          <w:tcPr>
            <w:tcW w:w="3691" w:type="dxa"/>
            <w:tcBorders>
              <w:left w:val="single" w:sz="2" w:space="0" w:color="000000"/>
            </w:tcBorders>
            <w:shd w:fill="FFFFFF" w:val="clear"/>
            <w:tcMar>
              <w:left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Alaskan Native or Native American</w:t>
            </w:r>
          </w:p>
        </w:tc>
        <w:tc>
          <w:tcPr>
            <w:tcW w:w="326" w:type="dxa"/>
            <w:tcBorders/>
            <w:shd w:fill="FFFFFF" w:val="clear"/>
            <w:vAlign w:val="center"/>
          </w:tcPr>
          <w:p>
            <w:pPr>
              <w:pStyle w:val="TableContents"/>
              <w:spacing w:before="0" w:after="1"/>
              <w:ind w:left="0" w:right="0" w:hanging="0"/>
              <w:rPr/>
            </w:pPr>
            <w:r>
              <w:rPr/>
              <w:t>​</w:t>
            </w:r>
          </w:p>
        </w:tc>
        <w:tc>
          <w:tcPr>
            <w:tcW w:w="736" w:type="dxa"/>
            <w:tcBorders/>
            <w:shd w:fill="FFFFFF" w:val="clear"/>
            <w:vAlign w:val="center"/>
          </w:tcPr>
          <w:p>
            <w:pPr>
              <w:pStyle w:val="TableContents"/>
              <w:spacing w:before="0" w:after="1"/>
              <w:ind w:left="0" w:right="0" w:hanging="0"/>
              <w:rPr/>
            </w:pPr>
            <w:r>
              <w:rPr/>
              <w:t>​</w:t>
            </w:r>
          </w:p>
        </w:tc>
        <w:tc>
          <w:tcPr>
            <w:tcW w:w="326" w:type="dxa"/>
            <w:tcBorders/>
            <w:shd w:fill="FFFFFF" w:val="clear"/>
            <w:vAlign w:val="center"/>
          </w:tcPr>
          <w:p>
            <w:pPr>
              <w:pStyle w:val="TableContents"/>
              <w:spacing w:before="0" w:after="1"/>
              <w:ind w:left="0" w:right="0" w:hanging="0"/>
              <w:rPr/>
            </w:pPr>
            <w:r>
              <w:rPr/>
              <w:t>​</w:t>
            </w:r>
          </w:p>
        </w:tc>
        <w:tc>
          <w:tcPr>
            <w:tcW w:w="541" w:type="dxa"/>
            <w:tcBorders/>
            <w:shd w:fill="FFFFFF" w:val="clear"/>
            <w:vAlign w:val="center"/>
          </w:tcPr>
          <w:p>
            <w:pPr>
              <w:pStyle w:val="TableContents"/>
              <w:spacing w:before="0" w:after="1"/>
              <w:ind w:left="0" w:right="0" w:hanging="0"/>
              <w:rPr/>
            </w:pPr>
            <w:r>
              <w:rPr/>
              <w:t>​</w:t>
            </w:r>
          </w:p>
        </w:tc>
        <w:tc>
          <w:tcPr>
            <w:tcW w:w="326" w:type="dxa"/>
            <w:tcBorders/>
            <w:shd w:fill="FFFFFF" w:val="clear"/>
            <w:vAlign w:val="center"/>
          </w:tcPr>
          <w:p>
            <w:pPr>
              <w:pStyle w:val="TableContents"/>
              <w:spacing w:before="0" w:after="1"/>
              <w:ind w:left="0" w:right="0" w:hanging="0"/>
              <w:rPr/>
            </w:pPr>
            <w:r>
              <w:rPr/>
              <w:t>​</w:t>
            </w:r>
          </w:p>
        </w:tc>
        <w:tc>
          <w:tcPr>
            <w:tcW w:w="1111" w:type="dxa"/>
            <w:tcBorders/>
            <w:shd w:fill="FFFFFF" w:val="clear"/>
            <w:vAlign w:val="center"/>
          </w:tcPr>
          <w:p>
            <w:pPr>
              <w:pStyle w:val="TableContents"/>
              <w:spacing w:before="0" w:after="1"/>
              <w:ind w:left="0" w:right="0" w:hanging="0"/>
              <w:rPr/>
            </w:pPr>
            <w:r>
              <w:rPr/>
              <w:t>​</w:t>
            </w:r>
          </w:p>
        </w:tc>
        <w:tc>
          <w:tcPr>
            <w:tcW w:w="326" w:type="dxa"/>
            <w:tcBorders/>
            <w:shd w:fill="FFFFFF" w:val="clear"/>
            <w:vAlign w:val="center"/>
          </w:tcPr>
          <w:p>
            <w:pPr>
              <w:pStyle w:val="TableContents"/>
              <w:spacing w:before="0" w:after="1"/>
              <w:ind w:left="0" w:right="0" w:hanging="0"/>
              <w:rPr/>
            </w:pPr>
            <w:r>
              <w:rPr/>
              <w:t>​</w:t>
            </w:r>
          </w:p>
        </w:tc>
        <w:tc>
          <w:tcPr>
            <w:tcW w:w="2206" w:type="dxa"/>
            <w:tcBorders>
              <w:right w:val="single" w:sz="2" w:space="0" w:color="000000"/>
            </w:tcBorders>
            <w:shd w:fill="FFFFFF" w:val="clear"/>
            <w:tcMar>
              <w:right w:w="28" w:type="dxa"/>
            </w:tcMar>
            <w:vAlign w:val="center"/>
          </w:tcPr>
          <w:p>
            <w:pPr>
              <w:pStyle w:val="TableContents"/>
              <w:spacing w:before="0" w:after="1"/>
              <w:ind w:left="0" w:right="0" w:hanging="0"/>
              <w:rPr/>
            </w:pPr>
            <w:r>
              <w:rPr/>
              <w:t>​</w:t>
            </w:r>
          </w:p>
        </w:tc>
      </w:tr>
      <w:tr>
        <w:trPr/>
        <w:tc>
          <w:tcPr>
            <w:tcW w:w="3691" w:type="dxa"/>
            <w:tcBorders>
              <w:left w:val="single" w:sz="2" w:space="0" w:color="000000"/>
            </w:tcBorders>
            <w:shd w:fill="CCEEFF" w:val="clear"/>
            <w:tcMar>
              <w:left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Asian</w:t>
            </w:r>
          </w:p>
        </w:tc>
        <w:tc>
          <w:tcPr>
            <w:tcW w:w="32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54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1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206" w:type="dxa"/>
            <w:tcBorders>
              <w:right w:val="single" w:sz="2" w:space="0" w:color="000000"/>
            </w:tcBorders>
            <w:shd w:fill="CCEEFF" w:val="clear"/>
            <w:tcMar>
              <w:right w:w="28" w:type="dxa"/>
            </w:tcMar>
            <w:vAlign w:val="center"/>
          </w:tcPr>
          <w:p>
            <w:pPr>
              <w:pStyle w:val="TableContents"/>
              <w:spacing w:before="0" w:after="1"/>
              <w:ind w:left="0" w:right="0" w:hanging="0"/>
              <w:rPr/>
            </w:pPr>
            <w:r>
              <w:rPr/>
              <w:t>​</w:t>
            </w:r>
          </w:p>
        </w:tc>
      </w:tr>
      <w:tr>
        <w:trPr/>
        <w:tc>
          <w:tcPr>
            <w:tcW w:w="3691" w:type="dxa"/>
            <w:tcBorders>
              <w:left w:val="single" w:sz="2" w:space="0" w:color="000000"/>
            </w:tcBorders>
            <w:shd w:fill="FFFFFF" w:val="clear"/>
            <w:tcMar>
              <w:left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Hispanic or Latinx</w:t>
            </w:r>
          </w:p>
        </w:tc>
        <w:tc>
          <w:tcPr>
            <w:tcW w:w="326" w:type="dxa"/>
            <w:tcBorders/>
            <w:shd w:fill="FFFFFF" w:val="clear"/>
            <w:vAlign w:val="center"/>
          </w:tcPr>
          <w:p>
            <w:pPr>
              <w:pStyle w:val="TableContents"/>
              <w:spacing w:before="0" w:after="1"/>
              <w:ind w:left="0" w:right="0" w:hanging="0"/>
              <w:rPr/>
            </w:pPr>
            <w:r>
              <w:rPr/>
              <w:t>​</w:t>
            </w:r>
          </w:p>
        </w:tc>
        <w:tc>
          <w:tcPr>
            <w:tcW w:w="736" w:type="dxa"/>
            <w:tcBorders/>
            <w:shd w:fill="FFFFFF" w:val="clear"/>
            <w:vAlign w:val="center"/>
          </w:tcPr>
          <w:p>
            <w:pPr>
              <w:pStyle w:val="TableContents"/>
              <w:spacing w:before="0" w:after="1"/>
              <w:ind w:left="0" w:right="0" w:hanging="0"/>
              <w:rPr/>
            </w:pPr>
            <w:r>
              <w:rPr/>
              <w:t>​</w:t>
            </w:r>
          </w:p>
        </w:tc>
        <w:tc>
          <w:tcPr>
            <w:tcW w:w="326" w:type="dxa"/>
            <w:tcBorders/>
            <w:shd w:fill="FFFFFF" w:val="clear"/>
            <w:vAlign w:val="center"/>
          </w:tcPr>
          <w:p>
            <w:pPr>
              <w:pStyle w:val="TableContents"/>
              <w:spacing w:before="0" w:after="1"/>
              <w:ind w:left="0" w:right="0" w:hanging="0"/>
              <w:rPr/>
            </w:pPr>
            <w:r>
              <w:rPr/>
              <w:t>​</w:t>
            </w:r>
          </w:p>
        </w:tc>
        <w:tc>
          <w:tcPr>
            <w:tcW w:w="541" w:type="dxa"/>
            <w:tcBorders/>
            <w:shd w:fill="FFFFFF" w:val="clear"/>
            <w:vAlign w:val="center"/>
          </w:tcPr>
          <w:p>
            <w:pPr>
              <w:pStyle w:val="TableContents"/>
              <w:spacing w:before="0" w:after="1"/>
              <w:ind w:left="0" w:right="0" w:hanging="0"/>
              <w:rPr/>
            </w:pPr>
            <w:r>
              <w:rPr/>
              <w:t>​</w:t>
            </w:r>
          </w:p>
        </w:tc>
        <w:tc>
          <w:tcPr>
            <w:tcW w:w="326" w:type="dxa"/>
            <w:tcBorders/>
            <w:shd w:fill="FFFFFF" w:val="clear"/>
            <w:vAlign w:val="center"/>
          </w:tcPr>
          <w:p>
            <w:pPr>
              <w:pStyle w:val="TableContents"/>
              <w:spacing w:before="0" w:after="1"/>
              <w:ind w:left="0" w:right="0" w:hanging="0"/>
              <w:rPr/>
            </w:pPr>
            <w:r>
              <w:rPr/>
              <w:t>​</w:t>
            </w:r>
          </w:p>
        </w:tc>
        <w:tc>
          <w:tcPr>
            <w:tcW w:w="1111" w:type="dxa"/>
            <w:tcBorders/>
            <w:shd w:fill="FFFFFF" w:val="clear"/>
            <w:vAlign w:val="center"/>
          </w:tcPr>
          <w:p>
            <w:pPr>
              <w:pStyle w:val="TableContents"/>
              <w:spacing w:before="0" w:after="1"/>
              <w:ind w:left="0" w:right="0" w:hanging="0"/>
              <w:rPr/>
            </w:pPr>
            <w:r>
              <w:rPr/>
              <w:t>​</w:t>
            </w:r>
          </w:p>
        </w:tc>
        <w:tc>
          <w:tcPr>
            <w:tcW w:w="326" w:type="dxa"/>
            <w:tcBorders/>
            <w:shd w:fill="FFFFFF" w:val="clear"/>
            <w:vAlign w:val="center"/>
          </w:tcPr>
          <w:p>
            <w:pPr>
              <w:pStyle w:val="TableContents"/>
              <w:spacing w:before="0" w:after="1"/>
              <w:ind w:left="0" w:right="0" w:hanging="0"/>
              <w:rPr/>
            </w:pPr>
            <w:r>
              <w:rPr/>
              <w:t>​</w:t>
            </w:r>
          </w:p>
        </w:tc>
        <w:tc>
          <w:tcPr>
            <w:tcW w:w="2206" w:type="dxa"/>
            <w:tcBorders>
              <w:right w:val="single" w:sz="2" w:space="0" w:color="000000"/>
            </w:tcBorders>
            <w:shd w:fill="FFFFFF" w:val="clear"/>
            <w:tcMar>
              <w:right w:w="28" w:type="dxa"/>
            </w:tcMar>
            <w:vAlign w:val="center"/>
          </w:tcPr>
          <w:p>
            <w:pPr>
              <w:pStyle w:val="TableContents"/>
              <w:spacing w:before="0" w:after="1"/>
              <w:ind w:left="0" w:right="0" w:hanging="0"/>
              <w:rPr/>
            </w:pPr>
            <w:r>
              <w:rPr/>
              <w:t>​</w:t>
            </w:r>
          </w:p>
        </w:tc>
      </w:tr>
      <w:tr>
        <w:trPr/>
        <w:tc>
          <w:tcPr>
            <w:tcW w:w="3691" w:type="dxa"/>
            <w:tcBorders>
              <w:left w:val="single" w:sz="2" w:space="0" w:color="000000"/>
            </w:tcBorders>
            <w:shd w:fill="CCEEFF" w:val="clear"/>
            <w:tcMar>
              <w:left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Native Hawaiian or Pacific Islander</w:t>
            </w:r>
          </w:p>
        </w:tc>
        <w:tc>
          <w:tcPr>
            <w:tcW w:w="32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54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1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206" w:type="dxa"/>
            <w:tcBorders>
              <w:right w:val="single" w:sz="2" w:space="0" w:color="000000"/>
            </w:tcBorders>
            <w:shd w:fill="CCEEFF" w:val="clear"/>
            <w:tcMar>
              <w:right w:w="28" w:type="dxa"/>
            </w:tcMar>
            <w:vAlign w:val="center"/>
          </w:tcPr>
          <w:p>
            <w:pPr>
              <w:pStyle w:val="TableContents"/>
              <w:spacing w:before="0" w:after="1"/>
              <w:ind w:left="0" w:right="0" w:hanging="0"/>
              <w:rPr/>
            </w:pPr>
            <w:r>
              <w:rPr/>
              <w:t>​</w:t>
            </w:r>
          </w:p>
        </w:tc>
      </w:tr>
      <w:tr>
        <w:trPr/>
        <w:tc>
          <w:tcPr>
            <w:tcW w:w="3691" w:type="dxa"/>
            <w:tcBorders>
              <w:left w:val="single" w:sz="2" w:space="0" w:color="000000"/>
            </w:tcBorders>
            <w:shd w:fill="FFFFFF" w:val="clear"/>
            <w:tcMar>
              <w:left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White</w:t>
            </w:r>
          </w:p>
        </w:tc>
        <w:tc>
          <w:tcPr>
            <w:tcW w:w="326" w:type="dxa"/>
            <w:tcBorders/>
            <w:shd w:fill="FFFFFF" w:val="clear"/>
            <w:vAlign w:val="center"/>
          </w:tcPr>
          <w:p>
            <w:pPr>
              <w:pStyle w:val="TableContents"/>
              <w:spacing w:before="0" w:after="1"/>
              <w:ind w:left="0" w:right="0" w:hanging="0"/>
              <w:rPr/>
            </w:pPr>
            <w:r>
              <w:rPr/>
              <w:t>​</w:t>
            </w:r>
          </w:p>
        </w:tc>
        <w:tc>
          <w:tcPr>
            <w:tcW w:w="736" w:type="dxa"/>
            <w:tcBorders/>
            <w:shd w:fill="FFFFFF" w:val="clear"/>
            <w:vAlign w:val="center"/>
          </w:tcPr>
          <w:p>
            <w:pPr>
              <w:pStyle w:val="TableContents"/>
              <w:spacing w:before="0" w:after="1"/>
              <w:ind w:left="0" w:right="0" w:hanging="0"/>
              <w:rPr/>
            </w:pPr>
            <w:r>
              <w:rPr/>
              <w:t>​</w:t>
            </w:r>
          </w:p>
        </w:tc>
        <w:tc>
          <w:tcPr>
            <w:tcW w:w="326" w:type="dxa"/>
            <w:tcBorders/>
            <w:shd w:fill="FFFFFF" w:val="clear"/>
            <w:vAlign w:val="center"/>
          </w:tcPr>
          <w:p>
            <w:pPr>
              <w:pStyle w:val="TableContents"/>
              <w:spacing w:before="0" w:after="1"/>
              <w:ind w:left="0" w:right="0" w:hanging="0"/>
              <w:rPr/>
            </w:pPr>
            <w:r>
              <w:rPr/>
              <w:t>​</w:t>
            </w:r>
          </w:p>
        </w:tc>
        <w:tc>
          <w:tcPr>
            <w:tcW w:w="541" w:type="dxa"/>
            <w:tcBorders/>
            <w:shd w:fill="FFFF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shd w:fill="FFFFFF" w:val="clear"/>
            <w:vAlign w:val="center"/>
          </w:tcPr>
          <w:p>
            <w:pPr>
              <w:pStyle w:val="TableContents"/>
              <w:spacing w:before="0" w:after="1"/>
              <w:ind w:left="0" w:right="0" w:hanging="0"/>
              <w:rPr/>
            </w:pPr>
            <w:r>
              <w:rPr/>
              <w:t>​</w:t>
            </w:r>
          </w:p>
        </w:tc>
        <w:tc>
          <w:tcPr>
            <w:tcW w:w="1111" w:type="dxa"/>
            <w:tcBorders/>
            <w:shd w:fill="FFFFFF" w:val="clear"/>
            <w:vAlign w:val="center"/>
          </w:tcPr>
          <w:p>
            <w:pPr>
              <w:pStyle w:val="TableContents"/>
              <w:spacing w:before="0" w:after="1"/>
              <w:ind w:left="0" w:right="0" w:hanging="0"/>
              <w:rPr/>
            </w:pPr>
            <w:r>
              <w:rPr/>
              <w:t>​</w:t>
            </w:r>
          </w:p>
        </w:tc>
        <w:tc>
          <w:tcPr>
            <w:tcW w:w="326" w:type="dxa"/>
            <w:tcBorders/>
            <w:shd w:fill="FFFFFF" w:val="clear"/>
            <w:vAlign w:val="center"/>
          </w:tcPr>
          <w:p>
            <w:pPr>
              <w:pStyle w:val="TableContents"/>
              <w:spacing w:before="0" w:after="1"/>
              <w:ind w:left="0" w:right="0" w:hanging="0"/>
              <w:rPr/>
            </w:pPr>
            <w:r>
              <w:rPr/>
              <w:t>​</w:t>
            </w:r>
          </w:p>
        </w:tc>
        <w:tc>
          <w:tcPr>
            <w:tcW w:w="2206" w:type="dxa"/>
            <w:tcBorders>
              <w:right w:val="single" w:sz="2" w:space="0" w:color="000000"/>
            </w:tcBorders>
            <w:shd w:fill="FFFFFF" w:val="clear"/>
            <w:tcMar>
              <w:right w:w="28" w:type="dxa"/>
            </w:tcMar>
            <w:vAlign w:val="center"/>
          </w:tcPr>
          <w:p>
            <w:pPr>
              <w:pStyle w:val="TableContents"/>
              <w:spacing w:before="0" w:after="1"/>
              <w:ind w:left="0" w:right="0" w:hanging="0"/>
              <w:rPr/>
            </w:pPr>
            <w:r>
              <w:rPr/>
              <w:t>​</w:t>
            </w:r>
          </w:p>
        </w:tc>
      </w:tr>
      <w:tr>
        <w:trPr/>
        <w:tc>
          <w:tcPr>
            <w:tcW w:w="3691" w:type="dxa"/>
            <w:tcBorders>
              <w:left w:val="single" w:sz="2" w:space="0" w:color="000000"/>
            </w:tcBorders>
            <w:shd w:fill="CCEEFF" w:val="clear"/>
            <w:tcMar>
              <w:left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Two or More Races or Ethnicities</w:t>
            </w:r>
          </w:p>
        </w:tc>
        <w:tc>
          <w:tcPr>
            <w:tcW w:w="326"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54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1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206" w:type="dxa"/>
            <w:tcBorders>
              <w:right w:val="single" w:sz="2" w:space="0" w:color="000000"/>
            </w:tcBorders>
            <w:shd w:fill="CCEEFF" w:val="clear"/>
            <w:tcMar>
              <w:right w:w="28" w:type="dxa"/>
            </w:tcMar>
            <w:vAlign w:val="center"/>
          </w:tcPr>
          <w:p>
            <w:pPr>
              <w:pStyle w:val="TableContents"/>
              <w:spacing w:before="0" w:after="1"/>
              <w:ind w:left="0" w:right="0" w:hanging="0"/>
              <w:rPr/>
            </w:pPr>
            <w:r>
              <w:rPr/>
              <w:t>​</w:t>
            </w:r>
          </w:p>
        </w:tc>
      </w:tr>
      <w:tr>
        <w:trPr/>
        <w:tc>
          <w:tcPr>
            <w:tcW w:w="3691" w:type="dxa"/>
            <w:tcBorders>
              <w:left w:val="single" w:sz="2" w:space="0" w:color="000000"/>
            </w:tcBorders>
            <w:shd w:fill="FFFFFF" w:val="clear"/>
            <w:tcMar>
              <w:left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LGBTQ+</w:t>
            </w:r>
          </w:p>
        </w:tc>
        <w:tc>
          <w:tcPr>
            <w:tcW w:w="326" w:type="dxa"/>
            <w:tcBorders/>
            <w:shd w:fill="FFFFFF" w:val="clear"/>
            <w:vAlign w:val="center"/>
          </w:tcPr>
          <w:p>
            <w:pPr>
              <w:pStyle w:val="TableContents"/>
              <w:spacing w:before="0" w:after="1"/>
              <w:ind w:left="0" w:right="0" w:hanging="0"/>
              <w:rPr/>
            </w:pPr>
            <w:r>
              <w:rPr/>
              <w:t>​</w:t>
            </w:r>
          </w:p>
        </w:tc>
        <w:tc>
          <w:tcPr>
            <w:tcW w:w="736" w:type="dxa"/>
            <w:tcBorders/>
            <w:shd w:fill="FFFFFF" w:val="clear"/>
            <w:vAlign w:val="center"/>
          </w:tcPr>
          <w:p>
            <w:pPr>
              <w:pStyle w:val="TableContents"/>
              <w:spacing w:before="0" w:after="1"/>
              <w:ind w:left="0" w:right="0" w:hanging="0"/>
              <w:rPr/>
            </w:pPr>
            <w:r>
              <w:rPr/>
              <w:t>​</w:t>
            </w:r>
          </w:p>
        </w:tc>
        <w:tc>
          <w:tcPr>
            <w:tcW w:w="326" w:type="dxa"/>
            <w:tcBorders/>
            <w:shd w:fill="FFFFFF" w:val="clear"/>
            <w:vAlign w:val="center"/>
          </w:tcPr>
          <w:p>
            <w:pPr>
              <w:pStyle w:val="TableContents"/>
              <w:spacing w:before="0" w:after="1"/>
              <w:ind w:left="0" w:right="0" w:hanging="0"/>
              <w:rPr/>
            </w:pPr>
            <w:r>
              <w:rPr/>
              <w:t>​</w:t>
            </w:r>
          </w:p>
        </w:tc>
        <w:tc>
          <w:tcPr>
            <w:tcW w:w="541" w:type="dxa"/>
            <w:tcBorders/>
            <w:shd w:fill="FFFFFF" w:val="clear"/>
            <w:vAlign w:val="center"/>
          </w:tcPr>
          <w:p>
            <w:pPr>
              <w:pStyle w:val="TableContents"/>
              <w:spacing w:before="0" w:after="1"/>
              <w:ind w:left="0" w:right="0" w:hanging="0"/>
              <w:rPr/>
            </w:pPr>
            <w:r>
              <w:rPr/>
              <w:t>​</w:t>
            </w:r>
          </w:p>
        </w:tc>
        <w:tc>
          <w:tcPr>
            <w:tcW w:w="326" w:type="dxa"/>
            <w:tcBorders/>
            <w:shd w:fill="FFFFFF" w:val="clear"/>
            <w:vAlign w:val="center"/>
          </w:tcPr>
          <w:p>
            <w:pPr>
              <w:pStyle w:val="TableContents"/>
              <w:spacing w:before="0" w:after="1"/>
              <w:ind w:left="0" w:right="0" w:hanging="0"/>
              <w:rPr/>
            </w:pPr>
            <w:r>
              <w:rPr/>
              <w:t>​</w:t>
            </w:r>
          </w:p>
        </w:tc>
        <w:tc>
          <w:tcPr>
            <w:tcW w:w="1111" w:type="dxa"/>
            <w:tcBorders/>
            <w:shd w:fill="FFFFFF" w:val="clear"/>
            <w:vAlign w:val="center"/>
          </w:tcPr>
          <w:p>
            <w:pPr>
              <w:pStyle w:val="TableContents"/>
              <w:spacing w:before="0" w:after="1"/>
              <w:ind w:left="0" w:right="0" w:hanging="0"/>
              <w:rPr/>
            </w:pPr>
            <w:r>
              <w:rPr/>
              <w:t>​</w:t>
            </w:r>
          </w:p>
        </w:tc>
        <w:tc>
          <w:tcPr>
            <w:tcW w:w="326" w:type="dxa"/>
            <w:tcBorders/>
            <w:shd w:fill="FFFFFF" w:val="clear"/>
            <w:vAlign w:val="center"/>
          </w:tcPr>
          <w:p>
            <w:pPr>
              <w:pStyle w:val="TableContents"/>
              <w:spacing w:before="0" w:after="1"/>
              <w:ind w:left="0" w:right="0" w:hanging="0"/>
              <w:rPr/>
            </w:pPr>
            <w:r>
              <w:rPr/>
              <w:t>​</w:t>
            </w:r>
          </w:p>
        </w:tc>
        <w:tc>
          <w:tcPr>
            <w:tcW w:w="2206" w:type="dxa"/>
            <w:tcBorders>
              <w:right w:val="single" w:sz="2" w:space="0" w:color="000000"/>
            </w:tcBorders>
            <w:shd w:fill="FFFFFF" w:val="clear"/>
            <w:tcMar>
              <w:right w:w="28" w:type="dxa"/>
            </w:tcMar>
            <w:vAlign w:val="center"/>
          </w:tcPr>
          <w:p>
            <w:pPr>
              <w:pStyle w:val="TableContents"/>
              <w:spacing w:before="0" w:after="1"/>
              <w:ind w:left="0" w:right="0" w:hanging="0"/>
              <w:rPr/>
            </w:pPr>
            <w:r>
              <w:rPr/>
              <w:t>​</w:t>
            </w:r>
          </w:p>
        </w:tc>
      </w:tr>
      <w:tr>
        <w:trPr/>
        <w:tc>
          <w:tcPr>
            <w:tcW w:w="3691" w:type="dxa"/>
            <w:tcBorders>
              <w:left w:val="single" w:sz="2" w:space="0" w:color="000000"/>
              <w:bottom w:val="single" w:sz="12" w:space="0" w:color="000000"/>
            </w:tcBorders>
            <w:shd w:fill="CCEEFF" w:val="clear"/>
            <w:tcMar>
              <w:left w:w="28" w:type="dxa"/>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Did Not Disclose Demographic Background</w:t>
            </w:r>
          </w:p>
        </w:tc>
        <w:tc>
          <w:tcPr>
            <w:tcW w:w="326" w:type="dxa"/>
            <w:tcBorders>
              <w:bottom w:val="single" w:sz="12" w:space="0" w:color="000000"/>
            </w:tcBorders>
            <w:shd w:fill="CCEEFF" w:val="clear"/>
            <w:tcMar>
              <w:bottom w:w="28" w:type="dxa"/>
            </w:tcMar>
            <w:vAlign w:val="center"/>
          </w:tcPr>
          <w:p>
            <w:pPr>
              <w:pStyle w:val="TableContents"/>
              <w:spacing w:before="0" w:after="1"/>
              <w:ind w:left="0" w:right="0" w:hanging="0"/>
              <w:rPr/>
            </w:pPr>
            <w:r>
              <w:rPr/>
              <w:t>​</w:t>
            </w:r>
          </w:p>
        </w:tc>
        <w:tc>
          <w:tcPr>
            <w:tcW w:w="736" w:type="dxa"/>
            <w:tcBorders>
              <w:bottom w:val="single" w:sz="12" w:space="0" w:color="000000"/>
            </w:tcBorders>
            <w:shd w:fill="CCEEFF" w:val="clear"/>
            <w:tcMar>
              <w:bottom w:w="28" w:type="dxa"/>
            </w:tcMar>
            <w:vAlign w:val="center"/>
          </w:tcPr>
          <w:p>
            <w:pPr>
              <w:pStyle w:val="TableContents"/>
              <w:spacing w:before="0" w:after="1"/>
              <w:ind w:left="0" w:right="0" w:hanging="0"/>
              <w:rPr/>
            </w:pPr>
            <w:r>
              <w:rPr/>
              <w:t>​</w:t>
            </w:r>
          </w:p>
        </w:tc>
        <w:tc>
          <w:tcPr>
            <w:tcW w:w="326" w:type="dxa"/>
            <w:tcBorders>
              <w:bottom w:val="single" w:sz="12" w:space="0" w:color="000000"/>
            </w:tcBorders>
            <w:shd w:fill="CCEEFF" w:val="clear"/>
            <w:tcMar>
              <w:bottom w:w="28" w:type="dxa"/>
            </w:tcMar>
            <w:vAlign w:val="center"/>
          </w:tcPr>
          <w:p>
            <w:pPr>
              <w:pStyle w:val="TableContents"/>
              <w:spacing w:before="0" w:after="1"/>
              <w:ind w:left="0" w:right="0" w:hanging="0"/>
              <w:rPr/>
            </w:pPr>
            <w:r>
              <w:rPr/>
              <w:t>​</w:t>
            </w:r>
          </w:p>
        </w:tc>
        <w:tc>
          <w:tcPr>
            <w:tcW w:w="541" w:type="dxa"/>
            <w:tcBorders>
              <w:bottom w:val="single" w:sz="12" w:space="0" w:color="000000"/>
            </w:tcBorders>
            <w:shd w:fill="CCEEFF" w:val="clear"/>
            <w:tcMar>
              <w:bottom w:w="28" w:type="dxa"/>
            </w:tcMar>
            <w:vAlign w:val="center"/>
          </w:tcPr>
          <w:p>
            <w:pPr>
              <w:pStyle w:val="TableContents"/>
              <w:spacing w:before="0" w:after="1"/>
              <w:ind w:left="0" w:right="0" w:hanging="0"/>
              <w:rPr/>
            </w:pPr>
            <w:r>
              <w:rPr/>
              <w:t>​</w:t>
            </w:r>
          </w:p>
        </w:tc>
        <w:tc>
          <w:tcPr>
            <w:tcW w:w="326" w:type="dxa"/>
            <w:tcBorders>
              <w:bottom w:val="single" w:sz="12" w:space="0" w:color="000000"/>
            </w:tcBorders>
            <w:shd w:fill="CCEEFF" w:val="clear"/>
            <w:tcMar>
              <w:bottom w:w="28" w:type="dxa"/>
            </w:tcMar>
            <w:vAlign w:val="center"/>
          </w:tcPr>
          <w:p>
            <w:pPr>
              <w:pStyle w:val="TableContents"/>
              <w:spacing w:before="0" w:after="1"/>
              <w:ind w:left="0" w:right="0" w:hanging="0"/>
              <w:rPr/>
            </w:pPr>
            <w:r>
              <w:rPr/>
              <w:t>​</w:t>
            </w:r>
          </w:p>
        </w:tc>
        <w:tc>
          <w:tcPr>
            <w:tcW w:w="1111" w:type="dxa"/>
            <w:tcBorders>
              <w:bottom w:val="single" w:sz="12" w:space="0" w:color="000000"/>
            </w:tcBorders>
            <w:shd w:fill="CCEEFF" w:val="clear"/>
            <w:tcMar>
              <w:bottom w:w="28" w:type="dxa"/>
            </w:tcMar>
            <w:vAlign w:val="center"/>
          </w:tcPr>
          <w:p>
            <w:pPr>
              <w:pStyle w:val="TableContents"/>
              <w:spacing w:before="0" w:after="1"/>
              <w:ind w:left="0" w:right="0" w:hanging="0"/>
              <w:rPr/>
            </w:pPr>
            <w:r>
              <w:rPr/>
              <w:t>​</w:t>
            </w:r>
          </w:p>
        </w:tc>
        <w:tc>
          <w:tcPr>
            <w:tcW w:w="326" w:type="dxa"/>
            <w:tcBorders>
              <w:bottom w:val="single" w:sz="12" w:space="0" w:color="000000"/>
            </w:tcBorders>
            <w:shd w:fill="CCEEFF" w:val="clear"/>
            <w:tcMar>
              <w:bottom w:w="28" w:type="dxa"/>
            </w:tcMar>
            <w:vAlign w:val="center"/>
          </w:tcPr>
          <w:p>
            <w:pPr>
              <w:pStyle w:val="TableContents"/>
              <w:spacing w:before="0" w:after="1"/>
              <w:ind w:left="0" w:right="0" w:hanging="0"/>
              <w:rPr/>
            </w:pPr>
            <w:r>
              <w:rPr/>
              <w:t>​</w:t>
            </w:r>
          </w:p>
        </w:tc>
        <w:tc>
          <w:tcPr>
            <w:tcW w:w="2206" w:type="dxa"/>
            <w:tcBorders>
              <w:bottom w:val="single" w:sz="12" w:space="0" w:color="000000"/>
              <w:right w:val="single" w:sz="2" w:space="0" w:color="000000"/>
            </w:tcBorders>
            <w:shd w:fill="CCEEFF" w:val="clear"/>
            <w:tcMar>
              <w:bottom w:w="28" w:type="dxa"/>
              <w:right w:w="28" w:type="dxa"/>
            </w:tcMar>
            <w:vAlign w:val="center"/>
          </w:tcPr>
          <w:p>
            <w:pPr>
              <w:pStyle w:val="TableContents"/>
              <w:spacing w:before="0" w:after="1"/>
              <w:ind w:left="0" w:right="0" w:hanging="0"/>
              <w:rPr/>
            </w:pPr>
            <w:r>
              <w:rPr/>
              <w:t>​</w:t>
            </w:r>
          </w:p>
        </w:tc>
      </w:tr>
    </w:tbl>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Delinquent Section 16(a) Reports </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records reflect that all reports which were required to be filed pursuant to Section 16(a) of the Securities Exchange Act of 1934, as amended, were filed on a timely basis, except that each of Bruce T. Bernstein, Michael Lebowitz, Donald E. Stout and Robert Weinstein, directors, filed one Form 4 reporting receipt of equity grants one business day late.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Code of Conduct and Ethics</w:t>
      </w:r>
    </w:p>
    <w:p>
      <w:pPr>
        <w:pStyle w:val="TextBody"/>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We have adopted a code of conduct and ethics that applies to all of our employees, including our principal executive officer and principal financial and accounting officer. The text of the code of conduct and ethics is posted on the “Investors — Corporate Governance” section of our website at </w:t>
      </w:r>
      <w:r>
        <w:rPr>
          <w:rFonts w:ascii="Times New Roman;Times;serif" w:hAnsi="Times New Roman;Times;serif"/>
          <w:i/>
          <w:sz w:val="20"/>
        </w:rPr>
        <w:t>www.xwell.com/corporate-governance</w:t>
      </w:r>
      <w:r>
        <w:rPr>
          <w:rFonts w:ascii="Times New Roman;Times;serif" w:hAnsi="Times New Roman;Times;serif"/>
          <w:sz w:val="20"/>
        </w:rPr>
        <w:t>, and will be made available to stockholders without charge, upon request, in writing to the Corporate Secretary at 254 West 31st Street 11</w:t>
      </w:r>
      <w:r>
        <w:rPr>
          <w:rFonts w:ascii="Times New Roman;Times;serif" w:hAnsi="Times New Roman;Times;serif"/>
          <w:sz w:val="15"/>
        </w:rPr>
        <w:t>th</w:t>
      </w:r>
      <w:r>
        <w:rPr>
          <w:rFonts w:ascii="Times New Roman;Times;serif" w:hAnsi="Times New Roman;Times;serif"/>
          <w:sz w:val="20"/>
        </w:rPr>
        <w:t> Floor, New York, New York 10001.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Nasdaq rules.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59" w:name="ITEM11EXECUTIVECOMPENSATION_983420"/>
      <w:bookmarkStart w:id="60" w:name="_30356e8f_6799_49db_ae12_339672c706f3"/>
      <w:bookmarkEnd w:id="59"/>
      <w:bookmarkEnd w:id="60"/>
      <w:r>
        <w:rPr>
          <w:rFonts w:ascii="Times New Roman;Times;serif" w:hAnsi="Times New Roman;Times;serif"/>
          <w:b/>
          <w:sz w:val="20"/>
        </w:rPr>
        <w:t>ITEM 11. EXECUTIVE COMPENSATION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Summary Compensation Table</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total compensation awarded or paid by us during the fiscal years ended December 31, 2022 and 2021 to (i) our principal executive officer; and (ii) the two most highly compensated executive officers other than the principal executive officer who was serving as executive officer at December 31, 2022 (collectively, the “named executive officers”).</w:t>
      </w:r>
    </w:p>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1803"/>
        <w:gridCol w:w="326"/>
        <w:gridCol w:w="526"/>
        <w:gridCol w:w="326"/>
        <w:gridCol w:w="781"/>
        <w:gridCol w:w="326"/>
        <w:gridCol w:w="1141"/>
        <w:gridCol w:w="326"/>
        <w:gridCol w:w="931"/>
        <w:gridCol w:w="326"/>
        <w:gridCol w:w="781"/>
        <w:gridCol w:w="109"/>
        <w:gridCol w:w="1141"/>
        <w:gridCol w:w="326"/>
        <w:gridCol w:w="1036"/>
      </w:tblGrid>
      <w:tr>
        <w:trPr/>
        <w:tc>
          <w:tcPr>
            <w:tcW w:w="18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144905" cy="175260"/>
                      <wp:effectExtent l="0" t="0" r="0" b="0"/>
                      <wp:wrapNone/>
                      <wp:docPr id="7" name="Frame7"/>
                      <a:graphic xmlns:a="http://schemas.openxmlformats.org/drawingml/2006/main">
                        <a:graphicData uri="http://schemas.microsoft.com/office/word/2010/wordprocessingShape">
                          <wps:wsp>
                            <wps:cNvSpPr txBox="1"/>
                            <wps:spPr>
                              <a:xfrm>
                                <a:off x="0" y="0"/>
                                <a:ext cx="11449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34010" cy="175260"/>
                      <wp:effectExtent l="0" t="0" r="0" b="0"/>
                      <wp:wrapNone/>
                      <wp:docPr id="9" name="Frame9"/>
                      <a:graphic xmlns:a="http://schemas.openxmlformats.org/drawingml/2006/main">
                        <a:graphicData uri="http://schemas.microsoft.com/office/word/2010/wordprocessingShape">
                          <wps:wsp>
                            <wps:cNvSpPr txBox="1"/>
                            <wps:spPr>
                              <a:xfrm>
                                <a:off x="0" y="0"/>
                                <a:ext cx="334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95935" cy="175260"/>
                      <wp:effectExtent l="0" t="0" r="0" b="0"/>
                      <wp:wrapNone/>
                      <wp:docPr id="11" name="Frame1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724535" cy="175260"/>
                      <wp:effectExtent l="0" t="0" r="0" b="0"/>
                      <wp:wrapNone/>
                      <wp:docPr id="13" name="Frame13"/>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91185" cy="175260"/>
                      <wp:effectExtent l="0" t="0" r="0" b="0"/>
                      <wp:wrapNone/>
                      <wp:docPr id="15" name="Frame1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95935" cy="175260"/>
                      <wp:effectExtent l="0" t="0" r="0" b="0"/>
                      <wp:wrapNone/>
                      <wp:docPr id="17" name="Frame1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9215" cy="175260"/>
                      <wp:effectExtent l="0" t="0" r="0" b="0"/>
                      <wp:wrapNone/>
                      <wp:docPr id="18" name="Frame1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724535" cy="175260"/>
                      <wp:effectExtent l="0" t="0" r="0" b="0"/>
                      <wp:wrapNone/>
                      <wp:docPr id="19" name="Frame19"/>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57860" cy="175260"/>
                      <wp:effectExtent l="0" t="0" r="0" b="0"/>
                      <wp:wrapNone/>
                      <wp:docPr id="21" name="Frame21"/>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80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Non-Equity </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center"/>
              <w:rPr/>
            </w:pPr>
            <w:r>
              <w:rPr/>
              <w:t>​</w:t>
            </w:r>
          </w:p>
        </w:tc>
      </w:tr>
      <w:tr>
        <w:trPr/>
        <w:tc>
          <w:tcPr>
            <w:tcW w:w="180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Incentive Plan</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All Other </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center"/>
              <w:rPr/>
            </w:pPr>
            <w:r>
              <w:rPr/>
              <w:t>​</w:t>
            </w:r>
          </w:p>
        </w:tc>
      </w:tr>
      <w:tr>
        <w:trPr/>
        <w:tc>
          <w:tcPr>
            <w:tcW w:w="180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Salary</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center"/>
              <w:rPr/>
            </w:pPr>
            <w:r>
              <w:rPr/>
              <w:t> </w:t>
            </w:r>
            <w:r>
              <w:rPr>
                <w:rFonts w:ascii="Times New Roman;Times;serif" w:hAnsi="Times New Roman;Times;serif"/>
                <w:b/>
                <w:sz w:val="16"/>
              </w:rPr>
              <w:t>Awards </w:t>
            </w:r>
          </w:p>
        </w:tc>
        <w:tc>
          <w:tcPr>
            <w:tcW w:w="109"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w:t>
            </w:r>
          </w:p>
        </w:tc>
      </w:tr>
      <w:tr>
        <w:trPr/>
        <w:tc>
          <w:tcPr>
            <w:tcW w:w="1803"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Name and principal position</w:t>
            </w:r>
          </w:p>
        </w:tc>
        <w:tc>
          <w:tcPr>
            <w:tcW w:w="326" w:type="dxa"/>
            <w:tcBorders/>
            <w:shd w:fill="auto" w:val="clear"/>
            <w:vAlign w:val="center"/>
          </w:tcPr>
          <w:p>
            <w:pPr>
              <w:pStyle w:val="TableContents"/>
              <w:spacing w:before="0" w:after="1"/>
              <w:ind w:left="0" w:right="0" w:hanging="0"/>
              <w:rPr/>
            </w:pPr>
            <w:r>
              <w:rPr/>
              <w:t>​</w:t>
            </w:r>
          </w:p>
        </w:tc>
        <w:tc>
          <w:tcPr>
            <w:tcW w:w="52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w:t>
            </w:r>
          </w:p>
        </w:tc>
        <w:tc>
          <w:tcPr>
            <w:tcW w:w="326" w:type="dxa"/>
            <w:tcBorders/>
            <w:shd w:fill="auto" w:val="cle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w:t>
            </w:r>
          </w:p>
        </w:tc>
        <w:tc>
          <w:tcPr>
            <w:tcW w:w="326" w:type="dxa"/>
            <w:tcBorders/>
            <w:shd w:fill="auto" w:val="clear"/>
            <w:vAlign w:val="center"/>
          </w:tcPr>
          <w:p>
            <w:pPr>
              <w:pStyle w:val="TableContents"/>
              <w:spacing w:before="0" w:after="1"/>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w:t>
            </w:r>
          </w:p>
        </w:tc>
        <w:tc>
          <w:tcPr>
            <w:tcW w:w="326" w:type="dxa"/>
            <w:tcBorders/>
            <w:shd w:fill="auto" w:val="cle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w:t>
            </w:r>
          </w:p>
        </w:tc>
        <w:tc>
          <w:tcPr>
            <w:tcW w:w="326" w:type="dxa"/>
            <w:tcBorders/>
            <w:shd w:fill="auto" w:val="clear"/>
            <w:vAlign w:val="center"/>
          </w:tcPr>
          <w:p>
            <w:pPr>
              <w:pStyle w:val="TableContents"/>
              <w:spacing w:before="0" w:after="1"/>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w:t>
            </w:r>
          </w:p>
        </w:tc>
        <w:tc>
          <w:tcPr>
            <w:tcW w:w="109" w:type="dxa"/>
            <w:tcBorders/>
            <w:shd w:fill="auto" w:val="clear"/>
            <w:vAlign w:val="center"/>
          </w:tcPr>
          <w:p>
            <w:pPr>
              <w:pStyle w:val="TableContents"/>
              <w:spacing w:before="0" w:after="1"/>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(5)</w:t>
            </w:r>
          </w:p>
        </w:tc>
        <w:tc>
          <w:tcPr>
            <w:tcW w:w="326" w:type="dxa"/>
            <w:tcBorders/>
            <w:shd w:fill="auto" w:val="clear"/>
            <w:vAlign w:val="center"/>
          </w:tcPr>
          <w:p>
            <w:pPr>
              <w:pStyle w:val="TableContents"/>
              <w:spacing w:before="0" w:after="1"/>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803"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52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w:t>
            </w:r>
          </w:p>
        </w:tc>
      </w:tr>
      <w:tr>
        <w:trPr/>
        <w:tc>
          <w:tcPr>
            <w:tcW w:w="1803"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Scott Milford</w:t>
            </w:r>
            <w:r>
              <w:rPr>
                <w:rFonts w:ascii="Times New Roman;Times;serif" w:hAnsi="Times New Roman;Times;serif"/>
                <w:sz w:val="15"/>
              </w:rPr>
              <w:t>(2)</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413,462</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181,704</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36,290</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615,500</w:t>
            </w:r>
          </w:p>
        </w:tc>
        <w:tc>
          <w:tcPr>
            <w:tcW w:w="109"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1,246,956</w:t>
            </w:r>
          </w:p>
        </w:tc>
      </w:tr>
      <w:tr>
        <w:trPr/>
        <w:tc>
          <w:tcPr>
            <w:tcW w:w="1803" w:type="dxa"/>
            <w:tcBorders/>
            <w:shd w:fill="CCEEFF" w:val="clear"/>
            <w:vAlign w:val="center"/>
          </w:tcPr>
          <w:p>
            <w:pPr>
              <w:pStyle w:val="TableContents"/>
              <w:spacing w:before="0" w:after="1"/>
              <w:ind w:left="0" w:right="0" w:hanging="0"/>
              <w:rPr>
                <w:rFonts w:ascii="Times New Roman;Times;serif" w:hAnsi="Times New Roman;Times;serif"/>
                <w:i/>
                <w:sz w:val="20"/>
              </w:rPr>
            </w:pPr>
            <w:r>
              <w:rPr>
                <w:rFonts w:ascii="Times New Roman;Times;serif" w:hAnsi="Times New Roman;Times;serif"/>
                <w:i/>
                <w:sz w:val="20"/>
              </w:rPr>
              <w:t>Chief Executive Officer</w:t>
            </w:r>
          </w:p>
        </w:tc>
        <w:tc>
          <w:tcPr>
            <w:tcW w:w="326" w:type="dxa"/>
            <w:tcBorders/>
            <w:shd w:fill="CCEEFF" w:val="clear"/>
            <w:vAlign w:val="center"/>
          </w:tcPr>
          <w:p>
            <w:pPr>
              <w:pStyle w:val="TableContents"/>
              <w:spacing w:before="0" w:after="1"/>
              <w:ind w:left="0" w:right="0" w:hanging="0"/>
              <w:rPr/>
            </w:pPr>
            <w:r>
              <w:rPr/>
              <w:t>​</w:t>
            </w:r>
          </w:p>
        </w:tc>
        <w:tc>
          <w:tcPr>
            <w:tcW w:w="52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350,000</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768,479</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1,118,479</w:t>
            </w:r>
          </w:p>
        </w:tc>
      </w:tr>
      <w:tr>
        <w:trPr/>
        <w:tc>
          <w:tcPr>
            <w:tcW w:w="180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rPr/>
            </w:pPr>
            <w:r>
              <w:rPr/>
              <w:t>​</w:t>
            </w:r>
          </w:p>
        </w:tc>
      </w:tr>
      <w:tr>
        <w:trPr/>
        <w:tc>
          <w:tcPr>
            <w:tcW w:w="1803"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Omar A Haynes</w:t>
            </w:r>
            <w:r>
              <w:rPr>
                <w:rFonts w:ascii="Times New Roman;Times;serif" w:hAnsi="Times New Roman;Times;serif"/>
                <w:sz w:val="15"/>
              </w:rPr>
              <w:t>(3)</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251,250</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101,856</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36,290</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65,000</w:t>
            </w:r>
          </w:p>
        </w:tc>
        <w:tc>
          <w:tcPr>
            <w:tcW w:w="109"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454,397</w:t>
            </w:r>
          </w:p>
        </w:tc>
      </w:tr>
      <w:tr>
        <w:trPr/>
        <w:tc>
          <w:tcPr>
            <w:tcW w:w="1803" w:type="dxa"/>
            <w:tcBorders/>
            <w:shd w:fill="auto" w:val="clear"/>
            <w:vAlign w:val="center"/>
          </w:tcPr>
          <w:p>
            <w:pPr>
              <w:pStyle w:val="TableContents"/>
              <w:spacing w:before="0" w:after="1"/>
              <w:ind w:left="0" w:right="0" w:hanging="0"/>
              <w:rPr>
                <w:rFonts w:ascii="Times New Roman;Times;serif" w:hAnsi="Times New Roman;Times;serif"/>
                <w:i/>
                <w:sz w:val="20"/>
              </w:rPr>
            </w:pPr>
            <w:r>
              <w:rPr>
                <w:rFonts w:ascii="Times New Roman;Times;serif" w:hAnsi="Times New Roman;Times;serif"/>
                <w:i/>
                <w:sz w:val="20"/>
              </w:rPr>
              <w:t>Interim Chief Financial Officer</w:t>
            </w:r>
          </w:p>
        </w:tc>
        <w:tc>
          <w:tcPr>
            <w:tcW w:w="326" w:type="dxa"/>
            <w:tcBorders/>
            <w:shd w:fill="auto" w:val="clear"/>
            <w:vAlign w:val="center"/>
          </w:tcPr>
          <w:p>
            <w:pPr>
              <w:pStyle w:val="TableContents"/>
              <w:spacing w:before="0" w:after="1"/>
              <w:ind w:left="0" w:right="0" w:hanging="0"/>
              <w:rPr/>
            </w:pPr>
            <w:r>
              <w:rPr/>
              <w:t>​</w:t>
            </w:r>
          </w:p>
        </w:tc>
        <w:tc>
          <w:tcPr>
            <w:tcW w:w="52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pPr>
            <w:r>
              <w:rPr/>
              <w:t>​</w:t>
            </w:r>
          </w:p>
        </w:tc>
      </w:tr>
      <w:tr>
        <w:trPr/>
        <w:tc>
          <w:tcPr>
            <w:tcW w:w="1803"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52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rPr/>
            </w:pPr>
            <w:r>
              <w:rPr/>
              <w:t>​</w:t>
            </w:r>
          </w:p>
        </w:tc>
      </w:tr>
      <w:tr>
        <w:trPr/>
        <w:tc>
          <w:tcPr>
            <w:tcW w:w="1803"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Ezra T. Ernst</w:t>
            </w:r>
            <w:r>
              <w:rPr>
                <w:rFonts w:ascii="Times New Roman;Times;serif" w:hAnsi="Times New Roman;Times;serif"/>
                <w:sz w:val="15"/>
              </w:rPr>
              <w:t>(4)</w:t>
            </w:r>
          </w:p>
        </w:tc>
        <w:tc>
          <w:tcPr>
            <w:tcW w:w="326" w:type="dxa"/>
            <w:tcBorders/>
            <w:shd w:fill="auto" w:val="clear"/>
            <w:vAlign w:val="center"/>
          </w:tcPr>
          <w:p>
            <w:pPr>
              <w:pStyle w:val="TableContents"/>
              <w:spacing w:before="0" w:after="1"/>
              <w:ind w:left="0" w:right="0" w:hanging="0"/>
              <w:rPr/>
            </w:pPr>
            <w:r>
              <w:rPr/>
              <w:t> </w:t>
            </w:r>
          </w:p>
        </w:tc>
        <w:tc>
          <w:tcPr>
            <w:tcW w:w="52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318,425</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362,900</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681,325</w:t>
            </w:r>
          </w:p>
        </w:tc>
      </w:tr>
      <w:tr>
        <w:trPr/>
        <w:tc>
          <w:tcPr>
            <w:tcW w:w="1803" w:type="dxa"/>
            <w:tcBorders/>
            <w:shd w:fill="CCEEFF" w:val="clear"/>
            <w:vAlign w:val="center"/>
          </w:tcPr>
          <w:p>
            <w:pPr>
              <w:pStyle w:val="TableContents"/>
              <w:spacing w:before="0" w:after="1"/>
              <w:ind w:left="0" w:right="0" w:hanging="0"/>
              <w:rPr>
                <w:rFonts w:ascii="Times New Roman;Times;serif" w:hAnsi="Times New Roman;Times;serif"/>
                <w:i/>
                <w:sz w:val="20"/>
              </w:rPr>
            </w:pPr>
            <w:r>
              <w:rPr>
                <w:rFonts w:ascii="Times New Roman;Times;serif" w:hAnsi="Times New Roman;Times;serif"/>
                <w:i/>
                <w:sz w:val="20"/>
              </w:rPr>
              <w:t>Executive Vice President of XWELL, Chief Executive Officer of XpresTest and President and Chief Executive Officer of Hyperpointe</w:t>
            </w:r>
          </w:p>
        </w:tc>
        <w:tc>
          <w:tcPr>
            <w:tcW w:w="326" w:type="dxa"/>
            <w:tcBorders/>
            <w:shd w:fill="CCEEFF" w:val="clear"/>
            <w:vAlign w:val="center"/>
          </w:tcPr>
          <w:p>
            <w:pPr>
              <w:pStyle w:val="TableContents"/>
              <w:spacing w:before="0" w:after="1"/>
              <w:ind w:left="0" w:right="0" w:hanging="0"/>
              <w:rPr/>
            </w:pPr>
            <w:r>
              <w:rPr/>
              <w:t> </w:t>
            </w:r>
          </w:p>
        </w:tc>
        <w:tc>
          <w:tcPr>
            <w:tcW w:w="52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w:t>
            </w:r>
          </w:p>
        </w:tc>
      </w:tr>
      <w:tr>
        <w:trPr/>
        <w:tc>
          <w:tcPr>
            <w:tcW w:w="180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0" w:hanging="0"/>
              <w:rPr/>
            </w:pPr>
            <w:r>
              <w:rPr/>
              <w:t>​</w:t>
            </w:r>
          </w:p>
        </w:tc>
      </w:tr>
      <w:tr>
        <w:trPr/>
        <w:tc>
          <w:tcPr>
            <w:tcW w:w="1803"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Douglas Satzman</w:t>
            </w:r>
            <w:r>
              <w:rPr>
                <w:rFonts w:ascii="Times New Roman;Times;serif" w:hAnsi="Times New Roman;Times;serif"/>
                <w:sz w:val="15"/>
              </w:rPr>
              <w:t>(5)</w:t>
            </w:r>
          </w:p>
        </w:tc>
        <w:tc>
          <w:tcPr>
            <w:tcW w:w="326" w:type="dxa"/>
            <w:tcBorders/>
            <w:shd w:fill="CCEEFF" w:val="clear"/>
            <w:vAlign w:val="center"/>
          </w:tcPr>
          <w:p>
            <w:pPr>
              <w:pStyle w:val="TableContents"/>
              <w:spacing w:before="0" w:after="1"/>
              <w:ind w:left="0" w:right="0" w:hanging="0"/>
              <w:rPr/>
            </w:pPr>
            <w:r>
              <w:rPr/>
              <w:t>​</w:t>
            </w:r>
          </w:p>
        </w:tc>
        <w:tc>
          <w:tcPr>
            <w:tcW w:w="52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spacing w:before="0" w:after="1"/>
              <w:ind w:left="0" w:right="0" w:hanging="0"/>
              <w:rPr/>
            </w:pPr>
            <w:r>
              <w:rPr/>
              <w:t> </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24,726</w:t>
            </w:r>
          </w:p>
        </w:tc>
        <w:tc>
          <w:tcPr>
            <w:tcW w:w="326" w:type="dxa"/>
            <w:tcBorders/>
            <w:shd w:fill="CCEEFF" w:val="clear"/>
            <w:vAlign w:val="center"/>
          </w:tcPr>
          <w:p>
            <w:pPr>
              <w:pStyle w:val="TableContents"/>
              <w:spacing w:before="0" w:after="1"/>
              <w:ind w:left="0" w:right="0" w:hanging="0"/>
              <w:rPr/>
            </w:pPr>
            <w:r>
              <w:rPr/>
              <w:t> </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168,341</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8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450,388</w:t>
            </w:r>
          </w:p>
        </w:tc>
        <w:tc>
          <w:tcPr>
            <w:tcW w:w="326"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643,455</w:t>
            </w:r>
          </w:p>
        </w:tc>
      </w:tr>
      <w:tr>
        <w:trPr/>
        <w:tc>
          <w:tcPr>
            <w:tcW w:w="1803" w:type="dxa"/>
            <w:tcBorders/>
            <w:shd w:fill="auto" w:val="clear"/>
            <w:vAlign w:val="center"/>
          </w:tcPr>
          <w:p>
            <w:pPr>
              <w:pStyle w:val="TableContents"/>
              <w:spacing w:before="0" w:after="1"/>
              <w:ind w:left="0" w:right="0" w:hanging="0"/>
              <w:rPr>
                <w:rFonts w:ascii="Times New Roman;Times;serif" w:hAnsi="Times New Roman;Times;serif"/>
                <w:i/>
                <w:sz w:val="20"/>
              </w:rPr>
            </w:pPr>
            <w:r>
              <w:rPr>
                <w:rFonts w:ascii="Times New Roman;Times;serif" w:hAnsi="Times New Roman;Times;serif"/>
                <w:i/>
                <w:sz w:val="20"/>
              </w:rPr>
              <w:t>Former Chief Executive Officer</w:t>
            </w:r>
          </w:p>
        </w:tc>
        <w:tc>
          <w:tcPr>
            <w:tcW w:w="326" w:type="dxa"/>
            <w:tcBorders/>
            <w:shd w:fill="auto" w:val="clear"/>
            <w:vAlign w:val="center"/>
          </w:tcPr>
          <w:p>
            <w:pPr>
              <w:pStyle w:val="TableContents"/>
              <w:spacing w:before="0" w:after="1"/>
              <w:ind w:left="0" w:right="0" w:hanging="0"/>
              <w:rPr/>
            </w:pPr>
            <w:r>
              <w:rPr/>
              <w:t>​</w:t>
            </w:r>
          </w:p>
        </w:tc>
        <w:tc>
          <w:tcPr>
            <w:tcW w:w="52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2021</w:t>
            </w:r>
          </w:p>
        </w:tc>
        <w:tc>
          <w:tcPr>
            <w:tcW w:w="326" w:type="dxa"/>
            <w:tcBorders/>
            <w:shd w:fill="auto" w:val="clear"/>
            <w:vAlign w:val="center"/>
          </w:tcPr>
          <w:p>
            <w:pPr>
              <w:pStyle w:val="TableContents"/>
              <w:spacing w:before="0" w:after="1"/>
              <w:ind w:left="0" w:right="0" w:hanging="0"/>
              <w:rPr/>
            </w:pPr>
            <w:r>
              <w:rPr/>
              <w:t> </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472,115</w:t>
            </w:r>
          </w:p>
        </w:tc>
        <w:tc>
          <w:tcPr>
            <w:tcW w:w="326" w:type="dxa"/>
            <w:tcBorders/>
            <w:shd w:fill="auto" w:val="clear"/>
            <w:vAlign w:val="center"/>
          </w:tcPr>
          <w:p>
            <w:pPr>
              <w:pStyle w:val="TableContents"/>
              <w:spacing w:before="0" w:after="1"/>
              <w:ind w:left="0" w:right="0" w:hanging="0"/>
              <w:rPr/>
            </w:pPr>
            <w:r>
              <w:rPr/>
              <w:t> </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1,042,934</w:t>
            </w:r>
          </w:p>
        </w:tc>
        <w:tc>
          <w:tcPr>
            <w:tcW w:w="326" w:type="dxa"/>
            <w:tcBorders/>
            <w:shd w:fill="auto" w:val="clear"/>
            <w:vAlign w:val="center"/>
          </w:tcPr>
          <w:p>
            <w:pPr>
              <w:pStyle w:val="TableContents"/>
              <w:spacing w:before="0" w:after="1"/>
              <w:ind w:left="0" w:right="0" w:hanging="0"/>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326,000</w:t>
            </w:r>
          </w:p>
        </w:tc>
        <w:tc>
          <w:tcPr>
            <w:tcW w:w="109"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036" w:type="dxa"/>
            <w:tcBorders/>
            <w:shd w:fill="auto"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1,841,049</w:t>
            </w:r>
          </w:p>
        </w:tc>
      </w:tr>
    </w:tbl>
    <w:tbl>
      <w:tblPr>
        <w:tblW w:w="10205" w:type="dxa"/>
        <w:jc w:val="left"/>
        <w:tblInd w:w="0" w:type="dxa"/>
        <w:tblCellMar>
          <w:top w:w="0" w:type="dxa"/>
          <w:left w:w="0" w:type="dxa"/>
          <w:bottom w:w="0" w:type="dxa"/>
          <w:right w:w="0" w:type="dxa"/>
        </w:tblCellMar>
      </w:tblPr>
      <w:tblGrid>
        <w:gridCol w:w="303"/>
        <w:gridCol w:w="9902"/>
      </w:tblGrid>
      <w:tr>
        <w:trPr/>
        <w:tc>
          <w:tcPr>
            <w:tcW w:w="30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0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Amounts represent the aggregate grant date fair value in accordance with FASB ASC </w:t>
            </w:r>
            <w:r>
              <w:rPr>
                <w:rFonts w:ascii="Times New Roman;Times;serif" w:hAnsi="Times New Roman;Times;serif"/>
                <w:b w:val="false"/>
                <w:i/>
                <w:sz w:val="20"/>
              </w:rPr>
              <w:t>Topic 718</w:t>
            </w:r>
            <w:r>
              <w:rPr>
                <w:rFonts w:ascii="Times New Roman;Times;serif" w:hAnsi="Times New Roman;Times;serif"/>
                <w:b w:val="false"/>
                <w:i w:val="false"/>
                <w:caps w:val="false"/>
                <w:smallCaps w:val="false"/>
                <w:sz w:val="20"/>
              </w:rPr>
              <w:t>. For the assumptions made in the valuation of our equity awards see Notes 2 and 15 to our consolidated financial statements included in the Original Filing. The amount reported for Mr. Haynes is the grant date fair value of a restricted stock unit</w:t>
            </w:r>
            <w:r>
              <w:rPr>
                <w:caps w:val="false"/>
                <w:smallCaps w:val="false"/>
              </w:rPr>
              <w:t xml:space="preserve"> </w:t>
            </w:r>
            <w:r>
              <w:rPr>
                <w:rFonts w:ascii="Times New Roman;Times;serif" w:hAnsi="Times New Roman;Times;serif"/>
                <w:b w:val="false"/>
                <w:i w:val="false"/>
                <w:caps w:val="false"/>
                <w:smallCaps w:val="false"/>
                <w:sz w:val="20"/>
              </w:rPr>
              <w:t>award for 100,000 shares of our Common Stock.</w:t>
            </w:r>
          </w:p>
        </w:tc>
      </w:tr>
    </w:tbl>
    <w:tbl>
      <w:tblPr>
        <w:tblW w:w="10205" w:type="dxa"/>
        <w:jc w:val="left"/>
        <w:tblInd w:w="0" w:type="dxa"/>
        <w:tblCellMar>
          <w:top w:w="0" w:type="dxa"/>
          <w:left w:w="0" w:type="dxa"/>
          <w:bottom w:w="0" w:type="dxa"/>
          <w:right w:w="0" w:type="dxa"/>
        </w:tblCellMar>
      </w:tblPr>
      <w:tblGrid>
        <w:gridCol w:w="307"/>
        <w:gridCol w:w="9898"/>
      </w:tblGrid>
      <w:tr>
        <w:trPr/>
        <w:tc>
          <w:tcPr>
            <w:tcW w:w="30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89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Milford is currently our Chief Executive Officer, effective January 19, 2022. Prior to that, he served as our Chief Operating Officer since December 14, 2020. Compensation in 2022 includes equity awards of stock options and restricted stock. Compensation in 2021 includes equity awards of stock options.</w:t>
            </w:r>
          </w:p>
        </w:tc>
      </w:tr>
    </w:tbl>
    <w:tbl>
      <w:tblPr>
        <w:tblW w:w="10205" w:type="dxa"/>
        <w:jc w:val="left"/>
        <w:tblInd w:w="0" w:type="dxa"/>
        <w:tblCellMar>
          <w:top w:w="0" w:type="dxa"/>
          <w:left w:w="0" w:type="dxa"/>
          <w:bottom w:w="0" w:type="dxa"/>
          <w:right w:w="0" w:type="dxa"/>
        </w:tblCellMar>
      </w:tblPr>
      <w:tblGrid>
        <w:gridCol w:w="300"/>
        <w:gridCol w:w="9905"/>
      </w:tblGrid>
      <w:tr>
        <w:trPr/>
        <w:tc>
          <w:tcPr>
            <w:tcW w:w="3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905"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Mr. Haynes</w:t>
            </w:r>
            <w:r>
              <w:rPr>
                <w:caps w:val="false"/>
                <w:smallCaps w:val="false"/>
                <w:highlight w:val="white"/>
              </w:rPr>
              <w:t xml:space="preserve"> </w:t>
            </w:r>
            <w:r>
              <w:rPr>
                <w:rFonts w:ascii="Times New Roman;Times;serif" w:hAnsi="Times New Roman;Times;serif"/>
                <w:b w:val="false"/>
                <w:i w:val="false"/>
                <w:caps w:val="false"/>
                <w:smallCaps w:val="false"/>
                <w:sz w:val="20"/>
              </w:rPr>
              <w:t xml:space="preserve">is currently our Chief Financial Officer, effective June 13, 2022. Prior to that, he </w:t>
            </w:r>
            <w:r>
              <w:rPr>
                <w:rFonts w:ascii="Times New Roman;Times;serif" w:hAnsi="Times New Roman;Times;serif"/>
                <w:b w:val="false"/>
                <w:i w:val="false"/>
                <w:caps w:val="false"/>
                <w:smallCaps w:val="false"/>
                <w:sz w:val="20"/>
                <w:highlight w:val="white"/>
              </w:rPr>
              <w:t xml:space="preserve">served as Vice President of Treasury &amp; Finance of the Company, a non-executive role, since June 2021 and he continue to retain that title while serving as the Company’s Interim Chief Financial Officer.  He served as Treasurer &amp; Senior Director of Finance from June 2020 to May 2021. </w:t>
            </w:r>
            <w:r>
              <w:rPr>
                <w:rFonts w:ascii="Times New Roman;Times;serif" w:hAnsi="Times New Roman;Times;serif"/>
                <w:b w:val="false"/>
                <w:i w:val="false"/>
                <w:caps w:val="false"/>
                <w:smallCaps w:val="false"/>
                <w:sz w:val="20"/>
              </w:rPr>
              <w:t>Compensation in 2022 includes equity awards of stock options and restricted stock.</w:t>
            </w:r>
          </w:p>
        </w:tc>
      </w:tr>
    </w:tbl>
    <w:tbl>
      <w:tblPr>
        <w:tblW w:w="10205" w:type="dxa"/>
        <w:jc w:val="left"/>
        <w:tblInd w:w="0" w:type="dxa"/>
        <w:tblCellMar>
          <w:top w:w="0" w:type="dxa"/>
          <w:left w:w="0" w:type="dxa"/>
          <w:bottom w:w="0" w:type="dxa"/>
          <w:right w:w="0" w:type="dxa"/>
        </w:tblCellMar>
      </w:tblPr>
      <w:tblGrid>
        <w:gridCol w:w="322"/>
        <w:gridCol w:w="9883"/>
      </w:tblGrid>
      <w:tr>
        <w:trPr/>
        <w:tc>
          <w:tcPr>
            <w:tcW w:w="32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988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Ernst has served as our Executive Vice President and the Chief Executive Officer of XpresTest Inc. since January 9, 2022.  Compensation in 2022 includes equity awards of stock options.</w:t>
            </w:r>
          </w:p>
        </w:tc>
      </w:tr>
    </w:tbl>
    <w:tbl>
      <w:tblPr>
        <w:tblW w:w="10205" w:type="dxa"/>
        <w:jc w:val="left"/>
        <w:tblInd w:w="0" w:type="dxa"/>
        <w:tblCellMar>
          <w:top w:w="0" w:type="dxa"/>
          <w:left w:w="0" w:type="dxa"/>
          <w:bottom w:w="0" w:type="dxa"/>
          <w:right w:w="0" w:type="dxa"/>
        </w:tblCellMar>
      </w:tblPr>
      <w:tblGrid>
        <w:gridCol w:w="297"/>
        <w:gridCol w:w="9908"/>
      </w:tblGrid>
      <w:tr>
        <w:trPr/>
        <w:tc>
          <w:tcPr>
            <w:tcW w:w="29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990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Satzman served as our Chief Executive Officer until January 19, 2022. Amounts reported under the “All Other Compensation” column in 2022 include a severance payment pursuant to our separation agreement with Mr. Satzman Compensation in 2021 includes equity awards of stock options and restricted stock. As noted under “— Potential Payments upon Termination or Change-In-Control” below, Mr. Satzman received incentive compensation of $158,341 attributable to calendar year 2021, as provided in his employment agreement.</w:t>
            </w:r>
          </w:p>
        </w:tc>
      </w:tr>
    </w:tbl>
    <w:p>
      <w:pPr>
        <w:pStyle w:val="TextBody"/>
        <w:spacing w:before="0" w:after="0"/>
        <w:ind w:left="36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Narrative Disclosure to Summary Compensation Table</w:t>
      </w:r>
    </w:p>
    <w:p>
      <w:pPr>
        <w:pStyle w:val="TextBody"/>
        <w:pBdr/>
        <w:spacing w:before="240" w:after="0"/>
        <w:ind w:left="0" w:right="0" w:hanging="0"/>
        <w:rPr>
          <w:rFonts w:ascii="Times New Roman;Times;serif" w:hAnsi="Times New Roman;Times;serif"/>
          <w:b/>
          <w:i/>
          <w:sz w:val="20"/>
        </w:rPr>
      </w:pPr>
      <w:r>
        <w:rPr>
          <w:rFonts w:ascii="Times New Roman;Times;serif" w:hAnsi="Times New Roman;Times;serif"/>
          <w:b/>
          <w:i/>
          <w:sz w:val="20"/>
        </w:rPr>
        <w:t>Scott Milford</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On July 8, 2019, we entered into an employment agreement with Mr. Milford, pursuant to which he agreed to serve as our Chief People Officer for an annual base salary of $280,000 and $300,000, for the first year ended July 31, 2020 and the second year ending on July 31, 2021, respectively. After July 31, 2021, Mr. Milford continued to be employed by the Company as an ‘at will’ employee, subject to annual review by the Compensation Committee. Mr. Milford was also entitled to a one-time 10% minimum guaranteed bonus for 2019 to be calculated off his Base Salary as of his July 8, 2019 commencement date as well as to participate in any annual bonus or other incentive compensation program that the Company may adopt from time to time for its executive officers.  Mr. Milford was promoted to Chief Operating Officer in December 2020; no changes to his compensation were made at that time in connection with the promotion.</w:t>
      </w:r>
    </w:p>
    <w:p>
      <w:pPr>
        <w:pStyle w:val="TextBody"/>
        <w:shd w:fill="FFFFFF" w:val="clear"/>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On March 28, 2022, the Company and Mr. Milford entered into an Executive Employment Agreement effective as of January 19, 2022, the date of Mr. Milford’s assumption of the role of Chief Executive Officer.. The agreement has a term of two years from such January 19, 2022 effective date. Following that period, Mr. Milford will continue to be employed by the Company as an “at will” employee.  Mr. Milford is entitled to receive an annual base salary of $425,000. He is also eligible to participate in any annual bonus and other incentive compensation program that the Company may adopt from time to time for its executive officers. Mr. Milford is eligible to earn an annual bonus, the target amount of which is up to one hundred percent (100%) of his base salary, based upon the achievement of performance goals and metrics established by the Board at its sole discretion. Any bonus will be determined as soon as reasonably practicable after the Company’s annual financial statements are finalized and will be split 50/50 between cash and a grant of restricted stock units with respect to the Company’s common stock.</w:t>
      </w:r>
    </w:p>
    <w:p>
      <w:pPr>
        <w:pStyle w:val="TextBody"/>
        <w:shd w:fill="FFFFFF" w:val="clear"/>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In the event the employment agreement is terminated for good reason by Mr. Milford, or by the Company without cause and Mr. Milford provides the Company with a release of claims, Mr. Milford shall be entitled to receive a cash severance payment in the amount of one hundred percent (100%) of his then current base salary and one year of COBRA continuation coverage.  In addition, the agreement contains non-solicitation and non-competition provisions that apply during the term of Mr. Milford's employment and for six months thereafter.</w:t>
      </w:r>
    </w:p>
    <w:p>
      <w:pPr>
        <w:pStyle w:val="TextBody"/>
        <w:shd w:fill="FFFFFF" w:val="clear"/>
        <w:spacing w:before="0" w:after="0"/>
        <w:ind w:left="0" w:right="0" w:hanging="0"/>
        <w:jc w:val="both"/>
        <w:rPr/>
      </w:pPr>
      <w:r>
        <w:rPr/>
        <w:t>​</w:t>
      </w:r>
    </w:p>
    <w:p>
      <w:pPr>
        <w:pStyle w:val="TextBody"/>
        <w:pBdr/>
        <w:spacing w:before="0" w:after="0"/>
        <w:ind w:left="0" w:right="0" w:hanging="0"/>
        <w:rPr>
          <w:rFonts w:ascii="Times New Roman;Times;serif" w:hAnsi="Times New Roman;Times;serif"/>
          <w:b/>
          <w:i/>
          <w:sz w:val="20"/>
        </w:rPr>
      </w:pPr>
      <w:r>
        <w:rPr>
          <w:rFonts w:ascii="Times New Roman;Times;serif" w:hAnsi="Times New Roman;Times;serif"/>
          <w:b/>
          <w:i/>
          <w:sz w:val="20"/>
        </w:rPr>
        <w:t>Omar A. Haynes</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For his service as Interim Chief Financial Officer, Mr. Haynes receives a base salary of $288,750 annually, subject to review by the Compensation Committee of the Company’s board of directors. He is eligible to receive an annual cash bonus with a target of 50% of his base salary and will be eligible to participate in any annual bonus or other incentive compensation program that the Company may adopt from time to time for its executive officers.</w:t>
      </w:r>
    </w:p>
    <w:p>
      <w:pPr>
        <w:pStyle w:val="TextBody"/>
        <w:shd w:fill="FFFFFF" w:val="clear"/>
        <w:spacing w:before="0" w:after="0"/>
        <w:ind w:left="0" w:right="0" w:firstLine="490"/>
        <w:jc w:val="both"/>
        <w:rPr/>
      </w:pPr>
      <w:r>
        <w:rPr/>
        <w:t>​</w:t>
      </w:r>
    </w:p>
    <w:p>
      <w:pPr>
        <w:pStyle w:val="TextBody"/>
        <w:pBdr/>
        <w:spacing w:before="0" w:after="0"/>
        <w:ind w:left="0" w:right="0" w:hanging="0"/>
        <w:rPr>
          <w:rFonts w:ascii="Times New Roman;Times;serif" w:hAnsi="Times New Roman;Times;serif"/>
          <w:b/>
          <w:i/>
          <w:sz w:val="20"/>
        </w:rPr>
      </w:pPr>
      <w:r>
        <w:rPr>
          <w:rFonts w:ascii="Times New Roman;Times;serif" w:hAnsi="Times New Roman;Times;serif"/>
          <w:b/>
          <w:i/>
          <w:sz w:val="20"/>
        </w:rPr>
        <w:t>Ezra Ernst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On January 9, 2022, the Company and Mr. Ernst entered into an Executive Employment Agreement, pursuant to which Mr. Ernst serves as the Chief Executive Officer and a director of XpresTest.  The agreement has a term of three years from the date of closing of the Company’s acquisition of Hyperpointe.  Mr. Ernst is entitled to receive an annual base salary of $375,000. He is also eligible to participate in any annual bonus and other incentive compensation program that the Company may adopt from time to time for its executive officers. Mr. Ernst is eligible to earn an annual bonus, the target amount of which is up to fifty percent (50%) of his base salary, based upon the achievement of performance goals and metrics established by the Board at its sole discretion. Any bonus will be determined as soon as reasonably practicable after the Company’s annual financial statements are finalized and will be split 50/50 between cash and a grant of restricted stock units with respect to the Company’s common stock.</w:t>
      </w:r>
    </w:p>
    <w:p>
      <w:pPr>
        <w:pStyle w:val="TextBody"/>
        <w:shd w:fill="FFFFFF" w:val="clear"/>
        <w:spacing w:before="0" w:after="0"/>
        <w:ind w:left="0" w:right="0" w:hanging="0"/>
        <w:jc w:val="both"/>
        <w:rPr/>
      </w:pPr>
      <w:r>
        <w:rPr/>
        <w:t>​</w:t>
      </w:r>
    </w:p>
    <w:p>
      <w:pPr>
        <w:pStyle w:val="TextBody"/>
        <w:shd w:fill="FFFFFF" w:val="clear"/>
        <w:spacing w:before="0" w:after="0"/>
        <w:ind w:left="0" w:right="0" w:hanging="0"/>
        <w:jc w:val="both"/>
        <w:rPr>
          <w:rFonts w:ascii="Times New Roman;Times;serif" w:hAnsi="Times New Roman;Times;serif"/>
          <w:sz w:val="20"/>
        </w:rPr>
      </w:pPr>
      <w:r>
        <w:rPr>
          <w:rFonts w:ascii="Times New Roman;Times;serif" w:hAnsi="Times New Roman;Times;serif"/>
          <w:sz w:val="20"/>
        </w:rPr>
        <w:t>In the event the employment agreement is terminated for good reason by Mr. Ernst, or by the Company without cause and Mr. Ernst provides the Company with a release of claims, Mr. Ernst shall be entitled to receive a cash severance payment in the amount of one hundred percent (100%) of his then current base salary and one year of COBRA continuation coverage.  In addition, the agreement contains non-solicitation and non-competition provisions that apply during the term of Mr. Ernst’s employment and for six months thereafter.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spacing w:before="0" w:after="0"/>
        <w:ind w:left="0" w:right="0" w:firstLine="49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Outstanding Equity Awards at 2022 Fiscal Year End</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information regarding grants of stock options and unvested stock awards outstanding on the last day of the fiscal year ended December 31, 2022, to each of our named executive officers.</w:t>
      </w:r>
    </w:p>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2742"/>
        <w:gridCol w:w="326"/>
        <w:gridCol w:w="1156"/>
        <w:gridCol w:w="326"/>
        <w:gridCol w:w="954"/>
        <w:gridCol w:w="326"/>
        <w:gridCol w:w="701"/>
        <w:gridCol w:w="326"/>
        <w:gridCol w:w="1182"/>
        <w:gridCol w:w="326"/>
        <w:gridCol w:w="725"/>
        <w:gridCol w:w="326"/>
        <w:gridCol w:w="789"/>
      </w:tblGrid>
      <w:tr>
        <w:trPr/>
        <w:tc>
          <w:tcPr>
            <w:tcW w:w="27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741170" cy="175260"/>
                      <wp:effectExtent l="0" t="0" r="0" b="0"/>
                      <wp:wrapNone/>
                      <wp:docPr id="22" name="Frame22"/>
                      <a:graphic xmlns:a="http://schemas.openxmlformats.org/drawingml/2006/main">
                        <a:graphicData uri="http://schemas.microsoft.com/office/word/2010/wordprocessingShape">
                          <wps:wsp>
                            <wps:cNvSpPr txBox="1"/>
                            <wps:spPr>
                              <a:xfrm>
                                <a:off x="0" y="0"/>
                                <a:ext cx="17411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734060" cy="175260"/>
                      <wp:effectExtent l="0" t="0" r="0" b="0"/>
                      <wp:wrapNone/>
                      <wp:docPr id="24" name="Frame24"/>
                      <a:graphic xmlns:a="http://schemas.openxmlformats.org/drawingml/2006/main">
                        <a:graphicData uri="http://schemas.microsoft.com/office/word/2010/wordprocessingShape">
                          <wps:wsp>
                            <wps:cNvSpPr txBox="1"/>
                            <wps:spPr>
                              <a:xfrm>
                                <a:off x="0" y="0"/>
                                <a:ext cx="734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05790" cy="175260"/>
                      <wp:effectExtent l="0" t="0" r="0" b="0"/>
                      <wp:wrapNone/>
                      <wp:docPr id="26" name="Frame26"/>
                      <a:graphic xmlns:a="http://schemas.openxmlformats.org/drawingml/2006/main">
                        <a:graphicData uri="http://schemas.microsoft.com/office/word/2010/wordprocessingShape">
                          <wps:wsp>
                            <wps:cNvSpPr txBox="1"/>
                            <wps:spPr>
                              <a:xfrm>
                                <a:off x="0" y="0"/>
                                <a:ext cx="6057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45135" cy="175260"/>
                      <wp:effectExtent l="0" t="0" r="0" b="0"/>
                      <wp:wrapNone/>
                      <wp:docPr id="28" name="Frame28"/>
                      <a:graphic xmlns:a="http://schemas.openxmlformats.org/drawingml/2006/main">
                        <a:graphicData uri="http://schemas.microsoft.com/office/word/2010/wordprocessingShape">
                          <wps:wsp>
                            <wps:cNvSpPr txBox="1"/>
                            <wps:spPr>
                              <a:xfrm>
                                <a:off x="0" y="0"/>
                                <a:ext cx="445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750570" cy="175260"/>
                      <wp:effectExtent l="0" t="0" r="0" b="0"/>
                      <wp:wrapNone/>
                      <wp:docPr id="30" name="Frame30"/>
                      <a:graphic xmlns:a="http://schemas.openxmlformats.org/drawingml/2006/main">
                        <a:graphicData uri="http://schemas.microsoft.com/office/word/2010/wordprocessingShape">
                          <wps:wsp>
                            <wps:cNvSpPr txBox="1"/>
                            <wps:spPr>
                              <a:xfrm>
                                <a:off x="0" y="0"/>
                                <a:ext cx="7505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60375" cy="175260"/>
                      <wp:effectExtent l="0" t="0" r="0" b="0"/>
                      <wp:wrapNone/>
                      <wp:docPr id="32" name="Frame32"/>
                      <a:graphic xmlns:a="http://schemas.openxmlformats.org/drawingml/2006/main">
                        <a:graphicData uri="http://schemas.microsoft.com/office/word/2010/wordprocessingShape">
                          <wps:wsp>
                            <wps:cNvSpPr txBox="1"/>
                            <wps:spPr>
                              <a:xfrm>
                                <a:off x="0" y="0"/>
                                <a:ext cx="4603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01015" cy="175260"/>
                      <wp:effectExtent l="0" t="0" r="0" b="0"/>
                      <wp:wrapNone/>
                      <wp:docPr id="34" name="Frame34"/>
                      <a:graphic xmlns:a="http://schemas.openxmlformats.org/drawingml/2006/main">
                        <a:graphicData uri="http://schemas.microsoft.com/office/word/2010/wordprocessingShape">
                          <wps:wsp>
                            <wps:cNvSpPr txBox="1"/>
                            <wps:spPr>
                              <a:xfrm>
                                <a:off x="0" y="0"/>
                                <a:ext cx="5010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7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4971"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 Awards</w:t>
            </w:r>
          </w:p>
        </w:tc>
        <w:tc>
          <w:tcPr>
            <w:tcW w:w="326" w:type="dxa"/>
            <w:tcBorders/>
            <w:shd w:fill="auto" w:val="clear"/>
            <w:vAlign w:val="center"/>
          </w:tcPr>
          <w:p>
            <w:pPr>
              <w:pStyle w:val="TableContents"/>
              <w:spacing w:before="0" w:after="1"/>
              <w:ind w:left="0" w:right="0" w:hanging="0"/>
              <w:rPr/>
            </w:pPr>
            <w:r>
              <w:rPr/>
              <w:t>    </w:t>
            </w:r>
          </w:p>
        </w:tc>
        <w:tc>
          <w:tcPr>
            <w:tcW w:w="1840"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Awards</w:t>
            </w:r>
          </w:p>
        </w:tc>
      </w:tr>
      <w:tr>
        <w:trPr/>
        <w:tc>
          <w:tcPr>
            <w:tcW w:w="274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1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954"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7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18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725"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shd w:fill="auto" w:val="clear"/>
            <w:vAlign w:val="center"/>
          </w:tcPr>
          <w:p>
            <w:pPr>
              <w:pStyle w:val="TableContents"/>
              <w:spacing w:before="0" w:after="1"/>
              <w:ind w:left="0" w:right="0" w:hanging="0"/>
              <w:rPr/>
            </w:pPr>
            <w:r>
              <w:rPr/>
              <w:t>    </w:t>
            </w:r>
          </w:p>
        </w:tc>
        <w:tc>
          <w:tcPr>
            <w:tcW w:w="789"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w:t>
            </w:r>
          </w:p>
        </w:tc>
      </w:tr>
      <w:tr>
        <w:trPr/>
        <w:tc>
          <w:tcPr>
            <w:tcW w:w="27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5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54"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shd w:fill="auto" w:val="clear"/>
            <w:vAlign w:val="center"/>
          </w:tcPr>
          <w:p>
            <w:pPr>
              <w:pStyle w:val="TableContents"/>
              <w:spacing w:before="0" w:after="1"/>
              <w:ind w:left="0" w:right="0" w:hanging="0"/>
              <w:rPr/>
            </w:pPr>
            <w:r>
              <w:rPr/>
              <w:t>​</w:t>
            </w:r>
          </w:p>
        </w:tc>
        <w:tc>
          <w:tcPr>
            <w:tcW w:w="7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8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25"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326" w:type="dxa"/>
            <w:tcBorders/>
            <w:shd w:fill="auto" w:val="clear"/>
            <w:vAlign w:val="center"/>
          </w:tcPr>
          <w:p>
            <w:pPr>
              <w:pStyle w:val="TableContents"/>
              <w:spacing w:before="0" w:after="1"/>
              <w:ind w:left="0" w:right="0" w:hanging="0"/>
              <w:rPr/>
            </w:pPr>
            <w:r>
              <w:rPr/>
              <w:t>​</w:t>
            </w:r>
          </w:p>
        </w:tc>
        <w:tc>
          <w:tcPr>
            <w:tcW w:w="789"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7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5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shd w:fill="auto" w:val="clear"/>
            <w:vAlign w:val="center"/>
          </w:tcPr>
          <w:p>
            <w:pPr>
              <w:pStyle w:val="TableContents"/>
              <w:spacing w:before="0" w:after="1"/>
              <w:ind w:left="0" w:right="0" w:hanging="0"/>
              <w:rPr/>
            </w:pPr>
            <w:r>
              <w:rPr/>
              <w:t>​</w:t>
            </w:r>
          </w:p>
        </w:tc>
        <w:tc>
          <w:tcPr>
            <w:tcW w:w="954"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of securities</w:t>
            </w:r>
          </w:p>
        </w:tc>
        <w:tc>
          <w:tcPr>
            <w:tcW w:w="326" w:type="dxa"/>
            <w:tcBorders/>
            <w:shd w:fill="auto" w:val="clear"/>
            <w:vAlign w:val="center"/>
          </w:tcPr>
          <w:p>
            <w:pPr>
              <w:pStyle w:val="TableContents"/>
              <w:spacing w:before="0" w:after="1"/>
              <w:ind w:left="0" w:right="0" w:hanging="0"/>
              <w:rPr/>
            </w:pPr>
            <w:r>
              <w:rPr/>
              <w:t>​</w:t>
            </w:r>
          </w:p>
        </w:tc>
        <w:tc>
          <w:tcPr>
            <w:tcW w:w="7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8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25"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of units</w:t>
            </w:r>
          </w:p>
        </w:tc>
        <w:tc>
          <w:tcPr>
            <w:tcW w:w="326" w:type="dxa"/>
            <w:tcBorders/>
            <w:shd w:fill="auto" w:val="clear"/>
            <w:vAlign w:val="center"/>
          </w:tcPr>
          <w:p>
            <w:pPr>
              <w:pStyle w:val="TableContents"/>
              <w:spacing w:before="0" w:after="1"/>
              <w:ind w:left="0" w:right="0" w:hanging="0"/>
              <w:rPr/>
            </w:pPr>
            <w:r>
              <w:rPr/>
              <w:t>​</w:t>
            </w:r>
          </w:p>
        </w:tc>
        <w:tc>
          <w:tcPr>
            <w:tcW w:w="789"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of shares</w:t>
            </w:r>
          </w:p>
        </w:tc>
      </w:tr>
      <w:tr>
        <w:trPr/>
        <w:tc>
          <w:tcPr>
            <w:tcW w:w="27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5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of securities</w:t>
            </w:r>
          </w:p>
        </w:tc>
        <w:tc>
          <w:tcPr>
            <w:tcW w:w="326" w:type="dxa"/>
            <w:tcBorders/>
            <w:shd w:fill="auto" w:val="clear"/>
            <w:vAlign w:val="center"/>
          </w:tcPr>
          <w:p>
            <w:pPr>
              <w:pStyle w:val="TableContents"/>
              <w:spacing w:before="0" w:after="1"/>
              <w:ind w:left="0" w:right="0" w:hanging="0"/>
              <w:rPr/>
            </w:pPr>
            <w:r>
              <w:rPr/>
              <w:t>​</w:t>
            </w:r>
          </w:p>
        </w:tc>
        <w:tc>
          <w:tcPr>
            <w:tcW w:w="954"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26" w:type="dxa"/>
            <w:tcBorders/>
            <w:shd w:fill="auto" w:val="clear"/>
            <w:vAlign w:val="center"/>
          </w:tcPr>
          <w:p>
            <w:pPr>
              <w:pStyle w:val="TableContents"/>
              <w:spacing w:before="0" w:after="1"/>
              <w:ind w:left="0" w:right="0" w:hanging="0"/>
              <w:rPr/>
            </w:pPr>
            <w:r>
              <w:rPr/>
              <w:t>​</w:t>
            </w:r>
          </w:p>
        </w:tc>
        <w:tc>
          <w:tcPr>
            <w:tcW w:w="7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8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25"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of stock</w:t>
            </w:r>
          </w:p>
        </w:tc>
        <w:tc>
          <w:tcPr>
            <w:tcW w:w="326" w:type="dxa"/>
            <w:tcBorders/>
            <w:shd w:fill="auto" w:val="clear"/>
            <w:vAlign w:val="center"/>
          </w:tcPr>
          <w:p>
            <w:pPr>
              <w:pStyle w:val="TableContents"/>
              <w:spacing w:before="0" w:after="1"/>
              <w:ind w:left="0" w:right="0" w:hanging="0"/>
              <w:rPr/>
            </w:pPr>
            <w:r>
              <w:rPr/>
              <w:t>​</w:t>
            </w:r>
          </w:p>
        </w:tc>
        <w:tc>
          <w:tcPr>
            <w:tcW w:w="789"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of units</w:t>
            </w:r>
          </w:p>
        </w:tc>
      </w:tr>
      <w:tr>
        <w:trPr/>
        <w:tc>
          <w:tcPr>
            <w:tcW w:w="27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5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26" w:type="dxa"/>
            <w:tcBorders/>
            <w:shd w:fill="auto" w:val="clear"/>
            <w:vAlign w:val="center"/>
          </w:tcPr>
          <w:p>
            <w:pPr>
              <w:pStyle w:val="TableContents"/>
              <w:spacing w:before="0" w:after="1"/>
              <w:ind w:left="0" w:right="0" w:hanging="0"/>
              <w:rPr/>
            </w:pPr>
            <w:r>
              <w:rPr/>
              <w:t>​</w:t>
            </w:r>
          </w:p>
        </w:tc>
        <w:tc>
          <w:tcPr>
            <w:tcW w:w="954"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unexercised</w:t>
            </w:r>
          </w:p>
        </w:tc>
        <w:tc>
          <w:tcPr>
            <w:tcW w:w="326" w:type="dxa"/>
            <w:tcBorders/>
            <w:shd w:fill="auto" w:val="clear"/>
            <w:vAlign w:val="center"/>
          </w:tcPr>
          <w:p>
            <w:pPr>
              <w:pStyle w:val="TableContents"/>
              <w:spacing w:before="0" w:after="1"/>
              <w:ind w:left="0" w:right="0" w:hanging="0"/>
              <w:rPr/>
            </w:pPr>
            <w:r>
              <w:rPr/>
              <w:t>​</w:t>
            </w:r>
          </w:p>
        </w:tc>
        <w:tc>
          <w:tcPr>
            <w:tcW w:w="70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18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25"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that</w:t>
            </w:r>
          </w:p>
        </w:tc>
        <w:tc>
          <w:tcPr>
            <w:tcW w:w="326" w:type="dxa"/>
            <w:tcBorders/>
            <w:shd w:fill="auto" w:val="clear"/>
            <w:vAlign w:val="center"/>
          </w:tcPr>
          <w:p>
            <w:pPr>
              <w:pStyle w:val="TableContents"/>
              <w:spacing w:before="0" w:after="1"/>
              <w:ind w:left="0" w:right="0" w:hanging="0"/>
              <w:rPr/>
            </w:pPr>
            <w:r>
              <w:rPr/>
              <w:t>​</w:t>
            </w:r>
          </w:p>
        </w:tc>
        <w:tc>
          <w:tcPr>
            <w:tcW w:w="789"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of stock</w:t>
            </w:r>
          </w:p>
        </w:tc>
      </w:tr>
      <w:tr>
        <w:trPr/>
        <w:tc>
          <w:tcPr>
            <w:tcW w:w="27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5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unexercised</w:t>
            </w:r>
          </w:p>
        </w:tc>
        <w:tc>
          <w:tcPr>
            <w:tcW w:w="326" w:type="dxa"/>
            <w:tcBorders/>
            <w:shd w:fill="auto" w:val="clear"/>
            <w:vAlign w:val="center"/>
          </w:tcPr>
          <w:p>
            <w:pPr>
              <w:pStyle w:val="TableContents"/>
              <w:spacing w:before="0" w:after="1"/>
              <w:ind w:left="0" w:right="0" w:hanging="0"/>
              <w:rPr/>
            </w:pPr>
            <w:r>
              <w:rPr/>
              <w:t>​</w:t>
            </w:r>
          </w:p>
        </w:tc>
        <w:tc>
          <w:tcPr>
            <w:tcW w:w="954"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shd w:fill="auto" w:val="clear"/>
            <w:vAlign w:val="center"/>
          </w:tcPr>
          <w:p>
            <w:pPr>
              <w:pStyle w:val="TableContents"/>
              <w:spacing w:before="0" w:after="1"/>
              <w:ind w:left="0" w:right="0" w:hanging="0"/>
              <w:rPr/>
            </w:pPr>
            <w:r>
              <w:rPr/>
              <w:t>​</w:t>
            </w:r>
          </w:p>
        </w:tc>
        <w:tc>
          <w:tcPr>
            <w:tcW w:w="7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26" w:type="dxa"/>
            <w:tcBorders/>
            <w:shd w:fill="auto" w:val="clear"/>
            <w:vAlign w:val="center"/>
          </w:tcPr>
          <w:p>
            <w:pPr>
              <w:pStyle w:val="TableContents"/>
              <w:spacing w:before="0" w:after="1"/>
              <w:ind w:left="0" w:right="0" w:hanging="0"/>
              <w:rPr/>
            </w:pPr>
            <w:r>
              <w:rPr/>
              <w:t>​</w:t>
            </w:r>
          </w:p>
        </w:tc>
        <w:tc>
          <w:tcPr>
            <w:tcW w:w="118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25"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have not</w:t>
            </w:r>
          </w:p>
        </w:tc>
        <w:tc>
          <w:tcPr>
            <w:tcW w:w="326" w:type="dxa"/>
            <w:tcBorders/>
            <w:shd w:fill="auto" w:val="clear"/>
            <w:vAlign w:val="center"/>
          </w:tcPr>
          <w:p>
            <w:pPr>
              <w:pStyle w:val="TableContents"/>
              <w:spacing w:before="0" w:after="1"/>
              <w:ind w:left="0" w:right="0" w:hanging="0"/>
              <w:rPr/>
            </w:pPr>
            <w:r>
              <w:rPr/>
              <w:t>​</w:t>
            </w:r>
          </w:p>
        </w:tc>
        <w:tc>
          <w:tcPr>
            <w:tcW w:w="789"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that</w:t>
            </w:r>
          </w:p>
        </w:tc>
      </w:tr>
      <w:tr>
        <w:trPr/>
        <w:tc>
          <w:tcPr>
            <w:tcW w:w="27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5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shd w:fill="auto" w:val="clear"/>
            <w:vAlign w:val="center"/>
          </w:tcPr>
          <w:p>
            <w:pPr>
              <w:pStyle w:val="TableContents"/>
              <w:spacing w:before="0" w:after="1"/>
              <w:ind w:left="0" w:right="0" w:hanging="0"/>
              <w:rPr/>
            </w:pPr>
            <w:r>
              <w:rPr/>
              <w:t>​</w:t>
            </w:r>
          </w:p>
        </w:tc>
        <w:tc>
          <w:tcPr>
            <w:tcW w:w="954"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un-</w:t>
            </w:r>
          </w:p>
        </w:tc>
        <w:tc>
          <w:tcPr>
            <w:tcW w:w="326" w:type="dxa"/>
            <w:tcBorders/>
            <w:shd w:fill="auto" w:val="clear"/>
            <w:vAlign w:val="center"/>
          </w:tcPr>
          <w:p>
            <w:pPr>
              <w:pStyle w:val="TableContents"/>
              <w:spacing w:before="0" w:after="1"/>
              <w:ind w:left="0" w:right="0" w:hanging="0"/>
              <w:rPr/>
            </w:pPr>
            <w:r>
              <w:rPr/>
              <w:t>​</w:t>
            </w:r>
          </w:p>
        </w:tc>
        <w:tc>
          <w:tcPr>
            <w:tcW w:w="70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shd w:fill="auto" w:val="clear"/>
            <w:vAlign w:val="center"/>
          </w:tcPr>
          <w:p>
            <w:pPr>
              <w:pStyle w:val="TableContents"/>
              <w:spacing w:before="0" w:after="1"/>
              <w:ind w:left="0" w:right="0" w:hanging="0"/>
              <w:rPr/>
            </w:pPr>
            <w:r>
              <w:rPr/>
              <w:t>​</w:t>
            </w:r>
          </w:p>
        </w:tc>
        <w:tc>
          <w:tcPr>
            <w:tcW w:w="1182"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 expiration</w:t>
            </w:r>
          </w:p>
        </w:tc>
        <w:tc>
          <w:tcPr>
            <w:tcW w:w="326" w:type="dxa"/>
            <w:tcBorders/>
            <w:shd w:fill="auto" w:val="clear"/>
            <w:vAlign w:val="center"/>
          </w:tcPr>
          <w:p>
            <w:pPr>
              <w:pStyle w:val="TableContents"/>
              <w:spacing w:before="0" w:after="1"/>
              <w:ind w:left="0" w:right="0" w:hanging="0"/>
              <w:rPr/>
            </w:pPr>
            <w:r>
              <w:rPr/>
              <w:t>​</w:t>
            </w:r>
          </w:p>
        </w:tc>
        <w:tc>
          <w:tcPr>
            <w:tcW w:w="725"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vested</w:t>
            </w:r>
          </w:p>
        </w:tc>
        <w:tc>
          <w:tcPr>
            <w:tcW w:w="326" w:type="dxa"/>
            <w:tcBorders/>
            <w:shd w:fill="auto" w:val="clear"/>
            <w:vAlign w:val="center"/>
          </w:tcPr>
          <w:p>
            <w:pPr>
              <w:pStyle w:val="TableContents"/>
              <w:spacing w:before="0" w:after="1"/>
              <w:ind w:left="0" w:right="0" w:hanging="0"/>
              <w:rPr/>
            </w:pPr>
            <w:r>
              <w:rPr/>
              <w:t>​</w:t>
            </w:r>
          </w:p>
        </w:tc>
        <w:tc>
          <w:tcPr>
            <w:tcW w:w="789"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have not</w:t>
            </w:r>
          </w:p>
        </w:tc>
      </w:tr>
      <w:tr>
        <w:trPr/>
        <w:tc>
          <w:tcPr>
            <w:tcW w:w="2742"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Name</w:t>
            </w:r>
          </w:p>
        </w:tc>
        <w:tc>
          <w:tcPr>
            <w:tcW w:w="326" w:type="dxa"/>
            <w:tcBorders/>
            <w:shd w:fill="auto" w:val="clear"/>
            <w:vAlign w:val="center"/>
          </w:tcPr>
          <w:p>
            <w:pPr>
              <w:pStyle w:val="TableContents"/>
              <w:spacing w:before="0" w:after="1"/>
              <w:ind w:left="0" w:right="0" w:hanging="0"/>
              <w:rPr/>
            </w:pPr>
            <w:r>
              <w:rPr/>
              <w:t>​</w:t>
            </w:r>
          </w:p>
        </w:tc>
        <w:tc>
          <w:tcPr>
            <w:tcW w:w="11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exercisable</w:t>
            </w:r>
          </w:p>
        </w:tc>
        <w:tc>
          <w:tcPr>
            <w:tcW w:w="326" w:type="dxa"/>
            <w:tcBorders/>
            <w:shd w:fill="auto" w:val="clear"/>
            <w:vAlign w:val="center"/>
          </w:tcPr>
          <w:p>
            <w:pPr>
              <w:pStyle w:val="TableContents"/>
              <w:spacing w:before="0" w:after="1"/>
              <w:ind w:left="0" w:right="0" w:hanging="0"/>
              <w:rPr/>
            </w:pPr>
            <w:r>
              <w:rPr/>
              <w:t>​</w:t>
            </w:r>
          </w:p>
        </w:tc>
        <w:tc>
          <w:tcPr>
            <w:tcW w:w="954"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exercisable</w:t>
            </w:r>
          </w:p>
        </w:tc>
        <w:tc>
          <w:tcPr>
            <w:tcW w:w="326" w:type="dxa"/>
            <w:tcBorders/>
            <w:shd w:fill="auto" w:val="clear"/>
            <w:vAlign w:val="center"/>
          </w:tcPr>
          <w:p>
            <w:pPr>
              <w:pStyle w:val="TableContents"/>
              <w:spacing w:before="0" w:after="1"/>
              <w:ind w:left="0" w:right="0" w:hanging="0"/>
              <w:rPr/>
            </w:pPr>
            <w:r>
              <w:rPr/>
              <w:t>​</w:t>
            </w:r>
          </w:p>
        </w:tc>
        <w:tc>
          <w:tcPr>
            <w:tcW w:w="7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w:t>
            </w:r>
          </w:p>
        </w:tc>
        <w:tc>
          <w:tcPr>
            <w:tcW w:w="326" w:type="dxa"/>
            <w:tcBorders/>
            <w:shd w:fill="auto" w:val="clear"/>
            <w:vAlign w:val="center"/>
          </w:tcPr>
          <w:p>
            <w:pPr>
              <w:pStyle w:val="TableContents"/>
              <w:spacing w:before="0" w:after="1"/>
              <w:ind w:left="0" w:right="0" w:hanging="0"/>
              <w:rPr/>
            </w:pPr>
            <w:r>
              <w:rPr/>
              <w:t>​</w:t>
            </w:r>
          </w:p>
        </w:tc>
        <w:tc>
          <w:tcPr>
            <w:tcW w:w="1182"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26" w:type="dxa"/>
            <w:tcBorders/>
            <w:shd w:fill="auto" w:val="clear"/>
            <w:vAlign w:val="center"/>
          </w:tcPr>
          <w:p>
            <w:pPr>
              <w:pStyle w:val="TableContents"/>
              <w:spacing w:before="0" w:after="1"/>
              <w:ind w:left="0" w:right="0" w:hanging="0"/>
              <w:rPr/>
            </w:pPr>
            <w:r>
              <w:rPr/>
              <w:t>​</w:t>
            </w:r>
          </w:p>
        </w:tc>
        <w:tc>
          <w:tcPr>
            <w:tcW w:w="725"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1"/>
              <w:ind w:left="0" w:right="0" w:hanging="0"/>
              <w:rPr/>
            </w:pPr>
            <w:r>
              <w:rPr/>
              <w:t>​</w:t>
            </w:r>
          </w:p>
        </w:tc>
        <w:tc>
          <w:tcPr>
            <w:tcW w:w="789"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vested ($)</w:t>
            </w:r>
          </w:p>
        </w:tc>
      </w:tr>
      <w:tr>
        <w:trPr/>
        <w:tc>
          <w:tcPr>
            <w:tcW w:w="2742" w:type="dxa"/>
            <w:tcBorders/>
            <w:shd w:fill="CCEEFF" w:val="clear"/>
            <w:vAlign w:val="center"/>
          </w:tcPr>
          <w:p>
            <w:pPr>
              <w:pStyle w:val="TableContents"/>
              <w:spacing w:lineRule="auto" w:line="240" w:before="0" w:after="1"/>
              <w:ind w:left="0" w:right="0" w:hanging="0"/>
              <w:rPr>
                <w:rFonts w:ascii="Times New Roman;Times;serif" w:hAnsi="Times New Roman;Times;serif"/>
                <w:sz w:val="16"/>
              </w:rPr>
            </w:pPr>
            <w:r>
              <w:rPr>
                <w:rFonts w:ascii="Times New Roman;Times;serif" w:hAnsi="Times New Roman;Times;serif"/>
                <w:sz w:val="16"/>
              </w:rPr>
              <w:t xml:space="preserve">Scott Milford </w:t>
            </w:r>
            <w:r>
              <w:rPr>
                <w:rFonts w:ascii="Times New Roman;Times;serif" w:hAnsi="Times New Roman;Times;serif"/>
                <w:sz w:val="12"/>
              </w:rPr>
              <w:t>(1)</w:t>
            </w:r>
          </w:p>
        </w:tc>
        <w:tc>
          <w:tcPr>
            <w:tcW w:w="326" w:type="dxa"/>
            <w:tcBorders/>
            <w:shd w:fill="CCEEFF" w:val="clear"/>
            <w:vAlign w:val="center"/>
          </w:tcPr>
          <w:p>
            <w:pPr>
              <w:pStyle w:val="TableContents"/>
              <w:spacing w:before="0" w:after="1"/>
              <w:ind w:left="0" w:right="0" w:hanging="0"/>
              <w:rPr/>
            </w:pPr>
            <w:r>
              <w:rPr/>
              <w:t>​</w:t>
            </w:r>
          </w:p>
        </w:tc>
        <w:tc>
          <w:tcPr>
            <w:tcW w:w="11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95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8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2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789" w:type="dxa"/>
            <w:tcBorders/>
            <w:shd w:fill="CCEEFF" w:val="clear"/>
            <w:vAlign w:val="center"/>
          </w:tcPr>
          <w:p>
            <w:pPr>
              <w:pStyle w:val="TableContents"/>
              <w:spacing w:before="0" w:after="1"/>
              <w:ind w:left="0" w:right="0" w:hanging="0"/>
              <w:jc w:val="right"/>
              <w:rPr/>
            </w:pPr>
            <w:r>
              <w:rPr/>
              <w:t>—</w:t>
            </w:r>
          </w:p>
        </w:tc>
      </w:tr>
      <w:tr>
        <w:trPr/>
        <w:tc>
          <w:tcPr>
            <w:tcW w:w="2742"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2020 Non-Qualified Stock Options from the 2012 Plan</w:t>
            </w:r>
          </w:p>
        </w:tc>
        <w:tc>
          <w:tcPr>
            <w:tcW w:w="326" w:type="dxa"/>
            <w:tcBorders/>
            <w:shd w:fill="auto" w:val="clear"/>
            <w:vAlign w:val="center"/>
          </w:tcPr>
          <w:p>
            <w:pPr>
              <w:pStyle w:val="TableContents"/>
              <w:spacing w:before="0" w:after="1"/>
              <w:ind w:left="0" w:right="0" w:hanging="0"/>
              <w:rPr/>
            </w:pPr>
            <w:r>
              <w:rPr/>
              <w:t>​</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58,334</w:t>
            </w:r>
          </w:p>
        </w:tc>
        <w:tc>
          <w:tcPr>
            <w:tcW w:w="326" w:type="dxa"/>
            <w:tcBorders/>
            <w:shd w:fill="auto" w:val="clear"/>
            <w:vAlign w:val="center"/>
          </w:tcPr>
          <w:p>
            <w:pPr>
              <w:pStyle w:val="TableContents"/>
              <w:spacing w:before="0" w:after="1"/>
              <w:ind w:left="0" w:right="0" w:hanging="0"/>
              <w:rPr/>
            </w:pPr>
            <w:r>
              <w:rPr/>
              <w:t>​</w:t>
            </w:r>
          </w:p>
        </w:tc>
        <w:tc>
          <w:tcPr>
            <w:tcW w:w="95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0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1.53</w:t>
            </w:r>
          </w:p>
        </w:tc>
        <w:tc>
          <w:tcPr>
            <w:tcW w:w="326" w:type="dxa"/>
            <w:tcBorders/>
            <w:shd w:fill="auto" w:val="clear"/>
            <w:vAlign w:val="center"/>
          </w:tcPr>
          <w:p>
            <w:pPr>
              <w:pStyle w:val="TableContents"/>
              <w:spacing w:before="0" w:after="1"/>
              <w:ind w:left="0" w:right="0" w:hanging="0"/>
              <w:rPr/>
            </w:pPr>
            <w:r>
              <w:rPr/>
              <w:t>​</w:t>
            </w:r>
          </w:p>
        </w:tc>
        <w:tc>
          <w:tcPr>
            <w:tcW w:w="118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April 20, 2030</w:t>
            </w:r>
          </w:p>
        </w:tc>
        <w:tc>
          <w:tcPr>
            <w:tcW w:w="326" w:type="dxa"/>
            <w:tcBorders/>
            <w:shd w:fill="auto" w:val="clear"/>
            <w:vAlign w:val="center"/>
          </w:tcPr>
          <w:p>
            <w:pPr>
              <w:pStyle w:val="TableContents"/>
              <w:spacing w:before="0" w:after="1"/>
              <w:ind w:left="0" w:right="0" w:hanging="0"/>
              <w:rPr/>
            </w:pPr>
            <w:r>
              <w:rPr/>
              <w:t>​</w:t>
            </w:r>
          </w:p>
        </w:tc>
        <w:tc>
          <w:tcPr>
            <w:tcW w:w="72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89" w:type="dxa"/>
            <w:tcBorders/>
            <w:shd w:fill="auto" w:val="clear"/>
            <w:vAlign w:val="center"/>
          </w:tcPr>
          <w:p>
            <w:pPr>
              <w:pStyle w:val="TableContents"/>
              <w:spacing w:before="0" w:after="1"/>
              <w:ind w:left="0" w:right="0" w:hanging="0"/>
              <w:jc w:val="right"/>
              <w:rPr/>
            </w:pPr>
            <w:r>
              <w:rPr/>
              <w:t>​</w:t>
            </w:r>
          </w:p>
        </w:tc>
      </w:tr>
      <w:tr>
        <w:trPr/>
        <w:tc>
          <w:tcPr>
            <w:tcW w:w="2742"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2020 Incentive Stock Options from the 2012 Plan</w:t>
            </w:r>
          </w:p>
        </w:tc>
        <w:tc>
          <w:tcPr>
            <w:tcW w:w="326" w:type="dxa"/>
            <w:tcBorders/>
            <w:shd w:fill="CCEEFF" w:val="clear"/>
            <w:vAlign w:val="center"/>
          </w:tcPr>
          <w:p>
            <w:pPr>
              <w:pStyle w:val="TableContents"/>
              <w:spacing w:before="0" w:after="1"/>
              <w:ind w:left="0" w:right="0" w:hanging="0"/>
              <w:rPr/>
            </w:pPr>
            <w:r>
              <w:rPr/>
              <w:t>​</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32,106</w:t>
            </w:r>
          </w:p>
        </w:tc>
        <w:tc>
          <w:tcPr>
            <w:tcW w:w="326" w:type="dxa"/>
            <w:tcBorders/>
            <w:shd w:fill="CCEEFF" w:val="clear"/>
            <w:vAlign w:val="center"/>
          </w:tcPr>
          <w:p>
            <w:pPr>
              <w:pStyle w:val="TableContents"/>
              <w:spacing w:before="0" w:after="1"/>
              <w:ind w:left="0" w:right="0" w:hanging="0"/>
              <w:rPr/>
            </w:pPr>
            <w:r>
              <w:rPr/>
              <w:t>​</w:t>
            </w:r>
          </w:p>
        </w:tc>
        <w:tc>
          <w:tcPr>
            <w:tcW w:w="95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0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5.01</w:t>
            </w:r>
          </w:p>
        </w:tc>
        <w:tc>
          <w:tcPr>
            <w:tcW w:w="326" w:type="dxa"/>
            <w:tcBorders/>
            <w:shd w:fill="CCEEFF" w:val="clear"/>
            <w:vAlign w:val="center"/>
          </w:tcPr>
          <w:p>
            <w:pPr>
              <w:pStyle w:val="TableContents"/>
              <w:spacing w:before="0" w:after="1"/>
              <w:ind w:left="0" w:right="0" w:hanging="0"/>
              <w:rPr/>
            </w:pPr>
            <w:r>
              <w:rPr/>
              <w:t>​</w:t>
            </w:r>
          </w:p>
        </w:tc>
        <w:tc>
          <w:tcPr>
            <w:tcW w:w="118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September 6, 2030</w:t>
            </w:r>
          </w:p>
        </w:tc>
        <w:tc>
          <w:tcPr>
            <w:tcW w:w="326" w:type="dxa"/>
            <w:tcBorders/>
            <w:shd w:fill="CCEEFF" w:val="clear"/>
            <w:vAlign w:val="center"/>
          </w:tcPr>
          <w:p>
            <w:pPr>
              <w:pStyle w:val="TableContents"/>
              <w:spacing w:before="0" w:after="1"/>
              <w:ind w:left="0" w:right="0" w:hanging="0"/>
              <w:rPr/>
            </w:pPr>
            <w:r>
              <w:rPr/>
              <w:t>​</w:t>
            </w:r>
          </w:p>
        </w:tc>
        <w:tc>
          <w:tcPr>
            <w:tcW w:w="72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89" w:type="dxa"/>
            <w:tcBorders/>
            <w:shd w:fill="CCEEFF" w:val="clear"/>
            <w:vAlign w:val="center"/>
          </w:tcPr>
          <w:p>
            <w:pPr>
              <w:pStyle w:val="TableContents"/>
              <w:spacing w:before="0" w:after="1"/>
              <w:ind w:left="0" w:right="0" w:hanging="0"/>
              <w:jc w:val="right"/>
              <w:rPr/>
            </w:pPr>
            <w:r>
              <w:rPr/>
              <w:t>​</w:t>
            </w:r>
          </w:p>
        </w:tc>
      </w:tr>
      <w:tr>
        <w:trPr/>
        <w:tc>
          <w:tcPr>
            <w:tcW w:w="2742"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2020 Non-Qualified Stock Options from the 2020 Plan</w:t>
            </w:r>
          </w:p>
        </w:tc>
        <w:tc>
          <w:tcPr>
            <w:tcW w:w="326" w:type="dxa"/>
            <w:tcBorders/>
            <w:shd w:fill="auto" w:val="clear"/>
            <w:vAlign w:val="center"/>
          </w:tcPr>
          <w:p>
            <w:pPr>
              <w:pStyle w:val="TableContents"/>
              <w:spacing w:before="0" w:after="1"/>
              <w:ind w:left="0" w:right="0" w:hanging="0"/>
              <w:rPr/>
            </w:pPr>
            <w:r>
              <w:rPr/>
              <w:t>​</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32,106</w:t>
            </w:r>
          </w:p>
        </w:tc>
        <w:tc>
          <w:tcPr>
            <w:tcW w:w="326" w:type="dxa"/>
            <w:tcBorders/>
            <w:shd w:fill="auto" w:val="clear"/>
            <w:vAlign w:val="center"/>
          </w:tcPr>
          <w:p>
            <w:pPr>
              <w:pStyle w:val="TableContents"/>
              <w:spacing w:before="0" w:after="1"/>
              <w:ind w:left="0" w:right="0" w:hanging="0"/>
              <w:rPr/>
            </w:pPr>
            <w:r>
              <w:rPr/>
              <w:t>​</w:t>
            </w:r>
          </w:p>
        </w:tc>
        <w:tc>
          <w:tcPr>
            <w:tcW w:w="95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64,213</w:t>
            </w:r>
          </w:p>
        </w:tc>
        <w:tc>
          <w:tcPr>
            <w:tcW w:w="326" w:type="dxa"/>
            <w:tcBorders/>
            <w:shd w:fill="auto" w:val="clear"/>
            <w:vAlign w:val="center"/>
          </w:tcPr>
          <w:p>
            <w:pPr>
              <w:pStyle w:val="TableContents"/>
              <w:spacing w:before="0" w:after="1"/>
              <w:ind w:left="0" w:right="0" w:hanging="0"/>
              <w:rPr/>
            </w:pPr>
            <w:r>
              <w:rPr/>
              <w:t>​</w:t>
            </w:r>
          </w:p>
        </w:tc>
        <w:tc>
          <w:tcPr>
            <w:tcW w:w="70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5.01</w:t>
            </w:r>
          </w:p>
        </w:tc>
        <w:tc>
          <w:tcPr>
            <w:tcW w:w="326" w:type="dxa"/>
            <w:tcBorders/>
            <w:shd w:fill="auto" w:val="clear"/>
            <w:vAlign w:val="center"/>
          </w:tcPr>
          <w:p>
            <w:pPr>
              <w:pStyle w:val="TableContents"/>
              <w:spacing w:before="0" w:after="1"/>
              <w:ind w:left="0" w:right="0" w:hanging="0"/>
              <w:rPr/>
            </w:pPr>
            <w:r>
              <w:rPr/>
              <w:t>​</w:t>
            </w:r>
          </w:p>
        </w:tc>
        <w:tc>
          <w:tcPr>
            <w:tcW w:w="118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October 28, 2030</w:t>
            </w:r>
          </w:p>
        </w:tc>
        <w:tc>
          <w:tcPr>
            <w:tcW w:w="326" w:type="dxa"/>
            <w:tcBorders/>
            <w:shd w:fill="auto" w:val="clear"/>
            <w:vAlign w:val="center"/>
          </w:tcPr>
          <w:p>
            <w:pPr>
              <w:pStyle w:val="TableContents"/>
              <w:spacing w:before="0" w:after="1"/>
              <w:ind w:left="0" w:right="0" w:hanging="0"/>
              <w:rPr/>
            </w:pPr>
            <w:r>
              <w:rPr/>
              <w:t>​</w:t>
            </w:r>
          </w:p>
        </w:tc>
        <w:tc>
          <w:tcPr>
            <w:tcW w:w="72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89" w:type="dxa"/>
            <w:tcBorders/>
            <w:shd w:fill="auto" w:val="clear"/>
            <w:vAlign w:val="center"/>
          </w:tcPr>
          <w:p>
            <w:pPr>
              <w:pStyle w:val="TableContents"/>
              <w:spacing w:before="0" w:after="1"/>
              <w:ind w:left="0" w:right="0" w:hanging="0"/>
              <w:jc w:val="right"/>
              <w:rPr/>
            </w:pPr>
            <w:r>
              <w:rPr/>
              <w:t>​</w:t>
            </w:r>
          </w:p>
        </w:tc>
      </w:tr>
      <w:tr>
        <w:trPr/>
        <w:tc>
          <w:tcPr>
            <w:tcW w:w="2742"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2021 Non-Qualified Stock Options from the 2020 Plan</w:t>
            </w:r>
          </w:p>
        </w:tc>
        <w:tc>
          <w:tcPr>
            <w:tcW w:w="326" w:type="dxa"/>
            <w:tcBorders/>
            <w:shd w:fill="CCEEFF" w:val="clear"/>
            <w:vAlign w:val="center"/>
          </w:tcPr>
          <w:p>
            <w:pPr>
              <w:pStyle w:val="TableContents"/>
              <w:spacing w:before="0" w:after="1"/>
              <w:ind w:left="0" w:right="0" w:hanging="0"/>
              <w:rPr/>
            </w:pPr>
            <w:r>
              <w:rPr/>
              <w:t>​</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95,108</w:t>
            </w:r>
          </w:p>
        </w:tc>
        <w:tc>
          <w:tcPr>
            <w:tcW w:w="326" w:type="dxa"/>
            <w:tcBorders/>
            <w:shd w:fill="CCEEFF" w:val="clear"/>
            <w:vAlign w:val="center"/>
          </w:tcPr>
          <w:p>
            <w:pPr>
              <w:pStyle w:val="TableContents"/>
              <w:spacing w:before="0" w:after="1"/>
              <w:ind w:left="0" w:right="0" w:hanging="0"/>
              <w:rPr/>
            </w:pPr>
            <w:r>
              <w:rPr/>
              <w:t>​</w:t>
            </w:r>
          </w:p>
        </w:tc>
        <w:tc>
          <w:tcPr>
            <w:tcW w:w="95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285,327</w:t>
            </w:r>
          </w:p>
        </w:tc>
        <w:tc>
          <w:tcPr>
            <w:tcW w:w="326" w:type="dxa"/>
            <w:tcBorders/>
            <w:shd w:fill="CCEEFF" w:val="clear"/>
            <w:vAlign w:val="center"/>
          </w:tcPr>
          <w:p>
            <w:pPr>
              <w:pStyle w:val="TableContents"/>
              <w:spacing w:before="0" w:after="1"/>
              <w:ind w:left="0" w:right="0" w:hanging="0"/>
              <w:rPr/>
            </w:pPr>
            <w:r>
              <w:rPr/>
              <w:t>​</w:t>
            </w:r>
          </w:p>
        </w:tc>
        <w:tc>
          <w:tcPr>
            <w:tcW w:w="70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1.61</w:t>
            </w:r>
          </w:p>
        </w:tc>
        <w:tc>
          <w:tcPr>
            <w:tcW w:w="326" w:type="dxa"/>
            <w:tcBorders/>
            <w:shd w:fill="CCEEFF" w:val="clear"/>
            <w:vAlign w:val="center"/>
          </w:tcPr>
          <w:p>
            <w:pPr>
              <w:pStyle w:val="TableContents"/>
              <w:spacing w:before="0" w:after="1"/>
              <w:ind w:left="0" w:right="0" w:hanging="0"/>
              <w:rPr/>
            </w:pPr>
            <w:r>
              <w:rPr/>
              <w:t>​</w:t>
            </w:r>
          </w:p>
        </w:tc>
        <w:tc>
          <w:tcPr>
            <w:tcW w:w="118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January 21, 2031</w:t>
            </w:r>
          </w:p>
        </w:tc>
        <w:tc>
          <w:tcPr>
            <w:tcW w:w="326" w:type="dxa"/>
            <w:tcBorders/>
            <w:shd w:fill="CCEEFF" w:val="clear"/>
            <w:vAlign w:val="center"/>
          </w:tcPr>
          <w:p>
            <w:pPr>
              <w:pStyle w:val="TableContents"/>
              <w:spacing w:before="0" w:after="1"/>
              <w:ind w:left="0" w:right="0" w:hanging="0"/>
              <w:rPr/>
            </w:pPr>
            <w:r>
              <w:rPr/>
              <w:t>​</w:t>
            </w:r>
          </w:p>
        </w:tc>
        <w:tc>
          <w:tcPr>
            <w:tcW w:w="72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89" w:type="dxa"/>
            <w:tcBorders/>
            <w:shd w:fill="CCEEFF" w:val="clear"/>
            <w:vAlign w:val="center"/>
          </w:tcPr>
          <w:p>
            <w:pPr>
              <w:pStyle w:val="TableContents"/>
              <w:spacing w:before="0" w:after="1"/>
              <w:ind w:left="0" w:right="0" w:hanging="0"/>
              <w:jc w:val="right"/>
              <w:rPr/>
            </w:pPr>
            <w:r>
              <w:rPr/>
              <w:t>​</w:t>
            </w:r>
          </w:p>
        </w:tc>
      </w:tr>
      <w:tr>
        <w:trPr/>
        <w:tc>
          <w:tcPr>
            <w:tcW w:w="2742"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2022 Non-Qualified Stock Options from the 2020 Plan</w:t>
            </w:r>
          </w:p>
        </w:tc>
        <w:tc>
          <w:tcPr>
            <w:tcW w:w="326" w:type="dxa"/>
            <w:tcBorders/>
            <w:shd w:fill="auto" w:val="clear"/>
            <w:vAlign w:val="center"/>
          </w:tcPr>
          <w:p>
            <w:pPr>
              <w:pStyle w:val="TableContents"/>
              <w:spacing w:before="0" w:after="1"/>
              <w:ind w:left="0" w:right="0" w:hanging="0"/>
              <w:rPr/>
            </w:pPr>
            <w:r>
              <w:rPr/>
              <w:t>​</w:t>
            </w:r>
          </w:p>
        </w:tc>
        <w:tc>
          <w:tcPr>
            <w:tcW w:w="11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5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100,000</w:t>
            </w:r>
          </w:p>
        </w:tc>
        <w:tc>
          <w:tcPr>
            <w:tcW w:w="326" w:type="dxa"/>
            <w:tcBorders/>
            <w:shd w:fill="auto" w:val="clear"/>
            <w:vAlign w:val="center"/>
          </w:tcPr>
          <w:p>
            <w:pPr>
              <w:pStyle w:val="TableContents"/>
              <w:spacing w:before="0" w:after="1"/>
              <w:ind w:left="0" w:right="0" w:hanging="0"/>
              <w:rPr/>
            </w:pPr>
            <w:r>
              <w:rPr/>
              <w:t>​</w:t>
            </w:r>
          </w:p>
        </w:tc>
        <w:tc>
          <w:tcPr>
            <w:tcW w:w="70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.1.43</w:t>
            </w:r>
          </w:p>
        </w:tc>
        <w:tc>
          <w:tcPr>
            <w:tcW w:w="326" w:type="dxa"/>
            <w:tcBorders/>
            <w:shd w:fill="auto" w:val="clear"/>
            <w:vAlign w:val="center"/>
          </w:tcPr>
          <w:p>
            <w:pPr>
              <w:pStyle w:val="TableContents"/>
              <w:spacing w:before="0" w:after="1"/>
              <w:ind w:left="0" w:right="0" w:hanging="0"/>
              <w:rPr/>
            </w:pPr>
            <w:r>
              <w:rPr/>
              <w:t>​</w:t>
            </w:r>
          </w:p>
        </w:tc>
        <w:tc>
          <w:tcPr>
            <w:tcW w:w="118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April 20, 2032</w:t>
            </w:r>
          </w:p>
        </w:tc>
        <w:tc>
          <w:tcPr>
            <w:tcW w:w="326" w:type="dxa"/>
            <w:tcBorders/>
            <w:shd w:fill="auto" w:val="clear"/>
            <w:vAlign w:val="center"/>
          </w:tcPr>
          <w:p>
            <w:pPr>
              <w:pStyle w:val="TableContents"/>
              <w:spacing w:before="0" w:after="1"/>
              <w:ind w:left="0" w:right="0" w:hanging="0"/>
              <w:rPr/>
            </w:pPr>
            <w:r>
              <w:rPr/>
              <w:t>​</w:t>
            </w:r>
          </w:p>
        </w:tc>
        <w:tc>
          <w:tcPr>
            <w:tcW w:w="72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89" w:type="dxa"/>
            <w:tcBorders/>
            <w:shd w:fill="auto" w:val="clear"/>
            <w:vAlign w:val="center"/>
          </w:tcPr>
          <w:p>
            <w:pPr>
              <w:pStyle w:val="TableContents"/>
              <w:spacing w:before="0" w:after="1"/>
              <w:ind w:left="0" w:right="0" w:hanging="0"/>
              <w:jc w:val="right"/>
              <w:rPr/>
            </w:pPr>
            <w:r>
              <w:rPr/>
              <w:t>​</w:t>
            </w:r>
          </w:p>
        </w:tc>
      </w:tr>
      <w:tr>
        <w:trPr/>
        <w:tc>
          <w:tcPr>
            <w:tcW w:w="2742"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5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8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2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89" w:type="dxa"/>
            <w:tcBorders/>
            <w:shd w:fill="CCEEFF" w:val="clear"/>
            <w:vAlign w:val="center"/>
          </w:tcPr>
          <w:p>
            <w:pPr>
              <w:pStyle w:val="TableContents"/>
              <w:spacing w:before="0" w:after="1"/>
              <w:ind w:left="0" w:right="0" w:hanging="0"/>
              <w:jc w:val="right"/>
              <w:rPr/>
            </w:pPr>
            <w:r>
              <w:rPr/>
              <w:t>​</w:t>
            </w:r>
          </w:p>
        </w:tc>
      </w:tr>
      <w:tr>
        <w:trPr/>
        <w:tc>
          <w:tcPr>
            <w:tcW w:w="2742" w:type="dxa"/>
            <w:tcBorders/>
            <w:shd w:fill="auto" w:val="clear"/>
            <w:vAlign w:val="center"/>
          </w:tcPr>
          <w:p>
            <w:pPr>
              <w:pStyle w:val="TableContents"/>
              <w:spacing w:lineRule="auto" w:line="240" w:before="0" w:after="1"/>
              <w:ind w:left="0" w:right="0" w:hanging="0"/>
              <w:rPr>
                <w:rFonts w:ascii="Times New Roman;Times;serif" w:hAnsi="Times New Roman;Times;serif"/>
                <w:sz w:val="16"/>
              </w:rPr>
            </w:pPr>
            <w:r>
              <w:rPr>
                <w:rFonts w:ascii="Times New Roman;Times;serif" w:hAnsi="Times New Roman;Times;serif"/>
                <w:sz w:val="16"/>
              </w:rPr>
              <w:t xml:space="preserve">Omar Haynes </w:t>
            </w:r>
            <w:r>
              <w:rPr>
                <w:rFonts w:ascii="Times New Roman;Times;serif" w:hAnsi="Times New Roman;Times;serif"/>
                <w:sz w:val="12"/>
              </w:rPr>
              <w:t>(1)</w:t>
            </w:r>
          </w:p>
        </w:tc>
        <w:tc>
          <w:tcPr>
            <w:tcW w:w="326" w:type="dxa"/>
            <w:tcBorders/>
            <w:shd w:fill="auto" w:val="clear"/>
            <w:vAlign w:val="center"/>
          </w:tcPr>
          <w:p>
            <w:pPr>
              <w:pStyle w:val="TableContents"/>
              <w:spacing w:before="0" w:after="1"/>
              <w:ind w:left="0" w:right="0" w:hanging="0"/>
              <w:rPr/>
            </w:pPr>
            <w:r>
              <w:rPr/>
              <w:t>​</w:t>
            </w:r>
          </w:p>
        </w:tc>
        <w:tc>
          <w:tcPr>
            <w:tcW w:w="11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95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7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8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25"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75,000</w:t>
            </w:r>
          </w:p>
        </w:tc>
        <w:tc>
          <w:tcPr>
            <w:tcW w:w="326" w:type="dxa"/>
            <w:tcBorders/>
            <w:shd w:fill="auto" w:val="clear"/>
            <w:vAlign w:val="center"/>
          </w:tcPr>
          <w:p>
            <w:pPr>
              <w:pStyle w:val="TableContents"/>
              <w:spacing w:before="0" w:after="1"/>
              <w:ind w:left="0" w:right="0" w:hanging="0"/>
              <w:jc w:val="center"/>
              <w:rPr/>
            </w:pPr>
            <w:r>
              <w:rPr/>
              <w:t>​</w:t>
            </w:r>
          </w:p>
        </w:tc>
        <w:tc>
          <w:tcPr>
            <w:tcW w:w="789"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$ 0.36</w:t>
            </w:r>
          </w:p>
        </w:tc>
      </w:tr>
      <w:tr>
        <w:trPr/>
        <w:tc>
          <w:tcPr>
            <w:tcW w:w="2742"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2020 Non-Qualified Stock Options from the 2012 Plan</w:t>
            </w:r>
          </w:p>
        </w:tc>
        <w:tc>
          <w:tcPr>
            <w:tcW w:w="326" w:type="dxa"/>
            <w:tcBorders/>
            <w:shd w:fill="CCEEFF" w:val="clear"/>
            <w:vAlign w:val="center"/>
          </w:tcPr>
          <w:p>
            <w:pPr>
              <w:pStyle w:val="TableContents"/>
              <w:spacing w:before="0" w:after="1"/>
              <w:ind w:left="0" w:right="0" w:hanging="0"/>
              <w:rPr/>
            </w:pPr>
            <w:r>
              <w:rPr/>
              <w:t>​</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33,334</w:t>
            </w:r>
          </w:p>
        </w:tc>
        <w:tc>
          <w:tcPr>
            <w:tcW w:w="326" w:type="dxa"/>
            <w:tcBorders/>
            <w:shd w:fill="CCEEFF" w:val="clear"/>
            <w:vAlign w:val="center"/>
          </w:tcPr>
          <w:p>
            <w:pPr>
              <w:pStyle w:val="TableContents"/>
              <w:spacing w:before="0" w:after="1"/>
              <w:ind w:left="0" w:right="0" w:hanging="0"/>
              <w:rPr/>
            </w:pPr>
            <w:r>
              <w:rPr/>
              <w:t>​</w:t>
            </w:r>
          </w:p>
        </w:tc>
        <w:tc>
          <w:tcPr>
            <w:tcW w:w="95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0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1.53</w:t>
            </w:r>
          </w:p>
        </w:tc>
        <w:tc>
          <w:tcPr>
            <w:tcW w:w="326" w:type="dxa"/>
            <w:tcBorders/>
            <w:shd w:fill="CCEEFF" w:val="clear"/>
            <w:vAlign w:val="center"/>
          </w:tcPr>
          <w:p>
            <w:pPr>
              <w:pStyle w:val="TableContents"/>
              <w:spacing w:before="0" w:after="1"/>
              <w:ind w:left="0" w:right="0" w:hanging="0"/>
              <w:rPr/>
            </w:pPr>
            <w:r>
              <w:rPr/>
              <w:t>​</w:t>
            </w:r>
          </w:p>
        </w:tc>
        <w:tc>
          <w:tcPr>
            <w:tcW w:w="118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April 20, 2030</w:t>
            </w:r>
          </w:p>
        </w:tc>
        <w:tc>
          <w:tcPr>
            <w:tcW w:w="326" w:type="dxa"/>
            <w:tcBorders/>
            <w:shd w:fill="CCEEFF" w:val="clear"/>
            <w:vAlign w:val="center"/>
          </w:tcPr>
          <w:p>
            <w:pPr>
              <w:pStyle w:val="TableContents"/>
              <w:spacing w:before="0" w:after="1"/>
              <w:ind w:left="0" w:right="0" w:hanging="0"/>
              <w:rPr/>
            </w:pPr>
            <w:r>
              <w:rPr/>
              <w:t>​</w:t>
            </w:r>
          </w:p>
        </w:tc>
        <w:tc>
          <w:tcPr>
            <w:tcW w:w="72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789" w:type="dxa"/>
            <w:tcBorders/>
            <w:shd w:fill="CCEEFF" w:val="clear"/>
            <w:vAlign w:val="center"/>
          </w:tcPr>
          <w:p>
            <w:pPr>
              <w:pStyle w:val="TableContents"/>
              <w:spacing w:before="0" w:after="1"/>
              <w:ind w:left="0" w:right="0" w:hanging="0"/>
              <w:jc w:val="right"/>
              <w:rPr/>
            </w:pPr>
            <w:r>
              <w:rPr/>
              <w:t>​</w:t>
            </w:r>
          </w:p>
        </w:tc>
      </w:tr>
      <w:tr>
        <w:trPr/>
        <w:tc>
          <w:tcPr>
            <w:tcW w:w="2742"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2021 Non-Qualified Stock Options from the 2020 Plan</w:t>
            </w:r>
          </w:p>
        </w:tc>
        <w:tc>
          <w:tcPr>
            <w:tcW w:w="326" w:type="dxa"/>
            <w:tcBorders/>
            <w:shd w:fill="auto" w:val="clear"/>
            <w:vAlign w:val="center"/>
          </w:tcPr>
          <w:p>
            <w:pPr>
              <w:pStyle w:val="TableContents"/>
              <w:spacing w:before="0" w:after="1"/>
              <w:ind w:left="0" w:right="0" w:hanging="0"/>
              <w:rPr/>
            </w:pPr>
            <w:r>
              <w:rPr/>
              <w:t>​</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27,174</w:t>
            </w:r>
          </w:p>
        </w:tc>
        <w:tc>
          <w:tcPr>
            <w:tcW w:w="326" w:type="dxa"/>
            <w:tcBorders/>
            <w:shd w:fill="auto" w:val="clear"/>
            <w:vAlign w:val="center"/>
          </w:tcPr>
          <w:p>
            <w:pPr>
              <w:pStyle w:val="TableContents"/>
              <w:spacing w:before="0" w:after="1"/>
              <w:ind w:left="0" w:right="0" w:hanging="0"/>
              <w:rPr/>
            </w:pPr>
            <w:r>
              <w:rPr/>
              <w:t>​</w:t>
            </w:r>
          </w:p>
        </w:tc>
        <w:tc>
          <w:tcPr>
            <w:tcW w:w="95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81,522</w:t>
            </w:r>
          </w:p>
        </w:tc>
        <w:tc>
          <w:tcPr>
            <w:tcW w:w="326" w:type="dxa"/>
            <w:tcBorders/>
            <w:shd w:fill="auto" w:val="clear"/>
            <w:vAlign w:val="center"/>
          </w:tcPr>
          <w:p>
            <w:pPr>
              <w:pStyle w:val="TableContents"/>
              <w:spacing w:before="0" w:after="1"/>
              <w:ind w:left="0" w:right="0" w:hanging="0"/>
              <w:rPr/>
            </w:pPr>
            <w:r>
              <w:rPr/>
              <w:t>​</w:t>
            </w:r>
          </w:p>
        </w:tc>
        <w:tc>
          <w:tcPr>
            <w:tcW w:w="70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1.61</w:t>
            </w:r>
          </w:p>
        </w:tc>
        <w:tc>
          <w:tcPr>
            <w:tcW w:w="326" w:type="dxa"/>
            <w:tcBorders/>
            <w:shd w:fill="auto" w:val="clear"/>
            <w:vAlign w:val="center"/>
          </w:tcPr>
          <w:p>
            <w:pPr>
              <w:pStyle w:val="TableContents"/>
              <w:spacing w:before="0" w:after="1"/>
              <w:ind w:left="0" w:right="0" w:hanging="0"/>
              <w:rPr/>
            </w:pPr>
            <w:r>
              <w:rPr/>
              <w:t>​</w:t>
            </w:r>
          </w:p>
        </w:tc>
        <w:tc>
          <w:tcPr>
            <w:tcW w:w="118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January 21, 2031</w:t>
            </w:r>
          </w:p>
        </w:tc>
        <w:tc>
          <w:tcPr>
            <w:tcW w:w="326" w:type="dxa"/>
            <w:tcBorders/>
            <w:shd w:fill="auto" w:val="clear"/>
            <w:vAlign w:val="center"/>
          </w:tcPr>
          <w:p>
            <w:pPr>
              <w:pStyle w:val="TableContents"/>
              <w:spacing w:before="0" w:after="1"/>
              <w:ind w:left="0" w:right="0" w:hanging="0"/>
              <w:rPr/>
            </w:pPr>
            <w:r>
              <w:rPr/>
              <w:t>​</w:t>
            </w:r>
          </w:p>
        </w:tc>
        <w:tc>
          <w:tcPr>
            <w:tcW w:w="72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89" w:type="dxa"/>
            <w:tcBorders/>
            <w:shd w:fill="auto" w:val="clear"/>
            <w:vAlign w:val="center"/>
          </w:tcPr>
          <w:p>
            <w:pPr>
              <w:pStyle w:val="TableContents"/>
              <w:spacing w:before="0" w:after="1"/>
              <w:ind w:left="0" w:right="0" w:hanging="0"/>
              <w:jc w:val="right"/>
              <w:rPr/>
            </w:pPr>
            <w:r>
              <w:rPr/>
              <w:t>​</w:t>
            </w:r>
          </w:p>
        </w:tc>
      </w:tr>
      <w:tr>
        <w:trPr/>
        <w:tc>
          <w:tcPr>
            <w:tcW w:w="2742"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2022 Non-Qualified Stock Options from the 2020 Plan</w:t>
            </w:r>
          </w:p>
        </w:tc>
        <w:tc>
          <w:tcPr>
            <w:tcW w:w="326" w:type="dxa"/>
            <w:tcBorders/>
            <w:shd w:fill="CCEEFF" w:val="clear"/>
            <w:vAlign w:val="center"/>
          </w:tcPr>
          <w:p>
            <w:pPr>
              <w:pStyle w:val="TableContents"/>
              <w:spacing w:before="0" w:after="1"/>
              <w:ind w:left="0" w:right="0" w:hanging="0"/>
              <w:rPr/>
            </w:pPr>
            <w:r>
              <w:rPr/>
              <w:t>​</w:t>
            </w:r>
          </w:p>
        </w:tc>
        <w:tc>
          <w:tcPr>
            <w:tcW w:w="11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5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100,000</w:t>
            </w:r>
          </w:p>
        </w:tc>
        <w:tc>
          <w:tcPr>
            <w:tcW w:w="326" w:type="dxa"/>
            <w:tcBorders/>
            <w:shd w:fill="CCEEFF" w:val="clear"/>
            <w:vAlign w:val="center"/>
          </w:tcPr>
          <w:p>
            <w:pPr>
              <w:pStyle w:val="TableContents"/>
              <w:spacing w:before="0" w:after="1"/>
              <w:ind w:left="0" w:right="0" w:hanging="0"/>
              <w:rPr/>
            </w:pPr>
            <w:r>
              <w:rPr/>
              <w:t>​</w:t>
            </w:r>
          </w:p>
        </w:tc>
        <w:tc>
          <w:tcPr>
            <w:tcW w:w="70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.1.43</w:t>
            </w:r>
          </w:p>
        </w:tc>
        <w:tc>
          <w:tcPr>
            <w:tcW w:w="326" w:type="dxa"/>
            <w:tcBorders/>
            <w:shd w:fill="CCEEFF" w:val="clear"/>
            <w:vAlign w:val="center"/>
          </w:tcPr>
          <w:p>
            <w:pPr>
              <w:pStyle w:val="TableContents"/>
              <w:spacing w:before="0" w:after="1"/>
              <w:ind w:left="0" w:right="0" w:hanging="0"/>
              <w:rPr/>
            </w:pPr>
            <w:r>
              <w:rPr/>
              <w:t>​</w:t>
            </w:r>
          </w:p>
        </w:tc>
        <w:tc>
          <w:tcPr>
            <w:tcW w:w="118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April 20, 2032</w:t>
            </w:r>
          </w:p>
        </w:tc>
        <w:tc>
          <w:tcPr>
            <w:tcW w:w="326" w:type="dxa"/>
            <w:tcBorders/>
            <w:shd w:fill="CCEEFF" w:val="clear"/>
            <w:vAlign w:val="center"/>
          </w:tcPr>
          <w:p>
            <w:pPr>
              <w:pStyle w:val="TableContents"/>
              <w:spacing w:before="0" w:after="1"/>
              <w:ind w:left="0" w:right="0" w:hanging="0"/>
              <w:rPr/>
            </w:pPr>
            <w:r>
              <w:rPr/>
              <w:t>​</w:t>
            </w:r>
          </w:p>
        </w:tc>
        <w:tc>
          <w:tcPr>
            <w:tcW w:w="72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89" w:type="dxa"/>
            <w:tcBorders/>
            <w:shd w:fill="CCEEFF" w:val="clear"/>
            <w:vAlign w:val="center"/>
          </w:tcPr>
          <w:p>
            <w:pPr>
              <w:pStyle w:val="TableContents"/>
              <w:spacing w:before="0" w:after="1"/>
              <w:ind w:left="0" w:right="0" w:hanging="0"/>
              <w:jc w:val="right"/>
              <w:rPr/>
            </w:pPr>
            <w:r>
              <w:rPr/>
              <w:t>​</w:t>
            </w:r>
          </w:p>
        </w:tc>
      </w:tr>
      <w:tr>
        <w:trPr/>
        <w:tc>
          <w:tcPr>
            <w:tcW w:w="27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5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8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2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89" w:type="dxa"/>
            <w:tcBorders/>
            <w:shd w:fill="auto" w:val="clear"/>
            <w:vAlign w:val="center"/>
          </w:tcPr>
          <w:p>
            <w:pPr>
              <w:pStyle w:val="TableContents"/>
              <w:spacing w:before="0" w:after="1"/>
              <w:ind w:left="0" w:right="0" w:hanging="0"/>
              <w:jc w:val="right"/>
              <w:rPr/>
            </w:pPr>
            <w:r>
              <w:rPr/>
              <w:t>​</w:t>
            </w:r>
          </w:p>
        </w:tc>
      </w:tr>
      <w:tr>
        <w:trPr/>
        <w:tc>
          <w:tcPr>
            <w:tcW w:w="2742" w:type="dxa"/>
            <w:tcBorders/>
            <w:shd w:fill="CCEEFF" w:val="clear"/>
            <w:vAlign w:val="center"/>
          </w:tcPr>
          <w:p>
            <w:pPr>
              <w:pStyle w:val="TableContents"/>
              <w:spacing w:lineRule="auto" w:line="240" w:before="0" w:after="1"/>
              <w:ind w:left="0" w:right="0" w:hanging="0"/>
              <w:rPr>
                <w:rFonts w:ascii="Times New Roman;Times;serif" w:hAnsi="Times New Roman;Times;serif"/>
                <w:sz w:val="16"/>
              </w:rPr>
            </w:pPr>
            <w:r>
              <w:rPr>
                <w:rFonts w:ascii="Times New Roman;Times;serif" w:hAnsi="Times New Roman;Times;serif"/>
                <w:sz w:val="16"/>
              </w:rPr>
              <w:t xml:space="preserve">Ezra Ernst </w:t>
            </w:r>
            <w:r>
              <w:rPr>
                <w:rFonts w:ascii="Times New Roman;Times;serif" w:hAnsi="Times New Roman;Times;serif"/>
                <w:sz w:val="12"/>
              </w:rPr>
              <w:t>(1)</w:t>
            </w:r>
          </w:p>
        </w:tc>
        <w:tc>
          <w:tcPr>
            <w:tcW w:w="326" w:type="dxa"/>
            <w:tcBorders/>
            <w:shd w:fill="CCEEFF" w:val="clear"/>
            <w:vAlign w:val="center"/>
          </w:tcPr>
          <w:p>
            <w:pPr>
              <w:pStyle w:val="TableContents"/>
              <w:spacing w:before="0" w:after="1"/>
              <w:ind w:left="0" w:right="0" w:hanging="0"/>
              <w:rPr/>
            </w:pPr>
            <w:r>
              <w:rPr/>
              <w:t>​</w:t>
            </w:r>
          </w:p>
        </w:tc>
        <w:tc>
          <w:tcPr>
            <w:tcW w:w="115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954"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70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82"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72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center"/>
              <w:rPr/>
            </w:pPr>
            <w:r>
              <w:rPr/>
              <w:t> </w:t>
            </w:r>
          </w:p>
        </w:tc>
        <w:tc>
          <w:tcPr>
            <w:tcW w:w="789" w:type="dxa"/>
            <w:tcBorders/>
            <w:shd w:fill="CCEEFF" w:val="clear"/>
            <w:vAlign w:val="center"/>
          </w:tcPr>
          <w:p>
            <w:pPr>
              <w:pStyle w:val="TableContents"/>
              <w:spacing w:before="0" w:after="1"/>
              <w:ind w:left="0" w:right="0" w:hanging="0"/>
              <w:jc w:val="right"/>
              <w:rPr/>
            </w:pPr>
            <w:r>
              <w:rPr/>
              <w:t>—</w:t>
            </w:r>
          </w:p>
        </w:tc>
      </w:tr>
      <w:tr>
        <w:trPr/>
        <w:tc>
          <w:tcPr>
            <w:tcW w:w="2742"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Inducement Plan</w:t>
            </w:r>
          </w:p>
        </w:tc>
        <w:tc>
          <w:tcPr>
            <w:tcW w:w="326" w:type="dxa"/>
            <w:tcBorders/>
            <w:shd w:fill="auto" w:val="clear"/>
            <w:vAlign w:val="center"/>
          </w:tcPr>
          <w:p>
            <w:pPr>
              <w:pStyle w:val="TableContents"/>
              <w:spacing w:before="0" w:after="1"/>
              <w:ind w:left="0" w:right="0" w:hanging="0"/>
              <w:rPr/>
            </w:pPr>
            <w:r>
              <w:rPr/>
              <w:t>​</w:t>
            </w:r>
          </w:p>
        </w:tc>
        <w:tc>
          <w:tcPr>
            <w:tcW w:w="11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5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1,000,000</w:t>
            </w:r>
          </w:p>
        </w:tc>
        <w:tc>
          <w:tcPr>
            <w:tcW w:w="326" w:type="dxa"/>
            <w:tcBorders/>
            <w:shd w:fill="auto" w:val="clear"/>
            <w:vAlign w:val="center"/>
          </w:tcPr>
          <w:p>
            <w:pPr>
              <w:pStyle w:val="TableContents"/>
              <w:spacing w:before="0" w:after="1"/>
              <w:ind w:left="0" w:right="0" w:hanging="0"/>
              <w:rPr/>
            </w:pPr>
            <w:r>
              <w:rPr/>
              <w:t>​</w:t>
            </w:r>
          </w:p>
        </w:tc>
        <w:tc>
          <w:tcPr>
            <w:tcW w:w="70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1.64</w:t>
            </w:r>
          </w:p>
        </w:tc>
        <w:tc>
          <w:tcPr>
            <w:tcW w:w="326" w:type="dxa"/>
            <w:tcBorders/>
            <w:shd w:fill="auto" w:val="clear"/>
            <w:vAlign w:val="center"/>
          </w:tcPr>
          <w:p>
            <w:pPr>
              <w:pStyle w:val="TableContents"/>
              <w:spacing w:before="0" w:after="1"/>
              <w:ind w:left="0" w:right="0" w:hanging="0"/>
              <w:rPr/>
            </w:pPr>
            <w:r>
              <w:rPr/>
              <w:t>​</w:t>
            </w:r>
          </w:p>
        </w:tc>
        <w:tc>
          <w:tcPr>
            <w:tcW w:w="118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January 14, 2032</w:t>
            </w:r>
          </w:p>
        </w:tc>
        <w:tc>
          <w:tcPr>
            <w:tcW w:w="326" w:type="dxa"/>
            <w:tcBorders/>
            <w:shd w:fill="auto" w:val="clear"/>
            <w:vAlign w:val="center"/>
          </w:tcPr>
          <w:p>
            <w:pPr>
              <w:pStyle w:val="TableContents"/>
              <w:spacing w:before="0" w:after="1"/>
              <w:ind w:left="0" w:right="0" w:hanging="0"/>
              <w:rPr/>
            </w:pPr>
            <w:r>
              <w:rPr/>
              <w:t>​</w:t>
            </w:r>
          </w:p>
        </w:tc>
        <w:tc>
          <w:tcPr>
            <w:tcW w:w="72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89" w:type="dxa"/>
            <w:tcBorders/>
            <w:shd w:fill="auto" w:val="clear"/>
            <w:vAlign w:val="center"/>
          </w:tcPr>
          <w:p>
            <w:pPr>
              <w:pStyle w:val="TableContents"/>
              <w:spacing w:before="0" w:after="1"/>
              <w:ind w:left="0" w:right="0" w:hanging="0"/>
              <w:jc w:val="right"/>
              <w:rPr/>
            </w:pPr>
            <w:r>
              <w:rPr/>
              <w:t>​</w:t>
            </w:r>
          </w:p>
        </w:tc>
      </w:tr>
      <w:tr>
        <w:trPr/>
        <w:tc>
          <w:tcPr>
            <w:tcW w:w="2742"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5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8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2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89" w:type="dxa"/>
            <w:tcBorders/>
            <w:shd w:fill="CCEEFF" w:val="clear"/>
            <w:vAlign w:val="center"/>
          </w:tcPr>
          <w:p>
            <w:pPr>
              <w:pStyle w:val="TableContents"/>
              <w:spacing w:before="0" w:after="1"/>
              <w:ind w:left="0" w:right="0" w:hanging="0"/>
              <w:jc w:val="right"/>
              <w:rPr/>
            </w:pPr>
            <w:r>
              <w:rPr/>
              <w:t>​</w:t>
            </w:r>
          </w:p>
        </w:tc>
      </w:tr>
      <w:tr>
        <w:trPr/>
        <w:tc>
          <w:tcPr>
            <w:tcW w:w="2742"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Douglas Satzman</w:t>
            </w:r>
          </w:p>
        </w:tc>
        <w:tc>
          <w:tcPr>
            <w:tcW w:w="326" w:type="dxa"/>
            <w:tcBorders/>
            <w:shd w:fill="auto" w:val="clear"/>
            <w:vAlign w:val="center"/>
          </w:tcPr>
          <w:p>
            <w:pPr>
              <w:pStyle w:val="TableContents"/>
              <w:spacing w:before="0" w:after="1"/>
              <w:ind w:left="0" w:right="0" w:hanging="0"/>
              <w:rPr/>
            </w:pPr>
            <w:r>
              <w:rPr/>
              <w:t>​</w:t>
            </w:r>
          </w:p>
        </w:tc>
        <w:tc>
          <w:tcPr>
            <w:tcW w:w="11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5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0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18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2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789" w:type="dxa"/>
            <w:tcBorders/>
            <w:shd w:fill="auto" w:val="clear"/>
            <w:vAlign w:val="center"/>
          </w:tcPr>
          <w:p>
            <w:pPr>
              <w:pStyle w:val="TableContents"/>
              <w:spacing w:before="0" w:after="1"/>
              <w:ind w:left="0" w:right="0" w:hanging="0"/>
              <w:jc w:val="right"/>
              <w:rPr/>
            </w:pPr>
            <w:r>
              <w:rPr/>
              <w:t>—</w:t>
            </w:r>
          </w:p>
        </w:tc>
      </w:tr>
      <w:tr>
        <w:trPr/>
        <w:tc>
          <w:tcPr>
            <w:tcW w:w="2742"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2019 Non-Qualified Stock Option from the 2012 Plan</w:t>
            </w:r>
          </w:p>
        </w:tc>
        <w:tc>
          <w:tcPr>
            <w:tcW w:w="326" w:type="dxa"/>
            <w:tcBorders/>
            <w:shd w:fill="CCEEFF" w:val="clear"/>
            <w:vAlign w:val="center"/>
          </w:tcPr>
          <w:p>
            <w:pPr>
              <w:pStyle w:val="TableContents"/>
              <w:spacing w:before="0" w:after="1"/>
              <w:ind w:left="0" w:right="0" w:hanging="0"/>
              <w:rPr/>
            </w:pPr>
            <w:r>
              <w:rPr/>
              <w:t>​</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25,000</w:t>
            </w:r>
          </w:p>
        </w:tc>
        <w:tc>
          <w:tcPr>
            <w:tcW w:w="326" w:type="dxa"/>
            <w:tcBorders/>
            <w:shd w:fill="CCEEFF" w:val="clear"/>
            <w:vAlign w:val="center"/>
          </w:tcPr>
          <w:p>
            <w:pPr>
              <w:pStyle w:val="TableContents"/>
              <w:spacing w:before="0" w:after="1"/>
              <w:ind w:left="0" w:right="0" w:hanging="0"/>
              <w:rPr/>
            </w:pPr>
            <w:r>
              <w:rPr/>
              <w:t>​</w:t>
            </w:r>
          </w:p>
        </w:tc>
        <w:tc>
          <w:tcPr>
            <w:tcW w:w="95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0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12.60</w:t>
            </w:r>
          </w:p>
        </w:tc>
        <w:tc>
          <w:tcPr>
            <w:tcW w:w="326" w:type="dxa"/>
            <w:tcBorders/>
            <w:shd w:fill="CCEEFF" w:val="clear"/>
            <w:vAlign w:val="center"/>
          </w:tcPr>
          <w:p>
            <w:pPr>
              <w:pStyle w:val="TableContents"/>
              <w:spacing w:before="0" w:after="1"/>
              <w:ind w:left="0" w:right="0" w:hanging="0"/>
              <w:rPr/>
            </w:pPr>
            <w:r>
              <w:rPr/>
              <w:t>​</w:t>
            </w:r>
          </w:p>
        </w:tc>
        <w:tc>
          <w:tcPr>
            <w:tcW w:w="118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February 11, 2029</w:t>
            </w:r>
          </w:p>
        </w:tc>
        <w:tc>
          <w:tcPr>
            <w:tcW w:w="326" w:type="dxa"/>
            <w:tcBorders/>
            <w:shd w:fill="CCEEFF" w:val="clear"/>
            <w:vAlign w:val="center"/>
          </w:tcPr>
          <w:p>
            <w:pPr>
              <w:pStyle w:val="TableContents"/>
              <w:spacing w:before="0" w:after="1"/>
              <w:ind w:left="0" w:right="0" w:hanging="0"/>
              <w:rPr/>
            </w:pPr>
            <w:r>
              <w:rPr/>
              <w:t>​</w:t>
            </w:r>
          </w:p>
        </w:tc>
        <w:tc>
          <w:tcPr>
            <w:tcW w:w="72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89" w:type="dxa"/>
            <w:tcBorders/>
            <w:shd w:fill="CCEEFF" w:val="clear"/>
            <w:vAlign w:val="center"/>
          </w:tcPr>
          <w:p>
            <w:pPr>
              <w:pStyle w:val="TableContents"/>
              <w:spacing w:before="0" w:after="1"/>
              <w:ind w:left="0" w:right="0" w:hanging="0"/>
              <w:jc w:val="right"/>
              <w:rPr/>
            </w:pPr>
            <w:r>
              <w:rPr/>
              <w:t>​</w:t>
            </w:r>
          </w:p>
        </w:tc>
      </w:tr>
      <w:tr>
        <w:trPr/>
        <w:tc>
          <w:tcPr>
            <w:tcW w:w="2742"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2020 Non-Qualified Stock Options from the 2012 Plan</w:t>
            </w:r>
          </w:p>
        </w:tc>
        <w:tc>
          <w:tcPr>
            <w:tcW w:w="326" w:type="dxa"/>
            <w:tcBorders/>
            <w:shd w:fill="auto" w:val="clear"/>
            <w:vAlign w:val="center"/>
          </w:tcPr>
          <w:p>
            <w:pPr>
              <w:pStyle w:val="TableContents"/>
              <w:spacing w:before="0" w:after="1"/>
              <w:ind w:left="0" w:right="0" w:hanging="0"/>
              <w:rPr/>
            </w:pPr>
            <w:r>
              <w:rPr/>
              <w:t>​</w:t>
            </w:r>
          </w:p>
        </w:tc>
        <w:tc>
          <w:tcPr>
            <w:tcW w:w="115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83,334</w:t>
            </w:r>
          </w:p>
        </w:tc>
        <w:tc>
          <w:tcPr>
            <w:tcW w:w="326" w:type="dxa"/>
            <w:tcBorders/>
            <w:shd w:fill="auto" w:val="clear"/>
            <w:vAlign w:val="center"/>
          </w:tcPr>
          <w:p>
            <w:pPr>
              <w:pStyle w:val="TableContents"/>
              <w:spacing w:before="0" w:after="1"/>
              <w:ind w:left="0" w:right="0" w:hanging="0"/>
              <w:rPr/>
            </w:pPr>
            <w:r>
              <w:rPr/>
              <w:t>​</w:t>
            </w:r>
          </w:p>
        </w:tc>
        <w:tc>
          <w:tcPr>
            <w:tcW w:w="95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0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1.53</w:t>
            </w:r>
          </w:p>
        </w:tc>
        <w:tc>
          <w:tcPr>
            <w:tcW w:w="326" w:type="dxa"/>
            <w:tcBorders/>
            <w:shd w:fill="auto" w:val="clear"/>
            <w:vAlign w:val="center"/>
          </w:tcPr>
          <w:p>
            <w:pPr>
              <w:pStyle w:val="TableContents"/>
              <w:spacing w:before="0" w:after="1"/>
              <w:ind w:left="0" w:right="0" w:hanging="0"/>
              <w:rPr/>
            </w:pPr>
            <w:r>
              <w:rPr/>
              <w:t>​</w:t>
            </w:r>
          </w:p>
        </w:tc>
        <w:tc>
          <w:tcPr>
            <w:tcW w:w="118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April 20, 2030</w:t>
            </w:r>
          </w:p>
        </w:tc>
        <w:tc>
          <w:tcPr>
            <w:tcW w:w="326" w:type="dxa"/>
            <w:tcBorders/>
            <w:shd w:fill="auto" w:val="clear"/>
            <w:vAlign w:val="center"/>
          </w:tcPr>
          <w:p>
            <w:pPr>
              <w:pStyle w:val="TableContents"/>
              <w:spacing w:before="0" w:after="1"/>
              <w:ind w:left="0" w:right="0" w:hanging="0"/>
              <w:rPr/>
            </w:pPr>
            <w:r>
              <w:rPr/>
              <w:t>​</w:t>
            </w:r>
          </w:p>
        </w:tc>
        <w:tc>
          <w:tcPr>
            <w:tcW w:w="72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789" w:type="dxa"/>
            <w:tcBorders/>
            <w:shd w:fill="auto" w:val="clear"/>
            <w:vAlign w:val="center"/>
          </w:tcPr>
          <w:p>
            <w:pPr>
              <w:pStyle w:val="TableContents"/>
              <w:spacing w:before="0" w:after="1"/>
              <w:ind w:left="0" w:right="0" w:hanging="0"/>
              <w:jc w:val="right"/>
              <w:rPr/>
            </w:pPr>
            <w:r>
              <w:rPr/>
              <w:t>​</w:t>
            </w:r>
          </w:p>
        </w:tc>
      </w:tr>
      <w:tr>
        <w:trPr/>
        <w:tc>
          <w:tcPr>
            <w:tcW w:w="2742"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2021 Non-Qualified Stock Options from the 2020 Plan</w:t>
            </w:r>
          </w:p>
        </w:tc>
        <w:tc>
          <w:tcPr>
            <w:tcW w:w="326" w:type="dxa"/>
            <w:tcBorders/>
            <w:shd w:fill="CCEEFF" w:val="clear"/>
            <w:vAlign w:val="center"/>
          </w:tcPr>
          <w:p>
            <w:pPr>
              <w:pStyle w:val="TableContents"/>
              <w:spacing w:before="0" w:after="1"/>
              <w:ind w:left="0" w:right="0" w:hanging="0"/>
              <w:rPr/>
            </w:pPr>
            <w:r>
              <w:rPr/>
              <w:t>​</w:t>
            </w:r>
          </w:p>
        </w:tc>
        <w:tc>
          <w:tcPr>
            <w:tcW w:w="115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516,304</w:t>
            </w:r>
          </w:p>
        </w:tc>
        <w:tc>
          <w:tcPr>
            <w:tcW w:w="326" w:type="dxa"/>
            <w:tcBorders/>
            <w:shd w:fill="CCEEFF" w:val="clear"/>
            <w:vAlign w:val="center"/>
          </w:tcPr>
          <w:p>
            <w:pPr>
              <w:pStyle w:val="TableContents"/>
              <w:spacing w:before="0" w:after="1"/>
              <w:ind w:left="0" w:right="0" w:hanging="0"/>
              <w:rPr/>
            </w:pPr>
            <w:r>
              <w:rPr/>
              <w:t>​</w:t>
            </w:r>
          </w:p>
        </w:tc>
        <w:tc>
          <w:tcPr>
            <w:tcW w:w="95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0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1.74</w:t>
            </w:r>
          </w:p>
        </w:tc>
        <w:tc>
          <w:tcPr>
            <w:tcW w:w="326" w:type="dxa"/>
            <w:tcBorders/>
            <w:shd w:fill="CCEEFF" w:val="clear"/>
            <w:vAlign w:val="center"/>
          </w:tcPr>
          <w:p>
            <w:pPr>
              <w:pStyle w:val="TableContents"/>
              <w:spacing w:before="0" w:after="1"/>
              <w:ind w:left="0" w:right="0" w:hanging="0"/>
              <w:rPr/>
            </w:pPr>
            <w:r>
              <w:rPr/>
              <w:t>​</w:t>
            </w:r>
          </w:p>
        </w:tc>
        <w:tc>
          <w:tcPr>
            <w:tcW w:w="118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January 21, 2031</w:t>
            </w:r>
          </w:p>
        </w:tc>
        <w:tc>
          <w:tcPr>
            <w:tcW w:w="326" w:type="dxa"/>
            <w:tcBorders/>
            <w:shd w:fill="CCEEFF" w:val="clear"/>
            <w:vAlign w:val="center"/>
          </w:tcPr>
          <w:p>
            <w:pPr>
              <w:pStyle w:val="TableContents"/>
              <w:spacing w:before="0" w:after="1"/>
              <w:ind w:left="0" w:right="0" w:hanging="0"/>
              <w:rPr/>
            </w:pPr>
            <w:r>
              <w:rPr/>
              <w:t>​</w:t>
            </w:r>
          </w:p>
        </w:tc>
        <w:tc>
          <w:tcPr>
            <w:tcW w:w="72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jc w:val="center"/>
              <w:rPr/>
            </w:pPr>
            <w:r>
              <w:rPr/>
              <w:t> </w:t>
            </w:r>
          </w:p>
        </w:tc>
        <w:tc>
          <w:tcPr>
            <w:tcW w:w="789" w:type="dxa"/>
            <w:tcBorders/>
            <w:shd w:fill="CCEEFF" w:val="clear"/>
            <w:vAlign w:val="center"/>
          </w:tcPr>
          <w:p>
            <w:pPr>
              <w:pStyle w:val="TableContents"/>
              <w:spacing w:before="0" w:after="1"/>
              <w:ind w:left="0" w:right="0" w:hanging="0"/>
              <w:jc w:val="right"/>
              <w:rPr/>
            </w:pPr>
            <w:r>
              <w:rPr/>
              <w:t>​</w:t>
            </w:r>
          </w:p>
        </w:tc>
      </w:tr>
      <w:tr>
        <w:trPr/>
        <w:tc>
          <w:tcPr>
            <w:tcW w:w="274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5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954"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8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2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789" w:type="dxa"/>
            <w:tcBorders/>
            <w:shd w:fill="auto" w:val="clear"/>
            <w:vAlign w:val="center"/>
          </w:tcPr>
          <w:p>
            <w:pPr>
              <w:pStyle w:val="TableContents"/>
              <w:spacing w:before="0" w:after="1"/>
              <w:ind w:left="0" w:right="0" w:hanging="0"/>
              <w:jc w:val="right"/>
              <w:rPr/>
            </w:pPr>
            <w:r>
              <w:rPr/>
              <w:t>​</w:t>
            </w:r>
          </w:p>
        </w:tc>
      </w:tr>
      <w:tr>
        <w:trPr/>
        <w:tc>
          <w:tcPr>
            <w:tcW w:w="2742"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15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54"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18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2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789" w:type="dxa"/>
            <w:tcBorders/>
            <w:shd w:fill="CCEEFF" w:val="clear"/>
            <w:vAlign w:val="center"/>
          </w:tcPr>
          <w:p>
            <w:pPr>
              <w:pStyle w:val="TableContents"/>
              <w:spacing w:before="0" w:after="1"/>
              <w:ind w:left="0" w:right="0" w:hanging="0"/>
              <w:jc w:val="right"/>
              <w:rPr/>
            </w:pPr>
            <w:r>
              <w:rPr/>
              <w:t>​</w:t>
            </w:r>
          </w:p>
        </w:tc>
      </w:tr>
    </w:tbl>
    <w:tbl>
      <w:tblPr>
        <w:tblW w:w="9947" w:type="dxa"/>
        <w:jc w:val="left"/>
        <w:tblInd w:w="0" w:type="dxa"/>
        <w:tblCellMar>
          <w:top w:w="0" w:type="dxa"/>
          <w:left w:w="0" w:type="dxa"/>
          <w:bottom w:w="0" w:type="dxa"/>
          <w:right w:w="0" w:type="dxa"/>
        </w:tblCellMar>
      </w:tblPr>
      <w:tblGrid>
        <w:gridCol w:w="346"/>
        <w:gridCol w:w="960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60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Un-exercisable Options vest in equal annual increments over each of the remaining anniversaries of the date of grant.</w:t>
            </w:r>
          </w:p>
        </w:tc>
      </w:tr>
    </w:tbl>
    <w:p>
      <w:pPr>
        <w:pStyle w:val="TextBody"/>
        <w:spacing w:before="0" w:after="0"/>
        <w:ind w:left="0" w:right="0" w:hanging="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Pension Benefits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do not have any qualified or nonqualified defined benefit plans.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Nonqualified Deferred Compensation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We do not have any nonqualified defined contribution plans or other deferred compensation plans.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Potential Payments upon Termination or Change-In-Control</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summarizes the payments and potential payments to each of our named executive officers as of December 31, 2022 upon termination or change-in-control. The discussion assumes that such event occurred on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December 31, 2022, the last business day of our fiscal year, at which time the closing price of our common stock as listed on Nasdaq was $0.36 per share. For a further discussion of these provisions see the “Narrative Disclosure to Summary Compensation Table and Grants of Plan-Based Awards Table” above.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Scott R. Milford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Mr. Milford’s employment agreement is terminated for good reason by Mr. Milford, or by the Company without cause and Mr. Milford provides the Company with a release of claims, Mr. Milford shall be entitled to receive a cash severance payment in the amount of one hundred percent (100%) of his then current base salary and one year of COBRA continuation coverage.</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Omar A. Haynes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Mr. Haynes is not entitled to any payments upon termination or change-in-control.</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Ezra Ernst</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Mr. Ernst’s employment agreement is terminated for good reason by Mr. Ernst, or by the Company without cause and Mr. Ernst provides the Company with a release of claims, Mr. Ernst shall be entitled to receive a cash severance payment in the amount of one hundred percent (100%) of his then current base salary and one year of COBRA continuation coverage.</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Douglas Satzman</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Mr. Satzman resigned from the Company on January 19, 2022. Under the terms of the Separation Agreement and Release that he entered into with the Company, Mr. Satzman received (i) an amount equal to his current annual base salary ($475,000) as severance, paid over the 12-month period following January 21, 2022 in accordance with the Company’s regular payroll schedule and (ii) subsidization of COBRA continuation payments under the Company’ group medical insurance plans until January 31, 2023. Mr. Satzman’s employment provided that if he had earned any bonus or non-equity based incentive compensation which remained unpaid upon termination of employment for any reason, whether by Mr. Satzman or us other than for cause, then he became entitled to receive a pro-rata portion of such incentive compensation at the time it was paid. Mr. Satzman received incentive compensation of $158,341 attributable to calendar year 2021 as provided in his employment agreement, as well as $10,000 representing expense reimbursement. The Separation and Release Agreement also provided for the vesting of all stock options, RSUs and other stock-based awards outstanding held by Mr. Satzman immediately after the effective date of that agreement, in exchange for a general release in favor of the Company.</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Director Compensation</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The following table sets forth the compensation of persons who served as non-employee members of our Board of Directors during the fiscal year ended December 31, 2022. </w:t>
      </w:r>
    </w:p>
    <w:p>
      <w:pPr>
        <w:pStyle w:val="TextBody"/>
        <w:spacing w:before="0" w:after="240"/>
        <w:ind w:left="0" w:right="0" w:hanging="0"/>
        <w:jc w:val="both"/>
        <w:rPr/>
      </w:pPr>
      <w:r>
        <w:rPr/>
        <w:t>​</w:t>
      </w:r>
    </w:p>
    <w:tbl>
      <w:tblPr>
        <w:tblW w:w="7382" w:type="dxa"/>
        <w:jc w:val="left"/>
        <w:tblInd w:w="0" w:type="dxa"/>
        <w:tblCellMar>
          <w:top w:w="0" w:type="dxa"/>
          <w:left w:w="0" w:type="dxa"/>
          <w:bottom w:w="0" w:type="dxa"/>
          <w:right w:w="0" w:type="dxa"/>
        </w:tblCellMar>
      </w:tblPr>
      <w:tblGrid>
        <w:gridCol w:w="1966"/>
        <w:gridCol w:w="326"/>
        <w:gridCol w:w="841"/>
        <w:gridCol w:w="326"/>
        <w:gridCol w:w="676"/>
        <w:gridCol w:w="109"/>
        <w:gridCol w:w="676"/>
        <w:gridCol w:w="109"/>
        <w:gridCol w:w="1141"/>
        <w:gridCol w:w="326"/>
        <w:gridCol w:w="886"/>
      </w:tblGrid>
      <w:tr>
        <w:trPr/>
        <w:tc>
          <w:tcPr>
            <w:tcW w:w="19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248410" cy="175260"/>
                      <wp:effectExtent l="0" t="0" r="0" b="0"/>
                      <wp:wrapNone/>
                      <wp:docPr id="35" name="Frame35"/>
                      <a:graphic xmlns:a="http://schemas.openxmlformats.org/drawingml/2006/main">
                        <a:graphicData uri="http://schemas.microsoft.com/office/word/2010/wordprocessingShape">
                          <wps:wsp>
                            <wps:cNvSpPr txBox="1"/>
                            <wps:spPr>
                              <a:xfrm>
                                <a:off x="0" y="0"/>
                                <a:ext cx="12484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34035" cy="175260"/>
                      <wp:effectExtent l="0" t="0" r="0" b="0"/>
                      <wp:wrapNone/>
                      <wp:docPr id="37" name="Frame37"/>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29260" cy="175260"/>
                      <wp:effectExtent l="0" t="0" r="0" b="0"/>
                      <wp:wrapNone/>
                      <wp:docPr id="39" name="Frame3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9215" cy="175260"/>
                      <wp:effectExtent l="0" t="0" r="0" b="0"/>
                      <wp:wrapNone/>
                      <wp:docPr id="40" name="Frame4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29260" cy="175260"/>
                      <wp:effectExtent l="0" t="0" r="0" b="0"/>
                      <wp:wrapNone/>
                      <wp:docPr id="41" name="Frame41"/>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215" cy="175260"/>
                      <wp:effectExtent l="0" t="0" r="0" b="0"/>
                      <wp:wrapNone/>
                      <wp:docPr id="42" name="Frame4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724535" cy="175260"/>
                      <wp:effectExtent l="0" t="0" r="0" b="0"/>
                      <wp:wrapNone/>
                      <wp:docPr id="43" name="Frame43"/>
                      <a:graphic xmlns:a="http://schemas.openxmlformats.org/drawingml/2006/main">
                        <a:graphicData uri="http://schemas.microsoft.com/office/word/2010/wordprocessingShape">
                          <wps:wsp>
                            <wps:cNvSpPr txBox="1"/>
                            <wps:spPr>
                              <a:xfrm>
                                <a:off x="0" y="0"/>
                                <a:ext cx="7245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62610" cy="175260"/>
                      <wp:effectExtent l="0" t="0" r="0" b="0"/>
                      <wp:wrapNone/>
                      <wp:docPr id="45" name="Frame45"/>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9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Fees</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center"/>
              <w:rPr/>
            </w:pPr>
            <w:r>
              <w:rPr/>
              <w:t>​</w:t>
            </w:r>
          </w:p>
        </w:tc>
      </w:tr>
      <w:tr>
        <w:trPr/>
        <w:tc>
          <w:tcPr>
            <w:tcW w:w="19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Earned or</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center"/>
              <w:rPr/>
            </w:pPr>
            <w:r>
              <w:rPr/>
              <w:t>​</w:t>
            </w:r>
          </w:p>
        </w:tc>
      </w:tr>
      <w:tr>
        <w:trPr/>
        <w:tc>
          <w:tcPr>
            <w:tcW w:w="19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Paid in</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109"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All Other </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center"/>
              <w:rPr/>
            </w:pPr>
            <w:r>
              <w:rPr/>
              <w:t>​</w:t>
            </w:r>
          </w:p>
        </w:tc>
      </w:tr>
      <w:tr>
        <w:trPr/>
        <w:tc>
          <w:tcPr>
            <w:tcW w:w="19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Cash</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109"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Awards</w:t>
            </w:r>
          </w:p>
        </w:tc>
        <w:tc>
          <w:tcPr>
            <w:tcW w:w="109"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6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Name</w:t>
            </w:r>
          </w:p>
        </w:tc>
        <w:tc>
          <w:tcPr>
            <w:tcW w:w="326" w:type="dxa"/>
            <w:tcBorders/>
            <w:shd w:fill="auto" w:val="clear"/>
            <w:vAlign w:val="center"/>
          </w:tcPr>
          <w:p>
            <w:pPr>
              <w:pStyle w:val="TableContents"/>
              <w:spacing w:before="0" w:after="1"/>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shd w:fill="auto" w:val="clear"/>
            <w:vAlign w:val="center"/>
          </w:tcPr>
          <w:p>
            <w:pPr>
              <w:pStyle w:val="TableContents"/>
              <w:spacing w:before="0" w:after="1"/>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w:t>
            </w:r>
          </w:p>
        </w:tc>
        <w:tc>
          <w:tcPr>
            <w:tcW w:w="109" w:type="dxa"/>
            <w:tcBorders/>
            <w:shd w:fill="auto" w:val="clear"/>
            <w:vAlign w:val="center"/>
          </w:tcPr>
          <w:p>
            <w:pPr>
              <w:pStyle w:val="TableContents"/>
              <w:spacing w:before="0" w:after="1"/>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(1)</w:t>
            </w:r>
          </w:p>
        </w:tc>
        <w:tc>
          <w:tcPr>
            <w:tcW w:w="109" w:type="dxa"/>
            <w:tcBorders/>
            <w:shd w:fill="auto" w:val="clear"/>
            <w:vAlign w:val="center"/>
          </w:tcPr>
          <w:p>
            <w:pPr>
              <w:pStyle w:val="TableContents"/>
              <w:spacing w:before="0" w:after="1"/>
              <w:ind w:left="0" w:right="0" w:hanging="0"/>
              <w:rPr/>
            </w:pPr>
            <w:r>
              <w:rPr/>
              <w:t>​</w:t>
            </w:r>
          </w:p>
        </w:tc>
        <w:tc>
          <w:tcPr>
            <w:tcW w:w="1141" w:type="dxa"/>
            <w:tcBorders>
              <w:bottom w:val="single" w:sz="2" w:space="0" w:color="000000"/>
            </w:tcBorders>
            <w:shd w:fill="auto" w:val="clear"/>
            <w:tcMar>
              <w:bottom w:w="28" w:type="dxa"/>
            </w:tcMar>
            <w:vAlign w:val="center"/>
          </w:tcPr>
          <w:p>
            <w:pPr>
              <w:pStyle w:val="TableContents"/>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w:t>
            </w:r>
            <w:r>
              <w:rPr>
                <w:rFonts w:ascii="Times New Roman;Times;serif" w:hAnsi="Times New Roman;Times;serif"/>
                <w:b/>
                <w:sz w:val="12"/>
              </w:rPr>
              <w:t>(6)</w:t>
            </w:r>
          </w:p>
        </w:tc>
        <w:tc>
          <w:tcPr>
            <w:tcW w:w="326" w:type="dxa"/>
            <w:tcBorders/>
            <w:shd w:fill="auto" w:val="clear"/>
            <w:vAlign w:val="center"/>
          </w:tcPr>
          <w:p>
            <w:pPr>
              <w:pStyle w:val="TableContents"/>
              <w:spacing w:before="0" w:after="1"/>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966"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Bruce T. Bernstein</w:t>
            </w:r>
            <w:r>
              <w:rPr>
                <w:rFonts w:ascii="Times New Roman;Times;serif" w:hAnsi="Times New Roman;Times;serif"/>
                <w:sz w:val="15"/>
              </w:rPr>
              <w:t>(2)(6)</w:t>
            </w:r>
          </w:p>
        </w:tc>
        <w:tc>
          <w:tcPr>
            <w:tcW w:w="326" w:type="dxa"/>
            <w:tcBorders/>
            <w:shd w:fill="CCEEFF" w:val="clear"/>
            <w:vAlign w:val="center"/>
          </w:tcPr>
          <w:p>
            <w:pPr>
              <w:pStyle w:val="TableContents"/>
              <w:spacing w:before="0" w:after="1"/>
              <w:ind w:left="0" w:right="0" w:hanging="0"/>
              <w:rPr/>
            </w:pPr>
            <w:r>
              <w:rPr/>
              <w:t> </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190,000</w:t>
            </w:r>
          </w:p>
        </w:tc>
        <w:tc>
          <w:tcPr>
            <w:tcW w:w="326"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80,000</w:t>
            </w:r>
          </w:p>
        </w:tc>
        <w:tc>
          <w:tcPr>
            <w:tcW w:w="109"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34,022</w:t>
            </w:r>
          </w:p>
        </w:tc>
        <w:tc>
          <w:tcPr>
            <w:tcW w:w="109"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120,000</w:t>
            </w:r>
          </w:p>
        </w:tc>
        <w:tc>
          <w:tcPr>
            <w:tcW w:w="326" w:type="dxa"/>
            <w:tcBorders/>
            <w:shd w:fill="CCEEFF" w:val="clear"/>
            <w:vAlign w:val="center"/>
          </w:tcPr>
          <w:p>
            <w:pPr>
              <w:pStyle w:val="TableContents"/>
              <w:spacing w:before="0" w:after="1"/>
              <w:ind w:left="0" w:right="0" w:hanging="0"/>
              <w:rPr/>
            </w:pPr>
            <w:r>
              <w:rPr/>
              <w:t> </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424,022</w:t>
            </w:r>
          </w:p>
        </w:tc>
      </w:tr>
      <w:tr>
        <w:trPr/>
        <w:tc>
          <w:tcPr>
            <w:tcW w:w="1966"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Donald E. Stout</w:t>
            </w:r>
            <w:r>
              <w:rPr>
                <w:rFonts w:ascii="Times New Roman;Times;serif" w:hAnsi="Times New Roman;Times;serif"/>
                <w:sz w:val="15"/>
              </w:rPr>
              <w:t>(3)</w:t>
            </w:r>
          </w:p>
        </w:tc>
        <w:tc>
          <w:tcPr>
            <w:tcW w:w="326" w:type="dxa"/>
            <w:tcBorders/>
            <w:shd w:fill="auto" w:val="clear"/>
            <w:vAlign w:val="center"/>
          </w:tcPr>
          <w:p>
            <w:pPr>
              <w:pStyle w:val="TableContents"/>
              <w:spacing w:before="0" w:after="1"/>
              <w:ind w:left="0" w:right="0" w:hanging="0"/>
              <w:rPr/>
            </w:pPr>
            <w:r>
              <w:rPr/>
              <w:t> </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70,000</w:t>
            </w:r>
          </w:p>
        </w:tc>
        <w:tc>
          <w:tcPr>
            <w:tcW w:w="326"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40,000</w:t>
            </w:r>
          </w:p>
        </w:tc>
        <w:tc>
          <w:tcPr>
            <w:tcW w:w="109"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17,011</w:t>
            </w:r>
          </w:p>
        </w:tc>
        <w:tc>
          <w:tcPr>
            <w:tcW w:w="109"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127,011</w:t>
            </w:r>
          </w:p>
        </w:tc>
      </w:tr>
      <w:tr>
        <w:trPr/>
        <w:tc>
          <w:tcPr>
            <w:tcW w:w="1966"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Robert Weinstein</w:t>
            </w:r>
            <w:r>
              <w:rPr>
                <w:rFonts w:ascii="Times New Roman;Times;serif" w:hAnsi="Times New Roman;Times;serif"/>
                <w:sz w:val="15"/>
              </w:rPr>
              <w:t>(4)</w:t>
            </w:r>
          </w:p>
        </w:tc>
        <w:tc>
          <w:tcPr>
            <w:tcW w:w="326" w:type="dxa"/>
            <w:tcBorders/>
            <w:shd w:fill="CCEEFF" w:val="clear"/>
            <w:vAlign w:val="center"/>
          </w:tcPr>
          <w:p>
            <w:pPr>
              <w:pStyle w:val="TableContents"/>
              <w:spacing w:before="0" w:after="1"/>
              <w:ind w:left="0" w:right="0" w:hanging="0"/>
              <w:rPr/>
            </w:pPr>
            <w:r>
              <w:rPr/>
              <w:t>​</w:t>
            </w:r>
          </w:p>
        </w:tc>
        <w:tc>
          <w:tcPr>
            <w:tcW w:w="8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120,000</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40,000</w:t>
            </w:r>
          </w:p>
        </w:tc>
        <w:tc>
          <w:tcPr>
            <w:tcW w:w="109"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17,011</w:t>
            </w:r>
          </w:p>
        </w:tc>
        <w:tc>
          <w:tcPr>
            <w:tcW w:w="109" w:type="dxa"/>
            <w:tcBorders/>
            <w:shd w:fill="CCEEFF" w:val="clear"/>
            <w:vAlign w:val="center"/>
          </w:tcPr>
          <w:p>
            <w:pPr>
              <w:pStyle w:val="TableContents"/>
              <w:spacing w:before="0" w:after="1"/>
              <w:ind w:left="0" w:right="0" w:hanging="0"/>
              <w:rPr/>
            </w:pPr>
            <w:r>
              <w:rPr/>
              <w:t>​</w:t>
            </w:r>
          </w:p>
        </w:tc>
        <w:tc>
          <w:tcPr>
            <w:tcW w:w="114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177,011</w:t>
            </w:r>
          </w:p>
        </w:tc>
      </w:tr>
      <w:tr>
        <w:trPr/>
        <w:tc>
          <w:tcPr>
            <w:tcW w:w="1966"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Michael Lebowitz</w:t>
            </w:r>
            <w:r>
              <w:rPr>
                <w:rFonts w:ascii="Times New Roman;Times;serif" w:hAnsi="Times New Roman;Times;serif"/>
                <w:sz w:val="15"/>
              </w:rPr>
              <w:t>(5)</w:t>
            </w:r>
          </w:p>
        </w:tc>
        <w:tc>
          <w:tcPr>
            <w:tcW w:w="326" w:type="dxa"/>
            <w:tcBorders/>
            <w:shd w:fill="auto" w:val="clear"/>
            <w:vAlign w:val="center"/>
          </w:tcPr>
          <w:p>
            <w:pPr>
              <w:pStyle w:val="TableContents"/>
              <w:spacing w:before="0" w:after="1"/>
              <w:ind w:left="0" w:right="0" w:hanging="0"/>
              <w:rPr/>
            </w:pPr>
            <w:r>
              <w:rPr/>
              <w:t>​</w:t>
            </w:r>
          </w:p>
        </w:tc>
        <w:tc>
          <w:tcPr>
            <w:tcW w:w="8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90,000</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40,000</w:t>
            </w:r>
          </w:p>
        </w:tc>
        <w:tc>
          <w:tcPr>
            <w:tcW w:w="109"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17,011</w:t>
            </w:r>
          </w:p>
        </w:tc>
        <w:tc>
          <w:tcPr>
            <w:tcW w:w="109" w:type="dxa"/>
            <w:tcBorders/>
            <w:shd w:fill="auto" w:val="clear"/>
            <w:vAlign w:val="center"/>
          </w:tcPr>
          <w:p>
            <w:pPr>
              <w:pStyle w:val="TableContents"/>
              <w:spacing w:before="0" w:after="1"/>
              <w:ind w:left="0" w:right="0" w:hanging="0"/>
              <w:rPr/>
            </w:pPr>
            <w:r>
              <w:rPr/>
              <w:t>​</w:t>
            </w:r>
          </w:p>
        </w:tc>
        <w:tc>
          <w:tcPr>
            <w:tcW w:w="114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886" w:type="dxa"/>
            <w:tcBorders/>
            <w:shd w:fill="auto"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147,011</w:t>
            </w:r>
          </w:p>
        </w:tc>
      </w:tr>
    </w:tbl>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00"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Amounts represent the aggregate grant date fair value of the restricted stock units and option awards granted during the fiscal year computed in accordance with FASB ASC </w:t>
            </w:r>
            <w:r>
              <w:rPr>
                <w:rFonts w:ascii="Times New Roman;Times;serif" w:hAnsi="Times New Roman;Times;serif"/>
                <w:b w:val="false"/>
                <w:i/>
                <w:sz w:val="20"/>
              </w:rPr>
              <w:t>Topic 718</w:t>
            </w:r>
            <w:r>
              <w:rPr>
                <w:rFonts w:ascii="Times New Roman;Times;serif" w:hAnsi="Times New Roman;Times;serif"/>
                <w:b w:val="false"/>
                <w:i w:val="false"/>
                <w:caps w:val="false"/>
                <w:smallCaps w:val="false"/>
                <w:sz w:val="20"/>
              </w:rPr>
              <w:t xml:space="preserve">. See Notes 2 and 15 to the consolidated financial statements disclosed in the Original Filing for the assumptions made in the valuation of the equity awards. </w:t>
            </w:r>
          </w:p>
        </w:tc>
      </w:tr>
    </w:tbl>
    <w:tbl>
      <w:tblPr>
        <w:tblW w:w="6587" w:type="dxa"/>
        <w:jc w:val="left"/>
        <w:tblInd w:w="0" w:type="dxa"/>
        <w:tblCellMar>
          <w:top w:w="0" w:type="dxa"/>
          <w:left w:w="0" w:type="dxa"/>
          <w:bottom w:w="0" w:type="dxa"/>
          <w:right w:w="0" w:type="dxa"/>
        </w:tblCellMar>
      </w:tblPr>
      <w:tblGrid>
        <w:gridCol w:w="346"/>
        <w:gridCol w:w="6241"/>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624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Mr. Bernstein held 250,282 unexercised options.</w:t>
            </w:r>
          </w:p>
        </w:tc>
      </w:tr>
    </w:tbl>
    <w:tbl>
      <w:tblPr>
        <w:tblW w:w="6242" w:type="dxa"/>
        <w:jc w:val="left"/>
        <w:tblInd w:w="0" w:type="dxa"/>
        <w:tblCellMar>
          <w:top w:w="0" w:type="dxa"/>
          <w:left w:w="0" w:type="dxa"/>
          <w:bottom w:w="0" w:type="dxa"/>
          <w:right w:w="0" w:type="dxa"/>
        </w:tblCellMar>
      </w:tblPr>
      <w:tblGrid>
        <w:gridCol w:w="346"/>
        <w:gridCol w:w="5896"/>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589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Mr. Stout held 153,619 unexercised options.</w:t>
            </w:r>
          </w:p>
        </w:tc>
      </w:tr>
    </w:tbl>
    <w:tbl>
      <w:tblPr>
        <w:tblW w:w="6632" w:type="dxa"/>
        <w:jc w:val="left"/>
        <w:tblInd w:w="0" w:type="dxa"/>
        <w:tblCellMar>
          <w:top w:w="0" w:type="dxa"/>
          <w:left w:w="0" w:type="dxa"/>
          <w:bottom w:w="0" w:type="dxa"/>
          <w:right w:w="0" w:type="dxa"/>
        </w:tblCellMar>
      </w:tblPr>
      <w:tblGrid>
        <w:gridCol w:w="346"/>
        <w:gridCol w:w="6286"/>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628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Mr. Weinstein held 151,619 unexercised options.</w:t>
            </w:r>
          </w:p>
        </w:tc>
      </w:tr>
    </w:tbl>
    <w:tbl>
      <w:tblPr>
        <w:tblW w:w="6572" w:type="dxa"/>
        <w:jc w:val="left"/>
        <w:tblInd w:w="0" w:type="dxa"/>
        <w:tblCellMar>
          <w:top w:w="0" w:type="dxa"/>
          <w:left w:w="0" w:type="dxa"/>
          <w:bottom w:w="0" w:type="dxa"/>
          <w:right w:w="0" w:type="dxa"/>
        </w:tblCellMar>
      </w:tblPr>
      <w:tblGrid>
        <w:gridCol w:w="346"/>
        <w:gridCol w:w="6226"/>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622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2022, Mr. Lebowitz held 139,952 unexercised options.</w:t>
            </w:r>
          </w:p>
        </w:tc>
      </w:tr>
    </w:tbl>
    <w:tbl>
      <w:tblPr>
        <w:tblW w:w="8462" w:type="dxa"/>
        <w:jc w:val="left"/>
        <w:tblInd w:w="0" w:type="dxa"/>
        <w:tblCellMar>
          <w:top w:w="0" w:type="dxa"/>
          <w:left w:w="0" w:type="dxa"/>
          <w:bottom w:w="0" w:type="dxa"/>
          <w:right w:w="0" w:type="dxa"/>
        </w:tblCellMar>
      </w:tblPr>
      <w:tblGrid>
        <w:gridCol w:w="346"/>
        <w:gridCol w:w="8116"/>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w:t>
            </w:r>
          </w:p>
        </w:tc>
        <w:tc>
          <w:tcPr>
            <w:tcW w:w="811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$120,000 in cash paid in respect of XpresTest, Inc. board services (as described below).</w:t>
            </w:r>
          </w:p>
        </w:tc>
      </w:tr>
    </w:tbl>
    <w:p>
      <w:pPr>
        <w:pStyle w:val="TextBody"/>
        <w:spacing w:before="0" w:after="0"/>
        <w:ind w:left="360" w:right="0" w:hanging="0"/>
        <w:jc w:val="both"/>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At various times during 2022, the Board and the Compensation Committee of the Board of Directors engaged StreeterWyatt Analytics, an independent third-party compensation analyst, to evaluate and make recommendations regard</w:t>
        <w:softHyphen/>
        <w:t>ing the compensation paid to our directors.</w:t>
      </w:r>
    </w:p>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January 2022, the Board requested and received analysis and evaluation from StreeterWyatt Analytics regarding the Company’s compensation structure.  Based on its review, the Compensation Committee recommended, and the full Board approved, a new director compensation program effective for fiscal year 2022: </w:t>
      </w:r>
    </w:p>
    <w:p>
      <w:pPr>
        <w:pStyle w:val="TextBody"/>
        <w:spacing w:before="0" w:after="0"/>
        <w:ind w:left="0" w:right="0" w:hanging="0"/>
        <w:jc w:val="both"/>
        <w:rPr/>
      </w:pPr>
      <w:r>
        <w:rPr/>
        <w:t>​</w:t>
      </w:r>
    </w:p>
    <w:tbl>
      <w:tblPr>
        <w:tblW w:w="5766" w:type="dxa"/>
        <w:jc w:val="left"/>
        <w:tblInd w:w="0" w:type="dxa"/>
        <w:tblCellMar>
          <w:top w:w="28" w:type="dxa"/>
          <w:left w:w="28" w:type="dxa"/>
          <w:bottom w:w="28" w:type="dxa"/>
          <w:right w:w="28" w:type="dxa"/>
        </w:tblCellMar>
      </w:tblPr>
      <w:tblGrid>
        <w:gridCol w:w="124"/>
        <w:gridCol w:w="256"/>
        <w:gridCol w:w="53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Chairman of the Board: $350,000 per year, consisting of:</w:t>
            </w:r>
          </w:p>
        </w:tc>
      </w:tr>
    </w:tbl>
    <w:tbl>
      <w:tblPr>
        <w:tblW w:w="2301" w:type="dxa"/>
        <w:jc w:val="left"/>
        <w:tblInd w:w="0" w:type="dxa"/>
        <w:tblCellMar>
          <w:top w:w="28" w:type="dxa"/>
          <w:left w:w="28" w:type="dxa"/>
          <w:bottom w:w="28" w:type="dxa"/>
          <w:right w:w="28" w:type="dxa"/>
        </w:tblCellMar>
      </w:tblPr>
      <w:tblGrid>
        <w:gridCol w:w="124"/>
        <w:gridCol w:w="226"/>
        <w:gridCol w:w="1951"/>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Courier New" w:hAnsi="Courier New"/>
                <w:sz w:val="20"/>
              </w:rPr>
            </w:pPr>
            <w:r>
              <w:rPr>
                <w:rFonts w:ascii="Courier New" w:hAnsi="Courier New"/>
                <w:sz w:val="20"/>
              </w:rPr>
              <w:t>o</w:t>
            </w:r>
          </w:p>
        </w:tc>
        <w:tc>
          <w:tcPr>
            <w:tcW w:w="19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 in cash; and</w:t>
            </w:r>
          </w:p>
        </w:tc>
      </w:tr>
    </w:tbl>
    <w:tbl>
      <w:tblPr>
        <w:tblW w:w="10205" w:type="dxa"/>
        <w:jc w:val="left"/>
        <w:tblInd w:w="0" w:type="dxa"/>
        <w:tblCellMar>
          <w:top w:w="28" w:type="dxa"/>
          <w:left w:w="28" w:type="dxa"/>
          <w:bottom w:w="28" w:type="dxa"/>
          <w:right w:w="28" w:type="dxa"/>
        </w:tblCellMar>
      </w:tblPr>
      <w:tblGrid>
        <w:gridCol w:w="124"/>
        <w:gridCol w:w="226"/>
        <w:gridCol w:w="9855"/>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Courier New" w:hAnsi="Courier New"/>
                <w:sz w:val="20"/>
              </w:rPr>
            </w:pPr>
            <w:r>
              <w:rPr>
                <w:rFonts w:ascii="Courier New" w:hAnsi="Courier New"/>
                <w:sz w:val="20"/>
              </w:rPr>
              <w:t>o</w:t>
            </w:r>
          </w:p>
        </w:tc>
        <w:tc>
          <w:tcPr>
            <w:tcW w:w="985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awards having a combined value of $200,000, consisting of (i) a grant of a Non-Qualified Stock Option to purchase such number of shares of Common Stock having a grant date fair value of $120,000 and (ii) a grant of RSUs of such number of shares having a grant date value of $80,000.</w:t>
            </w:r>
          </w:p>
        </w:tc>
      </w:tr>
    </w:tbl>
    <w:tbl>
      <w:tblPr>
        <w:tblW w:w="6336" w:type="dxa"/>
        <w:jc w:val="left"/>
        <w:tblInd w:w="0" w:type="dxa"/>
        <w:tblCellMar>
          <w:top w:w="28" w:type="dxa"/>
          <w:left w:w="28" w:type="dxa"/>
          <w:bottom w:w="28" w:type="dxa"/>
          <w:right w:w="28" w:type="dxa"/>
        </w:tblCellMar>
      </w:tblPr>
      <w:tblGrid>
        <w:gridCol w:w="124"/>
        <w:gridCol w:w="256"/>
        <w:gridCol w:w="59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other non-employee Directors: $170,000 per year, consisting of:</w:t>
            </w:r>
          </w:p>
        </w:tc>
      </w:tr>
    </w:tbl>
    <w:tbl>
      <w:tblPr>
        <w:tblW w:w="2196" w:type="dxa"/>
        <w:jc w:val="left"/>
        <w:tblInd w:w="0" w:type="dxa"/>
        <w:tblCellMar>
          <w:top w:w="28" w:type="dxa"/>
          <w:left w:w="28" w:type="dxa"/>
          <w:bottom w:w="28" w:type="dxa"/>
          <w:right w:w="28" w:type="dxa"/>
        </w:tblCellMar>
      </w:tblPr>
      <w:tblGrid>
        <w:gridCol w:w="124"/>
        <w:gridCol w:w="226"/>
        <w:gridCol w:w="1846"/>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Courier New" w:hAnsi="Courier New"/>
                <w:sz w:val="20"/>
              </w:rPr>
            </w:pPr>
            <w:r>
              <w:rPr>
                <w:rFonts w:ascii="Courier New" w:hAnsi="Courier New"/>
                <w:sz w:val="20"/>
              </w:rPr>
              <w:t>o</w:t>
            </w:r>
          </w:p>
        </w:tc>
        <w:tc>
          <w:tcPr>
            <w:tcW w:w="18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 in cash; and</w:t>
            </w:r>
          </w:p>
        </w:tc>
      </w:tr>
    </w:tbl>
    <w:tbl>
      <w:tblPr>
        <w:tblW w:w="10205" w:type="dxa"/>
        <w:jc w:val="left"/>
        <w:tblInd w:w="0" w:type="dxa"/>
        <w:tblCellMar>
          <w:top w:w="28" w:type="dxa"/>
          <w:left w:w="28" w:type="dxa"/>
          <w:bottom w:w="28" w:type="dxa"/>
          <w:right w:w="28" w:type="dxa"/>
        </w:tblCellMar>
      </w:tblPr>
      <w:tblGrid>
        <w:gridCol w:w="124"/>
        <w:gridCol w:w="226"/>
        <w:gridCol w:w="9855"/>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Courier New" w:hAnsi="Courier New"/>
                <w:sz w:val="20"/>
              </w:rPr>
            </w:pPr>
            <w:r>
              <w:rPr>
                <w:rFonts w:ascii="Courier New" w:hAnsi="Courier New"/>
                <w:sz w:val="20"/>
              </w:rPr>
              <w:t>o</w:t>
            </w:r>
          </w:p>
        </w:tc>
        <w:tc>
          <w:tcPr>
            <w:tcW w:w="985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awards having a combined value of $100,000, consisting of (i) a grant of a Non-Qualified Stock Option to purchase such number of shares of Common Stock having a grant date fair value of $60,000 and (ii) a grant of RSUs of such number of shares having a grant date value of $40,000.</w:t>
            </w:r>
          </w:p>
        </w:tc>
      </w:tr>
    </w:tbl>
    <w:tbl>
      <w:tblPr>
        <w:tblW w:w="3861" w:type="dxa"/>
        <w:jc w:val="left"/>
        <w:tblInd w:w="0" w:type="dxa"/>
        <w:tblCellMar>
          <w:top w:w="28" w:type="dxa"/>
          <w:left w:w="28" w:type="dxa"/>
          <w:bottom w:w="28" w:type="dxa"/>
          <w:right w:w="28" w:type="dxa"/>
        </w:tblCellMar>
      </w:tblPr>
      <w:tblGrid>
        <w:gridCol w:w="124"/>
        <w:gridCol w:w="256"/>
        <w:gridCol w:w="34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4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additional cash payments:</w:t>
            </w:r>
          </w:p>
        </w:tc>
      </w:tr>
    </w:tbl>
    <w:tbl>
      <w:tblPr>
        <w:tblW w:w="5196" w:type="dxa"/>
        <w:jc w:val="left"/>
        <w:tblInd w:w="0" w:type="dxa"/>
        <w:tblCellMar>
          <w:top w:w="28" w:type="dxa"/>
          <w:left w:w="28" w:type="dxa"/>
          <w:bottom w:w="28" w:type="dxa"/>
          <w:right w:w="28" w:type="dxa"/>
        </w:tblCellMar>
      </w:tblPr>
      <w:tblGrid>
        <w:gridCol w:w="124"/>
        <w:gridCol w:w="226"/>
        <w:gridCol w:w="4846"/>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Courier New" w:hAnsi="Courier New"/>
                <w:sz w:val="20"/>
              </w:rPr>
            </w:pPr>
            <w:r>
              <w:rPr>
                <w:rFonts w:ascii="Courier New" w:hAnsi="Courier New"/>
                <w:sz w:val="20"/>
              </w:rPr>
              <w:t>o</w:t>
            </w:r>
          </w:p>
        </w:tc>
        <w:tc>
          <w:tcPr>
            <w:tcW w:w="48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$30,000 in cash to the Chairman of the Audit Committee. </w:t>
            </w:r>
          </w:p>
        </w:tc>
      </w:tr>
    </w:tbl>
    <w:tbl>
      <w:tblPr>
        <w:tblW w:w="5871" w:type="dxa"/>
        <w:jc w:val="left"/>
        <w:tblInd w:w="0" w:type="dxa"/>
        <w:tblCellMar>
          <w:top w:w="28" w:type="dxa"/>
          <w:left w:w="28" w:type="dxa"/>
          <w:bottom w:w="28" w:type="dxa"/>
          <w:right w:w="28" w:type="dxa"/>
        </w:tblCellMar>
      </w:tblPr>
      <w:tblGrid>
        <w:gridCol w:w="124"/>
        <w:gridCol w:w="226"/>
        <w:gridCol w:w="5521"/>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Courier New" w:hAnsi="Courier New"/>
                <w:sz w:val="20"/>
              </w:rPr>
            </w:pPr>
            <w:r>
              <w:rPr>
                <w:rFonts w:ascii="Courier New" w:hAnsi="Courier New"/>
                <w:sz w:val="20"/>
              </w:rPr>
              <w:t>o</w:t>
            </w:r>
          </w:p>
        </w:tc>
        <w:tc>
          <w:tcPr>
            <w:tcW w:w="55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 in cash to the Chairman of the Compensation Committee.</w:t>
            </w:r>
          </w:p>
        </w:tc>
      </w:tr>
    </w:tbl>
    <w:tbl>
      <w:tblPr>
        <w:tblW w:w="5961" w:type="dxa"/>
        <w:jc w:val="left"/>
        <w:tblInd w:w="0" w:type="dxa"/>
        <w:tblCellMar>
          <w:top w:w="28" w:type="dxa"/>
          <w:left w:w="28" w:type="dxa"/>
          <w:bottom w:w="28" w:type="dxa"/>
          <w:right w:w="28" w:type="dxa"/>
        </w:tblCellMar>
      </w:tblPr>
      <w:tblGrid>
        <w:gridCol w:w="124"/>
        <w:gridCol w:w="226"/>
        <w:gridCol w:w="5611"/>
      </w:tblGrid>
      <w:tr>
        <w:trPr/>
        <w:tc>
          <w:tcPr>
            <w:tcW w:w="1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tcMar>
              <w:top w:w="0" w:type="dxa"/>
              <w:left w:w="0" w:type="dxa"/>
              <w:bottom w:w="0" w:type="dxa"/>
              <w:right w:w="0" w:type="dxa"/>
            </w:tcMar>
            <w:vAlign w:val="center"/>
          </w:tcPr>
          <w:p>
            <w:pPr>
              <w:pStyle w:val="TableContents"/>
              <w:spacing w:before="0" w:after="283"/>
              <w:rPr>
                <w:rFonts w:ascii="Courier New" w:hAnsi="Courier New"/>
                <w:sz w:val="20"/>
              </w:rPr>
            </w:pPr>
            <w:r>
              <w:rPr>
                <w:rFonts w:ascii="Courier New" w:hAnsi="Courier New"/>
                <w:sz w:val="20"/>
              </w:rPr>
              <w:t>o</w:t>
            </w:r>
          </w:p>
        </w:tc>
        <w:tc>
          <w:tcPr>
            <w:tcW w:w="56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 in cash to each member of the Strategic Affairs Committee.</w:t>
            </w:r>
          </w:p>
        </w:tc>
      </w:tr>
    </w:tbl>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reimburse our directors for reasonable out-of-pocket expenses incurred in connection with attendance and participation in Board and committee meetings (including costs of travel, food and lodging). </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addition, Mr. Bernstein received $120,000 in cash compensation in fiscal 2022 specifically related to the duties, responsibilities and services of Mr. Bernstein beyond the scope of normal Board member services in connection with his role as a non-employee director of XpresTest, which amount was approved in March 2021 following the Board’s review of an analysis and evaluation from StreeterWyatt Analytics of appropriate director compensation specifically related to such duties.  The Board concluded at the time, and continued to conclude, that under the circumstances and in light of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services performed, such compensation represents “ordinary-course compensation” for Mr. Bernstein’s XpresTest board services as a member of the board of directors of XpresTest, and that such compensation therefore would not preclude a determination that Mr. Bernstein would be independent for, among other things, membership of the Audit Committee of the Company under Rule 10A-3 under the Securities Exchange Act of 1934, and Nasdaq listing rules, as such compensation represents fees for such XpresTest board services.</w:t>
      </w:r>
    </w:p>
    <w:p>
      <w:pPr>
        <w:pStyle w:val="TextBody"/>
        <w:spacing w:before="0" w:after="0"/>
        <w:ind w:left="0" w:right="0" w:hanging="0"/>
        <w:rPr/>
      </w:pPr>
      <w:r>
        <w:rPr/>
        <w:t>​</w:t>
      </w:r>
    </w:p>
    <w:p>
      <w:pPr>
        <w:pStyle w:val="TextBody"/>
        <w:spacing w:before="0" w:after="0"/>
        <w:ind w:left="0" w:right="0" w:hanging="0"/>
        <w:rPr/>
      </w:pPr>
      <w:bookmarkStart w:id="61" w:name="_c1a7ee72_fa0f_481d_b7b9_f624741e4f8e"/>
      <w:bookmarkEnd w:id="61"/>
      <w:r>
        <w:rPr/>
        <w: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bookmarkStart w:id="62" w:name="ITEM12SECURITYOWNERSHIP_852208"/>
      <w:bookmarkEnd w:id="62"/>
      <w:r>
        <w:rPr>
          <w:rFonts w:ascii="Times New Roman;Times;serif" w:hAnsi="Times New Roman;Times;serif"/>
          <w:b/>
          <w:sz w:val="20"/>
        </w:rPr>
        <w:t>ITEM 12. SECURITY OWNERSHIP OF CERTAIN BENEFICIAL OWNERS AND MANAGEMENT AND</w:t>
      </w:r>
      <w:r>
        <w:rPr>
          <w:rFonts w:ascii="Times New Roman;Times;serif" w:hAnsi="Times New Roman;Times;serif"/>
          <w:sz w:val="20"/>
        </w:rPr>
        <w:t xml:space="preserve"> </w:t>
      </w:r>
      <w:r>
        <w:rPr>
          <w:rFonts w:ascii="Times New Roman;Times;serif" w:hAnsi="Times New Roman;Times;serif"/>
          <w:b/>
          <w:sz w:val="20"/>
        </w:rPr>
        <w:t>RELATED STOCKHOLDER MATTERS</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Equity Compensation Plan Information</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provides certain aggregate information, as of December 31, 2022 with respect to all of our equity compensation plans then in effect:</w:t>
      </w:r>
    </w:p>
    <w:p>
      <w:pPr>
        <w:pStyle w:val="TextBody"/>
        <w:spacing w:before="0" w:after="240"/>
        <w:ind w:left="0" w:right="0" w:hanging="0"/>
        <w:jc w:val="both"/>
        <w:rPr/>
      </w:pPr>
      <w:r>
        <w:rPr/>
        <w:t>​</w:t>
      </w:r>
    </w:p>
    <w:tbl>
      <w:tblPr>
        <w:tblW w:w="10205" w:type="dxa"/>
        <w:jc w:val="left"/>
        <w:tblInd w:w="0" w:type="dxa"/>
        <w:tblCellMar>
          <w:top w:w="0" w:type="dxa"/>
          <w:left w:w="0" w:type="dxa"/>
          <w:bottom w:w="0" w:type="dxa"/>
          <w:right w:w="0" w:type="dxa"/>
        </w:tblCellMar>
      </w:tblPr>
      <w:tblGrid>
        <w:gridCol w:w="5207"/>
        <w:gridCol w:w="326"/>
        <w:gridCol w:w="1318"/>
        <w:gridCol w:w="326"/>
        <w:gridCol w:w="427"/>
        <w:gridCol w:w="932"/>
        <w:gridCol w:w="326"/>
        <w:gridCol w:w="1343"/>
      </w:tblGrid>
      <w:tr>
        <w:trPr/>
        <w:tc>
          <w:tcPr>
            <w:tcW w:w="52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306445" cy="175260"/>
                      <wp:effectExtent l="0" t="0" r="0" b="0"/>
                      <wp:wrapNone/>
                      <wp:docPr id="46" name="Frame46"/>
                      <a:graphic xmlns:a="http://schemas.openxmlformats.org/drawingml/2006/main">
                        <a:graphicData uri="http://schemas.microsoft.com/office/word/2010/wordprocessingShape">
                          <wps:wsp>
                            <wps:cNvSpPr txBox="1"/>
                            <wps:spPr>
                              <a:xfrm>
                                <a:off x="0" y="0"/>
                                <a:ext cx="33064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836930" cy="175260"/>
                      <wp:effectExtent l="0" t="0" r="0" b="0"/>
                      <wp:wrapNone/>
                      <wp:docPr id="48" name="Frame48"/>
                      <a:graphic xmlns:a="http://schemas.openxmlformats.org/drawingml/2006/main">
                        <a:graphicData uri="http://schemas.microsoft.com/office/word/2010/wordprocessingShape">
                          <wps:wsp>
                            <wps:cNvSpPr txBox="1"/>
                            <wps:spPr>
                              <a:xfrm>
                                <a:off x="0" y="0"/>
                                <a:ext cx="8369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71145" cy="175260"/>
                      <wp:effectExtent l="0" t="0" r="0" b="0"/>
                      <wp:wrapNone/>
                      <wp:docPr id="50" name="Frame50"/>
                      <a:graphic xmlns:a="http://schemas.openxmlformats.org/drawingml/2006/main">
                        <a:graphicData uri="http://schemas.microsoft.com/office/word/2010/wordprocessingShape">
                          <wps:wsp>
                            <wps:cNvSpPr txBox="1"/>
                            <wps:spPr>
                              <a:xfrm>
                                <a:off x="0" y="0"/>
                                <a:ext cx="2711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91820" cy="175260"/>
                      <wp:effectExtent l="0" t="0" r="0" b="0"/>
                      <wp:wrapNone/>
                      <wp:docPr id="51" name="Frame51"/>
                      <a:graphic xmlns:a="http://schemas.openxmlformats.org/drawingml/2006/main">
                        <a:graphicData uri="http://schemas.microsoft.com/office/word/2010/wordprocessingShape">
                          <wps:wsp>
                            <wps:cNvSpPr txBox="1"/>
                            <wps:spPr>
                              <a:xfrm>
                                <a:off x="0" y="0"/>
                                <a:ext cx="5918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852805" cy="175260"/>
                      <wp:effectExtent l="0" t="0" r="0" b="0"/>
                      <wp:wrapNone/>
                      <wp:docPr id="53" name="Frame53"/>
                      <a:graphic xmlns:a="http://schemas.openxmlformats.org/drawingml/2006/main">
                        <a:graphicData uri="http://schemas.microsoft.com/office/word/2010/wordprocessingShape">
                          <wps:wsp>
                            <wps:cNvSpPr txBox="1"/>
                            <wps:spPr>
                              <a:xfrm>
                                <a:off x="0" y="0"/>
                                <a:ext cx="8528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20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31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427" w:type="dxa"/>
            <w:tcBorders/>
            <w:shd w:fill="auto" w:val="clear"/>
            <w:vAlign w:val="center"/>
          </w:tcPr>
          <w:p>
            <w:pPr>
              <w:pStyle w:val="TableContents"/>
              <w:spacing w:before="0" w:after="1"/>
              <w:ind w:left="0" w:right="0" w:hanging="0"/>
              <w:jc w:val="center"/>
              <w:rPr/>
            </w:pPr>
            <w:r>
              <w:rPr/>
              <w:t>​</w:t>
            </w:r>
          </w:p>
        </w:tc>
        <w:tc>
          <w:tcPr>
            <w:tcW w:w="93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343"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 of securities</w:t>
            </w:r>
          </w:p>
        </w:tc>
      </w:tr>
      <w:tr>
        <w:trPr/>
        <w:tc>
          <w:tcPr>
            <w:tcW w:w="520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1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427" w:type="dxa"/>
            <w:tcBorders/>
            <w:shd w:fill="auto" w:val="clear"/>
            <w:vAlign w:val="center"/>
          </w:tcPr>
          <w:p>
            <w:pPr>
              <w:pStyle w:val="TableContents"/>
              <w:spacing w:before="0" w:after="1"/>
              <w:ind w:left="0" w:right="0" w:hanging="0"/>
              <w:jc w:val="center"/>
              <w:rPr/>
            </w:pPr>
            <w:r>
              <w:rPr/>
              <w:t>​</w:t>
            </w:r>
          </w:p>
        </w:tc>
        <w:tc>
          <w:tcPr>
            <w:tcW w:w="93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343"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520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18"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427" w:type="dxa"/>
            <w:tcBorders/>
            <w:shd w:fill="auto" w:val="clear"/>
            <w:vAlign w:val="center"/>
          </w:tcPr>
          <w:p>
            <w:pPr>
              <w:pStyle w:val="TableContents"/>
              <w:spacing w:before="0" w:after="1"/>
              <w:ind w:left="0" w:right="0" w:hanging="0"/>
              <w:jc w:val="center"/>
              <w:rPr/>
            </w:pPr>
            <w:r>
              <w:rPr/>
              <w:t>​</w:t>
            </w:r>
          </w:p>
        </w:tc>
        <w:tc>
          <w:tcPr>
            <w:tcW w:w="93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343"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available for</w:t>
            </w:r>
          </w:p>
        </w:tc>
      </w:tr>
      <w:tr>
        <w:trPr/>
        <w:tc>
          <w:tcPr>
            <w:tcW w:w="520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1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 of securities</w:t>
            </w:r>
          </w:p>
        </w:tc>
        <w:tc>
          <w:tcPr>
            <w:tcW w:w="326" w:type="dxa"/>
            <w:tcBorders/>
            <w:shd w:fill="auto" w:val="clear"/>
            <w:vAlign w:val="center"/>
          </w:tcPr>
          <w:p>
            <w:pPr>
              <w:pStyle w:val="TableContents"/>
              <w:spacing w:before="0" w:after="1"/>
              <w:ind w:left="0" w:right="0" w:hanging="0"/>
              <w:rPr/>
            </w:pPr>
            <w:r>
              <w:rPr/>
              <w:t>​</w:t>
            </w:r>
          </w:p>
        </w:tc>
        <w:tc>
          <w:tcPr>
            <w:tcW w:w="427" w:type="dxa"/>
            <w:tcBorders/>
            <w:shd w:fill="auto" w:val="clear"/>
            <w:vAlign w:val="center"/>
          </w:tcPr>
          <w:p>
            <w:pPr>
              <w:pStyle w:val="TableContents"/>
              <w:spacing w:before="0" w:after="1"/>
              <w:ind w:left="0" w:right="0" w:hanging="0"/>
              <w:jc w:val="center"/>
              <w:rPr/>
            </w:pPr>
            <w:r>
              <w:rPr/>
              <w:t>​</w:t>
            </w:r>
          </w:p>
        </w:tc>
        <w:tc>
          <w:tcPr>
            <w:tcW w:w="93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343"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future issuance</w:t>
            </w:r>
          </w:p>
        </w:tc>
      </w:tr>
      <w:tr>
        <w:trPr/>
        <w:tc>
          <w:tcPr>
            <w:tcW w:w="520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1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 be issued upon</w:t>
            </w:r>
          </w:p>
        </w:tc>
        <w:tc>
          <w:tcPr>
            <w:tcW w:w="326" w:type="dxa"/>
            <w:tcBorders/>
            <w:shd w:fill="auto" w:val="clear"/>
            <w:vAlign w:val="center"/>
          </w:tcPr>
          <w:p>
            <w:pPr>
              <w:pStyle w:val="TableContents"/>
              <w:spacing w:before="0" w:after="1"/>
              <w:ind w:left="0" w:right="0" w:hanging="0"/>
              <w:rPr/>
            </w:pPr>
            <w:r>
              <w:rPr/>
              <w:t>​</w:t>
            </w:r>
          </w:p>
        </w:tc>
        <w:tc>
          <w:tcPr>
            <w:tcW w:w="1359"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1"/>
              <w:ind w:left="0" w:right="0" w:hanging="0"/>
              <w:rPr/>
            </w:pPr>
            <w:r>
              <w:rPr/>
              <w:t>​</w:t>
            </w:r>
          </w:p>
        </w:tc>
        <w:tc>
          <w:tcPr>
            <w:tcW w:w="1343"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under equity</w:t>
            </w:r>
          </w:p>
        </w:tc>
      </w:tr>
      <w:tr>
        <w:trPr/>
        <w:tc>
          <w:tcPr>
            <w:tcW w:w="520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1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of</w:t>
            </w:r>
          </w:p>
        </w:tc>
        <w:tc>
          <w:tcPr>
            <w:tcW w:w="326" w:type="dxa"/>
            <w:tcBorders/>
            <w:shd w:fill="auto" w:val="clear"/>
            <w:vAlign w:val="center"/>
          </w:tcPr>
          <w:p>
            <w:pPr>
              <w:pStyle w:val="TableContents"/>
              <w:spacing w:before="0" w:after="1"/>
              <w:ind w:left="0" w:right="0" w:hanging="0"/>
              <w:rPr/>
            </w:pPr>
            <w:r>
              <w:rPr/>
              <w:t>​</w:t>
            </w:r>
          </w:p>
        </w:tc>
        <w:tc>
          <w:tcPr>
            <w:tcW w:w="1359"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exercise</w:t>
            </w:r>
          </w:p>
        </w:tc>
        <w:tc>
          <w:tcPr>
            <w:tcW w:w="326" w:type="dxa"/>
            <w:tcBorders/>
            <w:shd w:fill="auto" w:val="clear"/>
            <w:vAlign w:val="center"/>
          </w:tcPr>
          <w:p>
            <w:pPr>
              <w:pStyle w:val="TableContents"/>
              <w:spacing w:before="0" w:after="1"/>
              <w:ind w:left="0" w:right="0" w:hanging="0"/>
              <w:rPr/>
            </w:pPr>
            <w:r>
              <w:rPr/>
              <w:t>​</w:t>
            </w:r>
          </w:p>
        </w:tc>
        <w:tc>
          <w:tcPr>
            <w:tcW w:w="1343"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r>
      <w:tr>
        <w:trPr/>
        <w:tc>
          <w:tcPr>
            <w:tcW w:w="520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1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shd w:fill="auto" w:val="clear"/>
            <w:vAlign w:val="center"/>
          </w:tcPr>
          <w:p>
            <w:pPr>
              <w:pStyle w:val="TableContents"/>
              <w:spacing w:before="0" w:after="1"/>
              <w:ind w:left="0" w:right="0" w:hanging="0"/>
              <w:rPr/>
            </w:pPr>
            <w:r>
              <w:rPr/>
              <w:t>​</w:t>
            </w:r>
          </w:p>
        </w:tc>
        <w:tc>
          <w:tcPr>
            <w:tcW w:w="1359"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of</w:t>
            </w:r>
          </w:p>
        </w:tc>
        <w:tc>
          <w:tcPr>
            <w:tcW w:w="326" w:type="dxa"/>
            <w:tcBorders/>
            <w:shd w:fill="auto" w:val="clear"/>
            <w:vAlign w:val="center"/>
          </w:tcPr>
          <w:p>
            <w:pPr>
              <w:pStyle w:val="TableContents"/>
              <w:spacing w:before="0" w:after="1"/>
              <w:ind w:left="0" w:right="0" w:hanging="0"/>
              <w:rPr/>
            </w:pPr>
            <w:r>
              <w:rPr/>
              <w:t>​</w:t>
            </w:r>
          </w:p>
        </w:tc>
        <w:tc>
          <w:tcPr>
            <w:tcW w:w="1343"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plans (excluding</w:t>
            </w:r>
          </w:p>
        </w:tc>
      </w:tr>
      <w:tr>
        <w:trPr/>
        <w:tc>
          <w:tcPr>
            <w:tcW w:w="520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1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shd w:fill="auto" w:val="clear"/>
            <w:vAlign w:val="center"/>
          </w:tcPr>
          <w:p>
            <w:pPr>
              <w:pStyle w:val="TableContents"/>
              <w:spacing w:before="0" w:after="1"/>
              <w:ind w:left="0" w:right="0" w:hanging="0"/>
              <w:rPr/>
            </w:pPr>
            <w:r>
              <w:rPr/>
              <w:t>​</w:t>
            </w:r>
          </w:p>
        </w:tc>
        <w:tc>
          <w:tcPr>
            <w:tcW w:w="1359"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shd w:fill="auto" w:val="clear"/>
            <w:vAlign w:val="center"/>
          </w:tcPr>
          <w:p>
            <w:pPr>
              <w:pStyle w:val="TableContents"/>
              <w:spacing w:before="0" w:after="1"/>
              <w:ind w:left="0" w:right="0" w:hanging="0"/>
              <w:rPr/>
            </w:pPr>
            <w:r>
              <w:rPr/>
              <w:t>​</w:t>
            </w:r>
          </w:p>
        </w:tc>
        <w:tc>
          <w:tcPr>
            <w:tcW w:w="1343"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w:t>
            </w:r>
          </w:p>
        </w:tc>
      </w:tr>
      <w:tr>
        <w:trPr/>
        <w:tc>
          <w:tcPr>
            <w:tcW w:w="5207"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18"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 and</w:t>
            </w:r>
          </w:p>
        </w:tc>
        <w:tc>
          <w:tcPr>
            <w:tcW w:w="326" w:type="dxa"/>
            <w:tcBorders/>
            <w:shd w:fill="auto" w:val="clear"/>
            <w:vAlign w:val="center"/>
          </w:tcPr>
          <w:p>
            <w:pPr>
              <w:pStyle w:val="TableContents"/>
              <w:spacing w:before="0" w:after="1"/>
              <w:ind w:left="0" w:right="0" w:hanging="0"/>
              <w:rPr/>
            </w:pPr>
            <w:r>
              <w:rPr/>
              <w:t>​</w:t>
            </w:r>
          </w:p>
        </w:tc>
        <w:tc>
          <w:tcPr>
            <w:tcW w:w="1359"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 warrants</w:t>
            </w:r>
          </w:p>
        </w:tc>
        <w:tc>
          <w:tcPr>
            <w:tcW w:w="326" w:type="dxa"/>
            <w:tcBorders/>
            <w:shd w:fill="auto" w:val="clear"/>
            <w:vAlign w:val="center"/>
          </w:tcPr>
          <w:p>
            <w:pPr>
              <w:pStyle w:val="TableContents"/>
              <w:spacing w:before="0" w:after="1"/>
              <w:ind w:left="0" w:right="0" w:hanging="0"/>
              <w:rPr/>
            </w:pPr>
            <w:r>
              <w:rPr/>
              <w:t>​</w:t>
            </w:r>
          </w:p>
        </w:tc>
        <w:tc>
          <w:tcPr>
            <w:tcW w:w="1343"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reflected in</w:t>
            </w:r>
          </w:p>
        </w:tc>
      </w:tr>
      <w:tr>
        <w:trPr/>
        <w:tc>
          <w:tcPr>
            <w:tcW w:w="5207"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Plan Category</w:t>
            </w:r>
          </w:p>
        </w:tc>
        <w:tc>
          <w:tcPr>
            <w:tcW w:w="326" w:type="dxa"/>
            <w:tcBorders/>
            <w:shd w:fill="auto" w:val="clear"/>
            <w:vAlign w:val="center"/>
          </w:tcPr>
          <w:p>
            <w:pPr>
              <w:pStyle w:val="TableContents"/>
              <w:spacing w:before="0" w:after="1"/>
              <w:ind w:left="0" w:right="0" w:hanging="0"/>
              <w:rPr/>
            </w:pPr>
            <w:r>
              <w:rPr/>
              <w:t>​</w:t>
            </w:r>
          </w:p>
        </w:tc>
        <w:tc>
          <w:tcPr>
            <w:tcW w:w="1318"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rights</w:t>
            </w:r>
          </w:p>
        </w:tc>
        <w:tc>
          <w:tcPr>
            <w:tcW w:w="326" w:type="dxa"/>
            <w:tcBorders/>
            <w:shd w:fill="auto" w:val="clear"/>
            <w:vAlign w:val="center"/>
          </w:tcPr>
          <w:p>
            <w:pPr>
              <w:pStyle w:val="TableContents"/>
              <w:spacing w:before="0" w:after="1"/>
              <w:ind w:left="0" w:right="0" w:hanging="0"/>
              <w:rPr/>
            </w:pPr>
            <w:r>
              <w:rPr/>
              <w:t>​</w:t>
            </w:r>
          </w:p>
        </w:tc>
        <w:tc>
          <w:tcPr>
            <w:tcW w:w="135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and rights ($)</w:t>
            </w:r>
          </w:p>
        </w:tc>
        <w:tc>
          <w:tcPr>
            <w:tcW w:w="326" w:type="dxa"/>
            <w:tcBorders/>
            <w:shd w:fill="auto" w:val="clear"/>
            <w:vAlign w:val="center"/>
          </w:tcPr>
          <w:p>
            <w:pPr>
              <w:pStyle w:val="TableContents"/>
              <w:spacing w:before="0" w:after="1"/>
              <w:ind w:left="0" w:right="0" w:hanging="0"/>
              <w:rPr/>
            </w:pPr>
            <w:r>
              <w:rPr/>
              <w:t>​</w:t>
            </w:r>
          </w:p>
        </w:tc>
        <w:tc>
          <w:tcPr>
            <w:tcW w:w="1343"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the first column)</w:t>
            </w:r>
          </w:p>
        </w:tc>
      </w:tr>
      <w:tr>
        <w:trPr/>
        <w:tc>
          <w:tcPr>
            <w:tcW w:w="5207"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 xml:space="preserve">Total equity compensation plans approved by security holders </w:t>
            </w:r>
            <w:r>
              <w:rPr>
                <w:rFonts w:ascii="Times New Roman;Times;serif" w:hAnsi="Times New Roman;Times;serif"/>
                <w:sz w:val="15"/>
              </w:rPr>
              <w:t>(1)</w:t>
            </w:r>
          </w:p>
        </w:tc>
        <w:tc>
          <w:tcPr>
            <w:tcW w:w="326" w:type="dxa"/>
            <w:tcBorders/>
            <w:shd w:fill="CCEEFF" w:val="clear"/>
            <w:vAlign w:val="center"/>
          </w:tcPr>
          <w:p>
            <w:pPr>
              <w:pStyle w:val="TableContents"/>
              <w:spacing w:before="0" w:after="1"/>
              <w:ind w:left="0" w:right="0" w:hanging="0"/>
              <w:rPr/>
            </w:pPr>
            <w:r>
              <w:rPr/>
              <w:t> </w:t>
            </w:r>
          </w:p>
        </w:tc>
        <w:tc>
          <w:tcPr>
            <w:tcW w:w="131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5,111,279</w:t>
            </w:r>
          </w:p>
        </w:tc>
        <w:tc>
          <w:tcPr>
            <w:tcW w:w="326" w:type="dxa"/>
            <w:tcBorders/>
            <w:shd w:fill="CCEEFF" w:val="clear"/>
            <w:vAlign w:val="center"/>
          </w:tcPr>
          <w:p>
            <w:pPr>
              <w:pStyle w:val="TableContents"/>
              <w:spacing w:before="0" w:after="1"/>
              <w:ind w:left="0" w:right="0" w:hanging="0"/>
              <w:rPr/>
            </w:pPr>
            <w:r>
              <w:rPr/>
              <w:t>​</w:t>
            </w:r>
          </w:p>
        </w:tc>
        <w:tc>
          <w:tcPr>
            <w:tcW w:w="42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2.42</w:t>
            </w:r>
          </w:p>
        </w:tc>
        <w:tc>
          <w:tcPr>
            <w:tcW w:w="326" w:type="dxa"/>
            <w:tcBorders/>
            <w:shd w:fill="CCEEFF" w:val="clear"/>
            <w:vAlign w:val="center"/>
          </w:tcPr>
          <w:p>
            <w:pPr>
              <w:pStyle w:val="TableContents"/>
              <w:spacing w:before="0" w:after="1"/>
              <w:ind w:left="0" w:right="0" w:hanging="0"/>
              <w:rPr/>
            </w:pPr>
            <w:r>
              <w:rPr/>
              <w:t> </w:t>
            </w:r>
          </w:p>
        </w:tc>
        <w:tc>
          <w:tcPr>
            <w:tcW w:w="1343" w:type="dxa"/>
            <w:tcBorders/>
            <w:shd w:fill="CCEEFF"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7,396,691</w:t>
            </w:r>
          </w:p>
        </w:tc>
      </w:tr>
    </w:tbl>
    <w:tbl>
      <w:tblPr>
        <w:tblW w:w="10205" w:type="dxa"/>
        <w:jc w:val="left"/>
        <w:tblInd w:w="0" w:type="dxa"/>
        <w:tblCellMar>
          <w:top w:w="0" w:type="dxa"/>
          <w:left w:w="0" w:type="dxa"/>
          <w:bottom w:w="0" w:type="dxa"/>
          <w:right w:w="0" w:type="dxa"/>
        </w:tblCellMar>
      </w:tblPr>
      <w:tblGrid>
        <w:gridCol w:w="297"/>
        <w:gridCol w:w="9908"/>
      </w:tblGrid>
      <w:tr>
        <w:trPr/>
        <w:tc>
          <w:tcPr>
            <w:tcW w:w="29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08"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 xml:space="preserve">These plans consist solely of the 2020 Plan, as approved by our Board of Directors in September 2020 and by our stockholders in October 2020. On October 4, 2022, shareholders approved </w:t>
            </w:r>
            <w:r>
              <w:rPr>
                <w:rFonts w:ascii="Times New Roman;Times;serif" w:hAnsi="Times New Roman;Times;serif"/>
                <w:b w:val="false"/>
                <w:i w:val="false"/>
                <w:caps w:val="false"/>
                <w:smallCaps w:val="false"/>
                <w:color w:val="212529"/>
                <w:sz w:val="20"/>
                <w:highlight w:val="white"/>
              </w:rPr>
              <w:t xml:space="preserve">the amendment to the Company’s 2020 Equity Incentive Plan to increase the number of shares authorized for issuance under the Plan by 7,500,000 shares of Common Stock to an aggregate of 12,500,000 shares. </w:t>
            </w:r>
            <w:r>
              <w:rPr>
                <w:rFonts w:ascii="Times New Roman;Times;serif" w:hAnsi="Times New Roman;Times;serif"/>
                <w:b w:val="false"/>
                <w:i w:val="false"/>
                <w:caps w:val="false"/>
                <w:smallCaps w:val="false"/>
                <w:sz w:val="20"/>
              </w:rPr>
              <w:t xml:space="preserve">Under the 2020 Equity Incentive Plan (the “2020 Plan”), a maximum of 7,396,691 shares of Common Stock remained available for issuance as of December 31, 2022. </w:t>
            </w:r>
          </w:p>
        </w:tc>
      </w:tr>
    </w:tbl>
    <w:p>
      <w:pPr>
        <w:pStyle w:val="TextBody"/>
        <w:spacing w:before="0" w:after="0"/>
        <w:ind w:left="360" w:right="0" w:hanging="0"/>
        <w:jc w:val="both"/>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Security Ownership of Certain Beneficial Owners and Management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certain information with respect to the beneficial ownership of Common Stock as of April 19, 2023 for (a) each stockholder known by us to own beneficially more than 5% of Common Stock, (b) each of our named executive officers, (c) each of our directors and director nominees, and (d) all of our current directors and executive officers as a group. Beneficial ownership is determined in accordance with the rules of the SEC and includes voting or investment power with respect to the securities. We deem shares of Common Stock that may be acquired by an individual or group within 60 days of April 19, 2023, pursuant to the exercise of options or warrants or the vesting of restricted stock units, as applicable, to be outstanding for the purpose of computing the percentage ownership of such individual or group, but not for the purpose of computing 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83,418,535 shares of Common Stock as of April 19, 2023.</w:t>
      </w:r>
    </w:p>
    <w:p>
      <w:pPr>
        <w:pStyle w:val="TextBody"/>
        <w:spacing w:before="0" w:after="240"/>
        <w:ind w:left="0" w:right="0" w:hanging="0"/>
        <w:jc w:val="both"/>
        <w:rPr/>
      </w:pPr>
      <w:r>
        <w:rPr/>
        <w:t>​</w:t>
      </w:r>
    </w:p>
    <w:tbl>
      <w:tblPr>
        <w:tblW w:w="7735" w:type="dxa"/>
        <w:jc w:val="left"/>
        <w:tblInd w:w="0" w:type="dxa"/>
        <w:tblCellMar>
          <w:top w:w="0" w:type="dxa"/>
          <w:left w:w="0" w:type="dxa"/>
          <w:bottom w:w="0" w:type="dxa"/>
          <w:right w:w="0" w:type="dxa"/>
        </w:tblCellMar>
      </w:tblPr>
      <w:tblGrid>
        <w:gridCol w:w="5146"/>
        <w:gridCol w:w="326"/>
        <w:gridCol w:w="946"/>
        <w:gridCol w:w="326"/>
        <w:gridCol w:w="991"/>
      </w:tblGrid>
      <w:tr>
        <w:trPr/>
        <w:tc>
          <w:tcPr>
            <w:tcW w:w="5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267710" cy="175260"/>
                      <wp:effectExtent l="0" t="0" r="0" b="0"/>
                      <wp:wrapNone/>
                      <wp:docPr id="54" name="Frame54"/>
                      <a:graphic xmlns:a="http://schemas.openxmlformats.org/drawingml/2006/main">
                        <a:graphicData uri="http://schemas.microsoft.com/office/word/2010/wordprocessingShape">
                          <wps:wsp>
                            <wps:cNvSpPr txBox="1"/>
                            <wps:spPr>
                              <a:xfrm>
                                <a:off x="0" y="0"/>
                                <a:ext cx="3267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00710" cy="175260"/>
                      <wp:effectExtent l="0" t="0" r="0" b="0"/>
                      <wp:wrapNone/>
                      <wp:docPr id="56" name="Frame56"/>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29285" cy="175260"/>
                      <wp:effectExtent l="0" t="0" r="0" b="0"/>
                      <wp:wrapNone/>
                      <wp:docPr id="58" name="Frame58"/>
                      <a:graphic xmlns:a="http://schemas.openxmlformats.org/drawingml/2006/main">
                        <a:graphicData uri="http://schemas.microsoft.com/office/word/2010/wordprocessingShape">
                          <wps:wsp>
                            <wps:cNvSpPr txBox="1"/>
                            <wps:spPr>
                              <a:xfrm>
                                <a:off x="0" y="0"/>
                                <a:ext cx="629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1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326" w:type="dxa"/>
            <w:tcBorders/>
            <w:shd w:fill="auto" w:val="clear"/>
            <w:vAlign w:val="center"/>
          </w:tcPr>
          <w:p>
            <w:pPr>
              <w:pStyle w:val="TableContents"/>
              <w:spacing w:before="0" w:after="1"/>
              <w:ind w:left="0" w:right="0" w:hanging="0"/>
              <w:jc w:val="center"/>
              <w:rPr/>
            </w:pPr>
            <w:r>
              <w:rPr/>
              <w:t>    </w:t>
            </w:r>
          </w:p>
        </w:tc>
        <w:tc>
          <w:tcPr>
            <w:tcW w:w="9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 of  </w:t>
            </w:r>
          </w:p>
        </w:tc>
      </w:tr>
      <w:tr>
        <w:trPr/>
        <w:tc>
          <w:tcPr>
            <w:tcW w:w="51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of </w:t>
            </w:r>
          </w:p>
        </w:tc>
        <w:tc>
          <w:tcPr>
            <w:tcW w:w="326" w:type="dxa"/>
            <w:tcBorders/>
            <w:shd w:fill="auto" w:val="clear"/>
            <w:vAlign w:val="center"/>
          </w:tcPr>
          <w:p>
            <w:pPr>
              <w:pStyle w:val="TableContents"/>
              <w:spacing w:before="0" w:after="1"/>
              <w:ind w:left="0" w:right="0" w:hanging="0"/>
              <w:jc w:val="center"/>
              <w:rPr/>
            </w:pPr>
            <w:r>
              <w:rPr/>
              <w:t>​</w:t>
            </w:r>
          </w:p>
        </w:tc>
        <w:tc>
          <w:tcPr>
            <w:tcW w:w="9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of  </w:t>
            </w:r>
          </w:p>
        </w:tc>
      </w:tr>
      <w:tr>
        <w:trPr/>
        <w:tc>
          <w:tcPr>
            <w:tcW w:w="51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w:t>
            </w:r>
          </w:p>
        </w:tc>
        <w:tc>
          <w:tcPr>
            <w:tcW w:w="326" w:type="dxa"/>
            <w:tcBorders/>
            <w:shd w:fill="auto" w:val="clear"/>
            <w:vAlign w:val="center"/>
          </w:tcPr>
          <w:p>
            <w:pPr>
              <w:pStyle w:val="TableContents"/>
              <w:spacing w:before="0" w:after="1"/>
              <w:ind w:left="0" w:right="0" w:hanging="0"/>
              <w:jc w:val="center"/>
              <w:rPr/>
            </w:pPr>
            <w:r>
              <w:rPr/>
              <w:t>​</w:t>
            </w:r>
          </w:p>
        </w:tc>
        <w:tc>
          <w:tcPr>
            <w:tcW w:w="9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w:t>
            </w:r>
          </w:p>
        </w:tc>
      </w:tr>
      <w:tr>
        <w:trPr/>
        <w:tc>
          <w:tcPr>
            <w:tcW w:w="51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w:t>
            </w:r>
          </w:p>
        </w:tc>
        <w:tc>
          <w:tcPr>
            <w:tcW w:w="326" w:type="dxa"/>
            <w:tcBorders/>
            <w:shd w:fill="auto" w:val="clear"/>
            <w:vAlign w:val="center"/>
          </w:tcPr>
          <w:p>
            <w:pPr>
              <w:pStyle w:val="TableContents"/>
              <w:spacing w:before="0" w:after="1"/>
              <w:ind w:left="0" w:right="0" w:hanging="0"/>
              <w:jc w:val="center"/>
              <w:rPr/>
            </w:pPr>
            <w:r>
              <w:rPr/>
              <w:t>​</w:t>
            </w:r>
          </w:p>
        </w:tc>
        <w:tc>
          <w:tcPr>
            <w:tcW w:w="9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w:t>
            </w:r>
          </w:p>
        </w:tc>
      </w:tr>
      <w:tr>
        <w:trPr/>
        <w:tc>
          <w:tcPr>
            <w:tcW w:w="51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4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Beneficially</w:t>
            </w:r>
          </w:p>
        </w:tc>
        <w:tc>
          <w:tcPr>
            <w:tcW w:w="326" w:type="dxa"/>
            <w:tcBorders/>
            <w:shd w:fill="auto" w:val="clear"/>
            <w:vAlign w:val="center"/>
          </w:tcPr>
          <w:p>
            <w:pPr>
              <w:pStyle w:val="TableContents"/>
              <w:spacing w:before="0" w:after="1"/>
              <w:ind w:left="0" w:right="0" w:hanging="0"/>
              <w:jc w:val="center"/>
              <w:rPr/>
            </w:pPr>
            <w:r>
              <w:rPr/>
              <w:t>​</w:t>
            </w:r>
          </w:p>
        </w:tc>
        <w:tc>
          <w:tcPr>
            <w:tcW w:w="9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Beneficially</w:t>
            </w:r>
          </w:p>
        </w:tc>
      </w:tr>
      <w:tr>
        <w:trPr/>
        <w:tc>
          <w:tcPr>
            <w:tcW w:w="5146" w:type="dxa"/>
            <w:tcBorders>
              <w:bottom w:val="single" w:sz="2" w:space="0" w:color="000000"/>
            </w:tcBorders>
            <w:shd w:fill="auto" w:val="clear"/>
            <w:tcMar>
              <w:bottom w:w="28" w:type="dxa"/>
            </w:tcMar>
            <w:vAlign w:val="center"/>
          </w:tcPr>
          <w:p>
            <w:pPr>
              <w:pStyle w:val="TableContents"/>
              <w:spacing w:lineRule="auto" w:line="240" w:before="0" w:after="1"/>
              <w:ind w:left="0" w:right="0" w:hanging="0"/>
              <w:rPr>
                <w:rFonts w:ascii="Times New Roman;Times;serif" w:hAnsi="Times New Roman;Times;serif"/>
                <w:sz w:val="16"/>
              </w:rPr>
            </w:pPr>
            <w:r>
              <w:rPr>
                <w:rFonts w:ascii="Times New Roman;Times;serif" w:hAnsi="Times New Roman;Times;serif"/>
                <w:b/>
                <w:sz w:val="16"/>
              </w:rPr>
              <w:t>Name and Address of Beneficial Owner</w:t>
            </w:r>
            <w:r>
              <w:rPr>
                <w:rFonts w:ascii="Times New Roman;Times;serif" w:hAnsi="Times New Roman;Times;serif"/>
                <w:b/>
                <w:sz w:val="12"/>
              </w:rPr>
              <w:t>(1)</w:t>
            </w:r>
          </w:p>
        </w:tc>
        <w:tc>
          <w:tcPr>
            <w:tcW w:w="326" w:type="dxa"/>
            <w:tcBorders/>
            <w:shd w:fill="auto" w:val="clear"/>
            <w:vAlign w:val="center"/>
          </w:tcPr>
          <w:p>
            <w:pPr>
              <w:pStyle w:val="TableContents"/>
              <w:spacing w:before="0" w:after="1"/>
              <w:ind w:left="0" w:right="0" w:hanging="0"/>
              <w:jc w:val="center"/>
              <w:rPr/>
            </w:pPr>
            <w:r>
              <w:rPr/>
              <w:t>​</w:t>
            </w:r>
          </w:p>
        </w:tc>
        <w:tc>
          <w:tcPr>
            <w:tcW w:w="94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Owned</w:t>
            </w:r>
          </w:p>
        </w:tc>
        <w:tc>
          <w:tcPr>
            <w:tcW w:w="326" w:type="dxa"/>
            <w:tcBorders/>
            <w:shd w:fill="auto" w:val="clear"/>
            <w:vAlign w:val="center"/>
          </w:tcPr>
          <w:p>
            <w:pPr>
              <w:pStyle w:val="TableContents"/>
              <w:spacing w:before="0" w:after="1"/>
              <w:ind w:left="0" w:right="0" w:hanging="0"/>
              <w:jc w:val="center"/>
              <w:rPr/>
            </w:pPr>
            <w:r>
              <w:rPr/>
              <w:t>​</w:t>
            </w:r>
          </w:p>
        </w:tc>
        <w:tc>
          <w:tcPr>
            <w:tcW w:w="991"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Owned</w:t>
            </w:r>
          </w:p>
        </w:tc>
      </w:tr>
      <w:tr>
        <w:trPr/>
        <w:tc>
          <w:tcPr>
            <w:tcW w:w="5146" w:type="dxa"/>
            <w:tcBorders/>
            <w:shd w:fill="CCEEFF" w:val="clear"/>
            <w:vAlign w:val="center"/>
          </w:tcPr>
          <w:p>
            <w:pPr>
              <w:pStyle w:val="TableContents"/>
              <w:spacing w:before="0" w:after="1"/>
              <w:ind w:left="0" w:right="0" w:hanging="0"/>
              <w:rPr>
                <w:rFonts w:ascii="Times New Roman;Times;serif" w:hAnsi="Times New Roman;Times;serif"/>
                <w:i/>
                <w:sz w:val="20"/>
              </w:rPr>
            </w:pPr>
            <w:r>
              <w:rPr>
                <w:rFonts w:ascii="Times New Roman;Times;serif" w:hAnsi="Times New Roman;Times;serif"/>
                <w:i/>
                <w:sz w:val="20"/>
              </w:rPr>
              <w:t>Five percent or more beneficial owners:</w:t>
            </w:r>
          </w:p>
        </w:tc>
        <w:tc>
          <w:tcPr>
            <w:tcW w:w="326" w:type="dxa"/>
            <w:tcBorders/>
            <w:shd w:fill="CCEEFF" w:val="clear"/>
            <w:vAlign w:val="center"/>
          </w:tcPr>
          <w:p>
            <w:pPr>
              <w:pStyle w:val="TableContents"/>
              <w:spacing w:before="0" w:after="1"/>
              <w:ind w:left="0" w:right="0" w:hanging="0"/>
              <w:jc w:val="center"/>
              <w:rPr/>
            </w:pPr>
            <w:r>
              <w:rPr/>
              <w:t>​</w:t>
            </w:r>
          </w:p>
        </w:tc>
        <w:tc>
          <w:tcPr>
            <w:tcW w:w="946"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jc w:val="center"/>
              <w:rPr/>
            </w:pPr>
            <w:r>
              <w:rPr/>
              <w:t>​</w:t>
            </w:r>
          </w:p>
        </w:tc>
        <w:tc>
          <w:tcPr>
            <w:tcW w:w="991" w:type="dxa"/>
            <w:tcBorders/>
            <w:shd w:fill="CCEEFF" w:val="clear"/>
            <w:vAlign w:val="center"/>
          </w:tcPr>
          <w:p>
            <w:pPr>
              <w:pStyle w:val="TableContents"/>
              <w:spacing w:before="0" w:after="1"/>
              <w:ind w:left="0" w:right="0" w:hanging="0"/>
              <w:jc w:val="center"/>
              <w:rPr/>
            </w:pPr>
            <w:r>
              <w:rPr/>
              <w:t>​</w:t>
            </w:r>
          </w:p>
        </w:tc>
      </w:tr>
      <w:tr>
        <w:trPr/>
        <w:tc>
          <w:tcPr>
            <w:tcW w:w="51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4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91" w:type="dxa"/>
            <w:tcBorders/>
            <w:shd w:fill="auto" w:val="clear"/>
            <w:vAlign w:val="center"/>
          </w:tcPr>
          <w:p>
            <w:pPr>
              <w:pStyle w:val="TableContents"/>
              <w:spacing w:before="0" w:after="1"/>
              <w:ind w:left="0" w:right="0" w:hanging="0"/>
              <w:jc w:val="center"/>
              <w:rPr/>
            </w:pPr>
            <w:r>
              <w:rPr/>
              <w:t>​</w:t>
            </w:r>
          </w:p>
        </w:tc>
      </w:tr>
      <w:tr>
        <w:trPr/>
        <w:tc>
          <w:tcPr>
            <w:tcW w:w="5146"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The Vanguard Group</w:t>
            </w:r>
            <w:r>
              <w:rPr>
                <w:rFonts w:ascii="Times New Roman;Times;serif" w:hAnsi="Times New Roman;Times;serif"/>
                <w:sz w:val="15"/>
              </w:rPr>
              <w:t>(2)</w:t>
            </w:r>
          </w:p>
        </w:tc>
        <w:tc>
          <w:tcPr>
            <w:tcW w:w="326" w:type="dxa"/>
            <w:tcBorders/>
            <w:shd w:fill="CCEEFF" w:val="clear"/>
            <w:vAlign w:val="center"/>
          </w:tcPr>
          <w:p>
            <w:pPr>
              <w:pStyle w:val="TableContents"/>
              <w:spacing w:before="0" w:after="1"/>
              <w:ind w:left="0" w:right="0" w:hanging="0"/>
              <w:jc w:val="center"/>
              <w:rPr/>
            </w:pPr>
            <w:r>
              <w:rPr/>
              <w:t>​</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4,862,523</w:t>
            </w:r>
          </w:p>
        </w:tc>
        <w:tc>
          <w:tcPr>
            <w:tcW w:w="326" w:type="dxa"/>
            <w:tcBorders/>
            <w:shd w:fill="CCEEFF" w:val="clear"/>
            <w:vAlign w:val="center"/>
          </w:tcPr>
          <w:p>
            <w:pPr>
              <w:pStyle w:val="TableContents"/>
              <w:spacing w:before="0" w:after="1"/>
              <w:ind w:left="0" w:right="0" w:hanging="0"/>
              <w:jc w:val="center"/>
              <w:rPr/>
            </w:pPr>
            <w:r>
              <w:rPr/>
              <w:t>​</w:t>
            </w:r>
          </w:p>
        </w:tc>
        <w:tc>
          <w:tcPr>
            <w:tcW w:w="9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51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4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91" w:type="dxa"/>
            <w:tcBorders/>
            <w:shd w:fill="auto" w:val="clear"/>
            <w:vAlign w:val="center"/>
          </w:tcPr>
          <w:p>
            <w:pPr>
              <w:pStyle w:val="TableContents"/>
              <w:spacing w:before="0" w:after="1"/>
              <w:ind w:left="0" w:right="0" w:hanging="0"/>
              <w:jc w:val="center"/>
              <w:rPr/>
            </w:pPr>
            <w:r>
              <w:rPr/>
              <w:t>​</w:t>
            </w:r>
          </w:p>
        </w:tc>
      </w:tr>
      <w:tr>
        <w:trPr/>
        <w:tc>
          <w:tcPr>
            <w:tcW w:w="5146" w:type="dxa"/>
            <w:tcBorders/>
            <w:shd w:fill="CCEEFF" w:val="clear"/>
            <w:vAlign w:val="center"/>
          </w:tcPr>
          <w:p>
            <w:pPr>
              <w:pStyle w:val="TableContents"/>
              <w:spacing w:before="0" w:after="1"/>
              <w:ind w:left="0" w:right="0" w:hanging="0"/>
              <w:rPr>
                <w:rFonts w:ascii="Times New Roman;Times;serif" w:hAnsi="Times New Roman;Times;serif"/>
                <w:i/>
                <w:sz w:val="20"/>
              </w:rPr>
            </w:pPr>
            <w:r>
              <w:rPr>
                <w:rFonts w:ascii="Times New Roman;Times;serif" w:hAnsi="Times New Roman;Times;serif"/>
                <w:i/>
                <w:sz w:val="20"/>
              </w:rPr>
              <w:t>Directors and named executive officers:</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991" w:type="dxa"/>
            <w:tcBorders/>
            <w:shd w:fill="CCEEFF" w:val="clear"/>
            <w:vAlign w:val="center"/>
          </w:tcPr>
          <w:p>
            <w:pPr>
              <w:pStyle w:val="TableContents"/>
              <w:spacing w:before="0" w:after="1"/>
              <w:ind w:left="0" w:right="0" w:hanging="0"/>
              <w:rPr/>
            </w:pPr>
            <w:r>
              <w:rPr/>
              <w:t>  </w:t>
            </w:r>
          </w:p>
        </w:tc>
      </w:tr>
      <w:tr>
        <w:trPr/>
        <w:tc>
          <w:tcPr>
            <w:tcW w:w="51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rPr/>
            </w:pPr>
            <w:r>
              <w:rPr/>
              <w:t>​</w:t>
            </w:r>
          </w:p>
        </w:tc>
      </w:tr>
      <w:tr>
        <w:trPr/>
        <w:tc>
          <w:tcPr>
            <w:tcW w:w="5146"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Scott Milford</w:t>
            </w:r>
            <w:r>
              <w:rPr>
                <w:rFonts w:ascii="Times New Roman;Times;serif" w:hAnsi="Times New Roman;Times;serif"/>
                <w:sz w:val="15"/>
              </w:rPr>
              <w:t>(3)</w:t>
            </w:r>
          </w:p>
        </w:tc>
        <w:tc>
          <w:tcPr>
            <w:tcW w:w="326" w:type="dxa"/>
            <w:tcBorders/>
            <w:shd w:fill="CCEEFF" w:val="clear"/>
            <w:vAlign w:val="center"/>
          </w:tcPr>
          <w:p>
            <w:pPr>
              <w:pStyle w:val="TableContents"/>
              <w:spacing w:before="0" w:after="1"/>
              <w:ind w:left="0" w:right="0" w:hanging="0"/>
              <w:rPr/>
            </w:pPr>
            <w:r>
              <w:rPr/>
              <w:t>​</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491,418</w:t>
            </w:r>
          </w:p>
        </w:tc>
        <w:tc>
          <w:tcPr>
            <w:tcW w:w="326" w:type="dxa"/>
            <w:tcBorders/>
            <w:shd w:fill="CCEEFF" w:val="clear"/>
            <w:vAlign w:val="center"/>
          </w:tcPr>
          <w:p>
            <w:pPr>
              <w:pStyle w:val="TableContents"/>
              <w:spacing w:before="0" w:after="1"/>
              <w:ind w:left="0" w:right="0" w:hanging="0"/>
              <w:rPr/>
            </w:pPr>
            <w:r>
              <w:rPr/>
              <w:t>​</w:t>
            </w:r>
          </w:p>
        </w:tc>
        <w:tc>
          <w:tcPr>
            <w:tcW w:w="9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5146"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Omar Haynes</w:t>
            </w:r>
            <w:r>
              <w:rPr>
                <w:rFonts w:ascii="Times New Roman;Times;serif" w:hAnsi="Times New Roman;Times;serif"/>
                <w:sz w:val="15"/>
              </w:rPr>
              <w:t>(4)</w:t>
            </w:r>
          </w:p>
        </w:tc>
        <w:tc>
          <w:tcPr>
            <w:tcW w:w="326" w:type="dxa"/>
            <w:tcBorders/>
            <w:shd w:fill="auto" w:val="clear"/>
            <w:vAlign w:val="center"/>
          </w:tcPr>
          <w:p>
            <w:pPr>
              <w:pStyle w:val="TableContents"/>
              <w:spacing w:before="0" w:after="1"/>
              <w:ind w:left="0" w:right="0" w:hanging="0"/>
              <w:rPr/>
            </w:pPr>
            <w:r>
              <w:rPr/>
              <w:t>​</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238,230</w:t>
            </w:r>
          </w:p>
        </w:tc>
        <w:tc>
          <w:tcPr>
            <w:tcW w:w="326"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5146"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Ezra Ernst</w:t>
            </w:r>
            <w:r>
              <w:rPr>
                <w:rFonts w:ascii="Times New Roman;Times;serif" w:hAnsi="Times New Roman;Times;serif"/>
                <w:sz w:val="15"/>
              </w:rPr>
              <w:t>(5)</w:t>
            </w:r>
          </w:p>
        </w:tc>
        <w:tc>
          <w:tcPr>
            <w:tcW w:w="326" w:type="dxa"/>
            <w:tcBorders/>
            <w:shd w:fill="CCEEFF" w:val="clear"/>
            <w:vAlign w:val="center"/>
          </w:tcPr>
          <w:p>
            <w:pPr>
              <w:pStyle w:val="TableContents"/>
              <w:spacing w:before="0" w:after="1"/>
              <w:ind w:left="0" w:right="0" w:hanging="0"/>
              <w:rPr/>
            </w:pPr>
            <w:r>
              <w:rPr/>
              <w:t>​</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380,935</w:t>
            </w:r>
          </w:p>
        </w:tc>
        <w:tc>
          <w:tcPr>
            <w:tcW w:w="326" w:type="dxa"/>
            <w:tcBorders/>
            <w:shd w:fill="CCEEFF" w:val="clear"/>
            <w:vAlign w:val="center"/>
          </w:tcPr>
          <w:p>
            <w:pPr>
              <w:pStyle w:val="TableContents"/>
              <w:spacing w:before="0" w:after="1"/>
              <w:ind w:left="0" w:right="0" w:hanging="0"/>
              <w:rPr/>
            </w:pPr>
            <w:r>
              <w:rPr/>
              <w:t>​</w:t>
            </w:r>
          </w:p>
        </w:tc>
        <w:tc>
          <w:tcPr>
            <w:tcW w:w="9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51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Douglas Satzman</w:t>
            </w:r>
          </w:p>
        </w:tc>
        <w:tc>
          <w:tcPr>
            <w:tcW w:w="326" w:type="dxa"/>
            <w:tcBorders/>
            <w:shd w:fill="auto" w:val="clear"/>
            <w:vAlign w:val="center"/>
          </w:tcPr>
          <w:p>
            <w:pPr>
              <w:pStyle w:val="TableContents"/>
              <w:spacing w:before="0" w:after="1"/>
              <w:ind w:left="0" w:right="0" w:hanging="0"/>
              <w:rPr/>
            </w:pPr>
            <w:r>
              <w:rPr/>
              <w:t>​</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779,093</w:t>
            </w:r>
          </w:p>
        </w:tc>
        <w:tc>
          <w:tcPr>
            <w:tcW w:w="326"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5146"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Bruce T. Bernstein</w:t>
            </w:r>
            <w:r>
              <w:rPr>
                <w:rFonts w:ascii="Times New Roman;Times;serif" w:hAnsi="Times New Roman;Times;serif"/>
                <w:sz w:val="15"/>
              </w:rPr>
              <w:t>(6)</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1,179,410</w:t>
            </w:r>
          </w:p>
        </w:tc>
        <w:tc>
          <w:tcPr>
            <w:tcW w:w="326" w:type="dxa"/>
            <w:tcBorders/>
            <w:shd w:fill="CCEEFF" w:val="clear"/>
            <w:vAlign w:val="center"/>
          </w:tcPr>
          <w:p>
            <w:pPr>
              <w:pStyle w:val="TableContents"/>
              <w:spacing w:before="0" w:after="1"/>
              <w:ind w:left="0" w:right="0" w:hanging="0"/>
              <w:rPr/>
            </w:pPr>
            <w:r>
              <w:rPr/>
              <w:t> </w:t>
            </w:r>
          </w:p>
        </w:tc>
        <w:tc>
          <w:tcPr>
            <w:tcW w:w="9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5146"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Donald E. Stout</w:t>
            </w:r>
            <w:r>
              <w:rPr>
                <w:rFonts w:ascii="Times New Roman;Times;serif" w:hAnsi="Times New Roman;Times;serif"/>
                <w:sz w:val="15"/>
              </w:rPr>
              <w:t>(7)</w:t>
            </w:r>
          </w:p>
        </w:tc>
        <w:tc>
          <w:tcPr>
            <w:tcW w:w="326" w:type="dxa"/>
            <w:tcBorders/>
            <w:shd w:fill="auto" w:val="clear"/>
            <w:vAlign w:val="center"/>
          </w:tcPr>
          <w:p>
            <w:pPr>
              <w:pStyle w:val="TableContents"/>
              <w:spacing w:before="0" w:after="1"/>
              <w:ind w:left="0" w:right="0" w:hanging="0"/>
              <w:rPr/>
            </w:pPr>
            <w:r>
              <w:rPr/>
              <w:t> </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387,971</w:t>
            </w:r>
          </w:p>
        </w:tc>
        <w:tc>
          <w:tcPr>
            <w:tcW w:w="326" w:type="dxa"/>
            <w:tcBorders/>
            <w:shd w:fill="auto" w:val="clear"/>
            <w:vAlign w:val="center"/>
          </w:tcPr>
          <w:p>
            <w:pPr>
              <w:pStyle w:val="TableContents"/>
              <w:spacing w:before="0" w:after="1"/>
              <w:ind w:left="0" w:right="0" w:hanging="0"/>
              <w:rPr/>
            </w:pPr>
            <w:r>
              <w:rPr/>
              <w:t> </w:t>
            </w:r>
          </w:p>
        </w:tc>
        <w:tc>
          <w:tcPr>
            <w:tcW w:w="9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5146"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Robert Weinstein</w:t>
            </w:r>
            <w:r>
              <w:rPr>
                <w:rFonts w:ascii="Times New Roman;Times;serif" w:hAnsi="Times New Roman;Times;serif"/>
                <w:sz w:val="15"/>
              </w:rPr>
              <w:t>(8)</w:t>
            </w:r>
          </w:p>
        </w:tc>
        <w:tc>
          <w:tcPr>
            <w:tcW w:w="326" w:type="dxa"/>
            <w:tcBorders/>
            <w:shd w:fill="CCEEFF" w:val="clear"/>
            <w:vAlign w:val="center"/>
          </w:tcPr>
          <w:p>
            <w:pPr>
              <w:pStyle w:val="TableContents"/>
              <w:spacing w:before="0" w:after="1"/>
              <w:ind w:left="0" w:right="0" w:hanging="0"/>
              <w:rPr/>
            </w:pPr>
            <w:r>
              <w:rPr/>
              <w:t> </w:t>
            </w:r>
          </w:p>
        </w:tc>
        <w:tc>
          <w:tcPr>
            <w:tcW w:w="9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333,104</w:t>
            </w:r>
          </w:p>
        </w:tc>
        <w:tc>
          <w:tcPr>
            <w:tcW w:w="326" w:type="dxa"/>
            <w:tcBorders/>
            <w:shd w:fill="CCEEFF" w:val="clear"/>
            <w:vAlign w:val="center"/>
          </w:tcPr>
          <w:p>
            <w:pPr>
              <w:pStyle w:val="TableContents"/>
              <w:spacing w:before="0" w:after="1"/>
              <w:ind w:left="0" w:right="0" w:hanging="0"/>
              <w:rPr/>
            </w:pPr>
            <w:r>
              <w:rPr/>
              <w:t> </w:t>
            </w:r>
          </w:p>
        </w:tc>
        <w:tc>
          <w:tcPr>
            <w:tcW w:w="9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5146"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Michael Lebowitz</w:t>
            </w:r>
            <w:r>
              <w:rPr>
                <w:rFonts w:ascii="Times New Roman;Times;serif" w:hAnsi="Times New Roman;Times;serif"/>
                <w:sz w:val="15"/>
              </w:rPr>
              <w:t>(9)</w:t>
            </w:r>
          </w:p>
        </w:tc>
        <w:tc>
          <w:tcPr>
            <w:tcW w:w="326" w:type="dxa"/>
            <w:tcBorders/>
            <w:shd w:fill="auto" w:val="clear"/>
            <w:vAlign w:val="center"/>
          </w:tcPr>
          <w:p>
            <w:pPr>
              <w:pStyle w:val="TableContents"/>
              <w:spacing w:before="0" w:after="1"/>
              <w:ind w:left="0" w:right="0" w:hanging="0"/>
              <w:rPr/>
            </w:pPr>
            <w:r>
              <w:rPr/>
              <w:t> </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474,437</w:t>
            </w:r>
          </w:p>
        </w:tc>
        <w:tc>
          <w:tcPr>
            <w:tcW w:w="326" w:type="dxa"/>
            <w:tcBorders/>
            <w:shd w:fill="auto" w:val="clear"/>
            <w:vAlign w:val="center"/>
          </w:tcPr>
          <w:p>
            <w:pPr>
              <w:pStyle w:val="TableContents"/>
              <w:spacing w:before="0" w:after="1"/>
              <w:ind w:left="0" w:right="0" w:hanging="0"/>
              <w:rPr/>
            </w:pPr>
            <w:r>
              <w:rPr/>
              <w:t> </w:t>
            </w:r>
          </w:p>
        </w:tc>
        <w:tc>
          <w:tcPr>
            <w:tcW w:w="9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514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94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9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5146"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All current directors and officers as a group (7 individuals)</w:t>
            </w:r>
            <w:r>
              <w:rPr>
                <w:rFonts w:ascii="Times New Roman;Times;serif" w:hAnsi="Times New Roman;Times;serif"/>
                <w:sz w:val="15"/>
              </w:rPr>
              <w:t>(10)</w:t>
            </w:r>
            <w:r>
              <w:rPr>
                <w:rFonts w:ascii="Times New Roman;Times;serif" w:hAnsi="Times New Roman;Times;serif"/>
                <w:sz w:val="20"/>
              </w:rPr>
              <w:t>:</w:t>
            </w:r>
          </w:p>
        </w:tc>
        <w:tc>
          <w:tcPr>
            <w:tcW w:w="326" w:type="dxa"/>
            <w:tcBorders/>
            <w:shd w:fill="auto" w:val="clear"/>
            <w:vAlign w:val="center"/>
          </w:tcPr>
          <w:p>
            <w:pPr>
              <w:pStyle w:val="TableContents"/>
              <w:spacing w:before="0" w:after="1"/>
              <w:ind w:left="0" w:right="0" w:hanging="0"/>
              <w:rPr/>
            </w:pPr>
            <w:r>
              <w:rPr/>
              <w:t> </w:t>
            </w:r>
          </w:p>
        </w:tc>
        <w:tc>
          <w:tcPr>
            <w:tcW w:w="9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3,485,505</w:t>
            </w:r>
          </w:p>
        </w:tc>
        <w:tc>
          <w:tcPr>
            <w:tcW w:w="326" w:type="dxa"/>
            <w:tcBorders/>
            <w:shd w:fill="auto" w:val="clear"/>
            <w:vAlign w:val="center"/>
          </w:tcPr>
          <w:p>
            <w:pPr>
              <w:pStyle w:val="TableContents"/>
              <w:spacing w:before="0" w:after="1"/>
              <w:ind w:left="0" w:right="0" w:hanging="0"/>
              <w:rPr/>
            </w:pPr>
            <w:r>
              <w:rPr/>
              <w:t> </w:t>
            </w:r>
          </w:p>
        </w:tc>
        <w:tc>
          <w:tcPr>
            <w:tcW w:w="991" w:type="dxa"/>
            <w:tcBorders/>
            <w:shd w:fill="auto"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4.2%</w:t>
            </w:r>
          </w:p>
        </w:tc>
      </w:tr>
    </w:tbl>
    <w:tbl>
      <w:tblPr>
        <w:tblW w:w="1457" w:type="dxa"/>
        <w:jc w:val="left"/>
        <w:tblInd w:w="0" w:type="dxa"/>
        <w:tblCellMar>
          <w:top w:w="0" w:type="dxa"/>
          <w:left w:w="0" w:type="dxa"/>
          <w:bottom w:w="0" w:type="dxa"/>
          <w:right w:w="0" w:type="dxa"/>
        </w:tblCellMar>
      </w:tblPr>
      <w:tblGrid>
        <w:gridCol w:w="226"/>
        <w:gridCol w:w="1231"/>
      </w:tblGrid>
      <w:tr>
        <w:trPr/>
        <w:tc>
          <w:tcPr>
            <w:tcW w:w="226"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w:t>
            </w:r>
          </w:p>
        </w:tc>
        <w:tc>
          <w:tcPr>
            <w:tcW w:w="1231"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Less than 1%</w:t>
            </w:r>
          </w:p>
        </w:tc>
      </w:tr>
    </w:tbl>
    <w:tbl>
      <w:tblPr>
        <w:tblW w:w="10205" w:type="dxa"/>
        <w:jc w:val="left"/>
        <w:tblInd w:w="0" w:type="dxa"/>
        <w:tblCellMar>
          <w:top w:w="0" w:type="dxa"/>
          <w:left w:w="0" w:type="dxa"/>
          <w:bottom w:w="0" w:type="dxa"/>
          <w:right w:w="0" w:type="dxa"/>
        </w:tblCellMar>
      </w:tblPr>
      <w:tblGrid>
        <w:gridCol w:w="335"/>
        <w:gridCol w:w="9870"/>
      </w:tblGrid>
      <w:tr>
        <w:trPr/>
        <w:tc>
          <w:tcPr>
            <w:tcW w:w="3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8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business address of the individuals is c/o XWELL, Inc., 254 West 31st Street, 11th Floor, New York, NY 10001.</w:t>
            </w:r>
          </w:p>
        </w:tc>
      </w:tr>
    </w:tbl>
    <w:tbl>
      <w:tblPr>
        <w:tblW w:w="10205" w:type="dxa"/>
        <w:jc w:val="left"/>
        <w:tblInd w:w="0" w:type="dxa"/>
        <w:tblCellMar>
          <w:top w:w="0" w:type="dxa"/>
          <w:left w:w="0" w:type="dxa"/>
          <w:bottom w:w="0" w:type="dxa"/>
          <w:right w:w="0" w:type="dxa"/>
        </w:tblCellMar>
      </w:tblPr>
      <w:tblGrid>
        <w:gridCol w:w="310"/>
        <w:gridCol w:w="9895"/>
      </w:tblGrid>
      <w:tr>
        <w:trPr/>
        <w:tc>
          <w:tcPr>
            <w:tcW w:w="3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895"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 xml:space="preserve">Based on Form SC 13G filed by </w:t>
            </w:r>
            <w:r>
              <w:rPr>
                <w:rFonts w:ascii="Times New Roman;Times;serif" w:hAnsi="Times New Roman;Times;serif"/>
                <w:b w:val="false"/>
                <w:i w:val="false"/>
                <w:caps w:val="false"/>
                <w:smallCaps w:val="false"/>
                <w:sz w:val="19"/>
              </w:rPr>
              <w:t xml:space="preserve">The Vanguard Group </w:t>
            </w:r>
            <w:r>
              <w:rPr>
                <w:rFonts w:ascii="Times New Roman;Times;serif" w:hAnsi="Times New Roman;Times;serif"/>
                <w:b w:val="false"/>
                <w:i w:val="false"/>
                <w:caps w:val="false"/>
                <w:smallCaps w:val="false"/>
                <w:sz w:val="20"/>
              </w:rPr>
              <w:t xml:space="preserve">with the SEC on February 9, 2023, which reported 4,862,523 shares of Common Stock ownership as of December 30, 2022.  The principal business address of </w:t>
            </w:r>
            <w:r>
              <w:rPr>
                <w:rFonts w:ascii="Times New Roman;Times;serif" w:hAnsi="Times New Roman;Times;serif"/>
                <w:b w:val="false"/>
                <w:i w:val="false"/>
                <w:caps w:val="false"/>
                <w:smallCaps w:val="false"/>
                <w:sz w:val="19"/>
              </w:rPr>
              <w:t xml:space="preserve">The Vanguard Group </w:t>
            </w:r>
            <w:r>
              <w:rPr>
                <w:rFonts w:ascii="Times New Roman;Times;serif" w:hAnsi="Times New Roman;Times;serif"/>
                <w:b w:val="false"/>
                <w:i w:val="false"/>
                <w:caps w:val="false"/>
                <w:smallCaps w:val="false"/>
                <w:sz w:val="20"/>
              </w:rPr>
              <w:t xml:space="preserve">is </w:t>
            </w:r>
            <w:r>
              <w:rPr>
                <w:rFonts w:ascii="Times New Roman;Times;serif" w:hAnsi="Times New Roman;Times;serif"/>
                <w:b w:val="false"/>
                <w:i w:val="false"/>
                <w:caps w:val="false"/>
                <w:smallCaps w:val="false"/>
                <w:sz w:val="19"/>
              </w:rPr>
              <w:t>100 Vanguard Blvd.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19"/>
              </w:rPr>
              <w:t>Malvern, PA 19355.</w:t>
            </w:r>
          </w:p>
        </w:tc>
      </w:tr>
    </w:tbl>
    <w:tbl>
      <w:tblPr>
        <w:tblW w:w="10205" w:type="dxa"/>
        <w:jc w:val="left"/>
        <w:tblInd w:w="0" w:type="dxa"/>
        <w:tblCellMar>
          <w:top w:w="0" w:type="dxa"/>
          <w:left w:w="0" w:type="dxa"/>
          <w:bottom w:w="0" w:type="dxa"/>
          <w:right w:w="0" w:type="dxa"/>
        </w:tblCellMar>
      </w:tblPr>
      <w:tblGrid>
        <w:gridCol w:w="317"/>
        <w:gridCol w:w="9888"/>
      </w:tblGrid>
      <w:tr>
        <w:trPr/>
        <w:tc>
          <w:tcPr>
            <w:tcW w:w="31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88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includes 41,155 shares of Common Stock and options to purchase 450,263 shares of Common Stock, which are exercisable within 60 days of April 19, 2023.</w:t>
            </w:r>
          </w:p>
        </w:tc>
      </w:tr>
    </w:tbl>
    <w:tbl>
      <w:tblPr>
        <w:tblW w:w="10205" w:type="dxa"/>
        <w:jc w:val="left"/>
        <w:tblInd w:w="0" w:type="dxa"/>
        <w:tblCellMar>
          <w:top w:w="0" w:type="dxa"/>
          <w:left w:w="0" w:type="dxa"/>
          <w:bottom w:w="0" w:type="dxa"/>
          <w:right w:w="0" w:type="dxa"/>
        </w:tblCellMar>
      </w:tblPr>
      <w:tblGrid>
        <w:gridCol w:w="313"/>
        <w:gridCol w:w="9892"/>
      </w:tblGrid>
      <w:tr>
        <w:trPr/>
        <w:tc>
          <w:tcPr>
            <w:tcW w:w="31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989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includes 100,548 shares of Common Stock and Restricted Stock Units and options to purchase 137,682 shares of Common Stock, which are exercisable within 60 days of April 19, 2023.</w:t>
            </w:r>
          </w:p>
        </w:tc>
      </w:tr>
    </w:tbl>
    <w:tbl>
      <w:tblPr>
        <w:tblW w:w="10205" w:type="dxa"/>
        <w:jc w:val="left"/>
        <w:tblInd w:w="0" w:type="dxa"/>
        <w:tblCellMar>
          <w:top w:w="0" w:type="dxa"/>
          <w:left w:w="0" w:type="dxa"/>
          <w:bottom w:w="0" w:type="dxa"/>
          <w:right w:w="0" w:type="dxa"/>
        </w:tblCellMar>
      </w:tblPr>
      <w:tblGrid>
        <w:gridCol w:w="317"/>
        <w:gridCol w:w="9888"/>
      </w:tblGrid>
      <w:tr>
        <w:trPr/>
        <w:tc>
          <w:tcPr>
            <w:tcW w:w="31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988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includes 22,602 shares of Common Stock and options to purchase 358,333 shares of Common Stock, which are exercisable within 60 days of April 19, 2023.</w:t>
            </w:r>
          </w:p>
        </w:tc>
      </w:tr>
    </w:tbl>
    <w:tbl>
      <w:tblPr>
        <w:tblW w:w="10205" w:type="dxa"/>
        <w:jc w:val="left"/>
        <w:tblInd w:w="0" w:type="dxa"/>
        <w:tblCellMar>
          <w:top w:w="0" w:type="dxa"/>
          <w:left w:w="0" w:type="dxa"/>
          <w:bottom w:w="0" w:type="dxa"/>
          <w:right w:w="0" w:type="dxa"/>
        </w:tblCellMar>
      </w:tblPr>
      <w:tblGrid>
        <w:gridCol w:w="317"/>
        <w:gridCol w:w="9888"/>
      </w:tblGrid>
      <w:tr>
        <w:trPr/>
        <w:tc>
          <w:tcPr>
            <w:tcW w:w="31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w:t>
            </w:r>
          </w:p>
        </w:tc>
        <w:tc>
          <w:tcPr>
            <w:tcW w:w="988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includes 779,128 shares of Common Stock and options to purchase 400,282 shares of Common Stock, which are exercisable within 60 days of April 19, 2023.</w:t>
            </w:r>
          </w:p>
        </w:tc>
      </w:tr>
    </w:tbl>
    <w:tbl>
      <w:tblPr>
        <w:tblW w:w="10205" w:type="dxa"/>
        <w:jc w:val="left"/>
        <w:tblInd w:w="0" w:type="dxa"/>
        <w:tblCellMar>
          <w:top w:w="0" w:type="dxa"/>
          <w:left w:w="0" w:type="dxa"/>
          <w:bottom w:w="0" w:type="dxa"/>
          <w:right w:w="0" w:type="dxa"/>
        </w:tblCellMar>
      </w:tblPr>
      <w:tblGrid>
        <w:gridCol w:w="317"/>
        <w:gridCol w:w="9888"/>
      </w:tblGrid>
      <w:tr>
        <w:trPr/>
        <w:tc>
          <w:tcPr>
            <w:tcW w:w="31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(7)</w:t>
            </w:r>
          </w:p>
        </w:tc>
        <w:tc>
          <w:tcPr>
            <w:tcW w:w="988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includes 159,485 shares of Common Stock and options to purchase 228,426 shares of Common Stock, which are exercisable within 60 days of April 19, 2023.</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317"/>
        <w:gridCol w:w="9888"/>
      </w:tblGrid>
      <w:tr>
        <w:trPr/>
        <w:tc>
          <w:tcPr>
            <w:tcW w:w="31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(8)</w:t>
            </w:r>
          </w:p>
        </w:tc>
        <w:tc>
          <w:tcPr>
            <w:tcW w:w="988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of Common Stock beneficially owned includes 106,485 shares of Common Stock and options to purchase 226,619 shares of Common Stock, which are exercisable within 60 days of April 19, 2023. </w:t>
            </w:r>
          </w:p>
        </w:tc>
      </w:tr>
    </w:tbl>
    <w:tbl>
      <w:tblPr>
        <w:tblW w:w="10205" w:type="dxa"/>
        <w:jc w:val="left"/>
        <w:tblInd w:w="0" w:type="dxa"/>
        <w:tblCellMar>
          <w:top w:w="0" w:type="dxa"/>
          <w:left w:w="0" w:type="dxa"/>
          <w:bottom w:w="0" w:type="dxa"/>
          <w:right w:w="0" w:type="dxa"/>
        </w:tblCellMar>
      </w:tblPr>
      <w:tblGrid>
        <w:gridCol w:w="316"/>
        <w:gridCol w:w="9889"/>
      </w:tblGrid>
      <w:tr>
        <w:trPr/>
        <w:tc>
          <w:tcPr>
            <w:tcW w:w="31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(9)</w:t>
            </w:r>
          </w:p>
        </w:tc>
        <w:tc>
          <w:tcPr>
            <w:tcW w:w="988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beneficially owned includes 259,485 vested shares of Common Stock and options to purchase 214,952 shares of Common Stock, which are exercisable within 60 days of April 19, 2022.</w:t>
            </w:r>
          </w:p>
        </w:tc>
      </w:tr>
    </w:tbl>
    <w:tbl>
      <w:tblPr>
        <w:tblW w:w="2972" w:type="dxa"/>
        <w:jc w:val="left"/>
        <w:tblInd w:w="0" w:type="dxa"/>
        <w:tblCellMar>
          <w:top w:w="0" w:type="dxa"/>
          <w:left w:w="0" w:type="dxa"/>
          <w:bottom w:w="0" w:type="dxa"/>
          <w:right w:w="0" w:type="dxa"/>
        </w:tblCellMar>
      </w:tblPr>
      <w:tblGrid>
        <w:gridCol w:w="451"/>
        <w:gridCol w:w="2521"/>
      </w:tblGrid>
      <w:tr>
        <w:trPr/>
        <w:tc>
          <w:tcPr>
            <w:tcW w:w="45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w:t>
            </w:r>
          </w:p>
        </w:tc>
        <w:tc>
          <w:tcPr>
            <w:tcW w:w="252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footnotes (3) through (9).</w:t>
            </w:r>
          </w:p>
        </w:tc>
      </w:tr>
    </w:tbl>
    <w:p>
      <w:pPr>
        <w:pStyle w:val="TextBody"/>
        <w:spacing w:before="0" w:after="0"/>
        <w:ind w:left="360" w:right="0" w:hanging="0"/>
        <w:jc w:val="both"/>
        <w:rPr/>
      </w:pPr>
      <w:r>
        <w:rPr/>
        <w:t>​</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bookmarkStart w:id="63" w:name="ITEM13CERTAINRELATIONSHIPS_17893"/>
      <w:bookmarkStart w:id="64" w:name="_c5b52e16_80a7_4efd_aeb6_e5ccef5175f9"/>
      <w:bookmarkEnd w:id="63"/>
      <w:bookmarkEnd w:id="64"/>
      <w:r>
        <w:rPr>
          <w:rFonts w:ascii="Times New Roman;Times;serif" w:hAnsi="Times New Roman;Times;serif"/>
          <w:b/>
          <w:sz w:val="20"/>
        </w:rPr>
        <w:t>ITEM 13. CERTAIN RELATIONSHIPS AND RELATED TRANSACTIONS, AND DIRECTOR INDEPENDENCE.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Related Person Transactions Approval Policy</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All related party transactions must be approved by our Audit Committee or a majority of our independent directors who do not have an interest in the transaction and who will have access, at our expense, to our independent legal counsel.</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Transactions with Related Persons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Director Independence and Committee Qualifications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Board of Directors has reviewed the materiality of any relationship that each of our directors has with us, either directly or indirectly. Based upon this review, we believe that Messrs. Bernstein, Weinstein, Stout, and Lebowitz qualify as independent directors in accordance with the standards set by Nasdaq, as well as Rule 10A-3 promulgated under the Exchange Act. Accordingly, our Board of Directors is comprised of a majority of independent directors as required by Nasdaq rules. Our Board of Directors has also determined that each member of the Audit Committee, the Compensation Committee and the Nominating and Corporate Governance Committee meets the independence requirements applicable to each such committee member prescribed by Nasdaq and the SEC. Our Board of Directors has further determined that Messrs. Bernstein and Weinstein are “audit committee financial experts” as defined in the rules of the SEC.</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bookmarkStart w:id="65" w:name="ITEM14PRINCIPALACCOUNTINGFEESANDSERVICES"/>
      <w:bookmarkStart w:id="66" w:name="_04da0376_a70d_4f21_94ce_01444d76b45f"/>
      <w:bookmarkEnd w:id="65"/>
      <w:bookmarkEnd w:id="66"/>
      <w:r>
        <w:rPr>
          <w:rFonts w:ascii="Times New Roman;Times;serif" w:hAnsi="Times New Roman;Times;serif"/>
          <w:b/>
          <w:sz w:val="20"/>
        </w:rPr>
        <w:t>ITEM 14. PRINCIPAL ACCOUNTANT FEES AND SERVICES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On May 4, 2020, we approved the engagement of Friedman LLP (“Friedman”) as our independent registered public accounting firm for the fiscal year ended December 31, 2020. We continued to engage Friedman as our independent registered public accounting firm for the fiscal years ended December 31, 2022 and 2021. This selection was ratified by our stockholders at the 2020, 2021 and 2022 annual meetings held on October 28, 2020, September 30, 2021 and October 4, 2022. In deciding to select Friedman, the Audit Committee carefully considered the qualifications of Friedman, including their reputation for integrity, quality, and competence in the fields of accounting and auditing. Effective September 1, 2022, Friedman combined with Marcum LLP (“Marcum”), and Marcum became our Auditors as of October 4, 2022, following the approval of their engagement by our Audit Committee. Further, the Audit Committee reviewed auditor independence issues and existing commercial relationships with Marcum and Friedman. The Audit Committee concluded that independence of Marcum and Friedman was not impaired for the fiscal years ended December 31, 2022, and 2021. For the fiscal years ended December 31, 2022, and 2021, we incurred the following fees for the services of Marcum and Friedman:</w:t>
      </w:r>
    </w:p>
    <w:p>
      <w:pPr>
        <w:pStyle w:val="TextBody"/>
        <w:spacing w:before="0" w:after="240"/>
        <w:ind w:left="0" w:right="0" w:hanging="0"/>
        <w:jc w:val="both"/>
        <w:rPr/>
      </w:pPr>
      <w:r>
        <w:rPr/>
        <w:t>​</w:t>
      </w:r>
    </w:p>
    <w:tbl>
      <w:tblPr>
        <w:tblW w:w="4512" w:type="dxa"/>
        <w:jc w:val="left"/>
        <w:tblInd w:w="0" w:type="dxa"/>
        <w:tblCellMar>
          <w:top w:w="0" w:type="dxa"/>
          <w:left w:w="0" w:type="dxa"/>
          <w:bottom w:w="0" w:type="dxa"/>
          <w:right w:w="0" w:type="dxa"/>
        </w:tblCellMar>
      </w:tblPr>
      <w:tblGrid>
        <w:gridCol w:w="1771"/>
        <w:gridCol w:w="326"/>
        <w:gridCol w:w="211"/>
        <w:gridCol w:w="781"/>
        <w:gridCol w:w="326"/>
        <w:gridCol w:w="211"/>
        <w:gridCol w:w="886"/>
      </w:tblGrid>
      <w:tr>
        <w:trPr/>
        <w:tc>
          <w:tcPr>
            <w:tcW w:w="17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124585" cy="175260"/>
                      <wp:effectExtent l="0" t="0" r="0" b="0"/>
                      <wp:wrapNone/>
                      <wp:docPr id="59" name="Frame59"/>
                      <a:graphic xmlns:a="http://schemas.openxmlformats.org/drawingml/2006/main">
                        <a:graphicData uri="http://schemas.microsoft.com/office/word/2010/wordprocessingShape">
                          <wps:wsp>
                            <wps:cNvSpPr txBox="1"/>
                            <wps:spPr>
                              <a:xfrm>
                                <a:off x="0" y="0"/>
                                <a:ext cx="1124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1" name="Frame6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495935" cy="175260"/>
                      <wp:effectExtent l="0" t="0" r="0" b="0"/>
                      <wp:wrapNone/>
                      <wp:docPr id="62" name="Frame6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62610" cy="175260"/>
                      <wp:effectExtent l="0" t="0" r="0" b="0"/>
                      <wp:wrapNone/>
                      <wp:docPr id="65" name="Frame65"/>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7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109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17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886" w:type="dxa"/>
            <w:tcBorders/>
            <w:shd w:fill="auto" w:val="clear"/>
            <w:vAlign w:val="center"/>
          </w:tcPr>
          <w:p>
            <w:pPr>
              <w:pStyle w:val="TableContents"/>
              <w:spacing w:before="0" w:after="1"/>
              <w:ind w:left="0" w:right="0" w:hanging="0"/>
              <w:jc w:val="center"/>
              <w:rPr/>
            </w:pPr>
            <w:r>
              <w:rPr/>
              <w:t>​</w:t>
            </w:r>
          </w:p>
        </w:tc>
      </w:tr>
      <w:tr>
        <w:trPr/>
        <w:tc>
          <w:tcPr>
            <w:tcW w:w="1771" w:type="dxa"/>
            <w:tcBorders/>
            <w:shd w:fill="CCEEFF" w:val="clear"/>
            <w:vAlign w:val="center"/>
          </w:tcPr>
          <w:p>
            <w:pPr>
              <w:pStyle w:val="TableContents"/>
              <w:spacing w:before="0" w:after="1"/>
              <w:ind w:left="0" w:right="0" w:hanging="0"/>
              <w:rPr>
                <w:rFonts w:ascii="Times New Roman;Times;serif" w:hAnsi="Times New Roman;Times;serif"/>
                <w:b/>
                <w:i/>
                <w:sz w:val="20"/>
              </w:rPr>
            </w:pPr>
            <w:r>
              <w:rPr>
                <w:rFonts w:ascii="Times New Roman;Times;serif" w:hAnsi="Times New Roman;Times;serif"/>
                <w:b/>
                <w:i/>
                <w:sz w:val="20"/>
              </w:rPr>
              <w:t>Friedman/Marcum:</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center"/>
              <w:rPr/>
            </w:pPr>
            <w:r>
              <w:rPr/>
              <w:t>​</w:t>
            </w:r>
          </w:p>
        </w:tc>
        <w:tc>
          <w:tcPr>
            <w:tcW w:w="78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center"/>
              <w:rPr/>
            </w:pPr>
            <w:r>
              <w:rPr/>
              <w:t>​</w:t>
            </w:r>
          </w:p>
        </w:tc>
        <w:tc>
          <w:tcPr>
            <w:tcW w:w="886" w:type="dxa"/>
            <w:tcBorders/>
            <w:shd w:fill="CCEEFF" w:val="clear"/>
            <w:vAlign w:val="center"/>
          </w:tcPr>
          <w:p>
            <w:pPr>
              <w:pStyle w:val="TableContents"/>
              <w:spacing w:before="0" w:after="1"/>
              <w:ind w:left="0" w:right="0" w:hanging="0"/>
              <w:jc w:val="center"/>
              <w:rPr/>
            </w:pPr>
            <w:r>
              <w:rPr/>
              <w:t>​</w:t>
            </w:r>
          </w:p>
        </w:tc>
      </w:tr>
      <w:tr>
        <w:trPr/>
        <w:tc>
          <w:tcPr>
            <w:tcW w:w="17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886" w:type="dxa"/>
            <w:tcBorders/>
            <w:shd w:fill="auto" w:val="clear"/>
            <w:vAlign w:val="center"/>
          </w:tcPr>
          <w:p>
            <w:pPr>
              <w:pStyle w:val="TableContents"/>
              <w:spacing w:before="0" w:after="1"/>
              <w:ind w:left="0" w:right="0" w:hanging="0"/>
              <w:jc w:val="center"/>
              <w:rPr/>
            </w:pPr>
            <w:r>
              <w:rPr/>
              <w:t>​</w:t>
            </w:r>
          </w:p>
        </w:tc>
      </w:tr>
      <w:tr>
        <w:trPr/>
        <w:tc>
          <w:tcPr>
            <w:tcW w:w="1771"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sz w:val="15"/>
              </w:rPr>
              <w:t>(1)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410,025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268,957</w:t>
            </w:r>
          </w:p>
        </w:tc>
      </w:tr>
      <w:tr>
        <w:trPr/>
        <w:tc>
          <w:tcPr>
            <w:tcW w:w="1771"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Audit-related fees</w:t>
            </w:r>
            <w:r>
              <w:rPr>
                <w:rFonts w:ascii="Times New Roman;Times;serif" w:hAnsi="Times New Roman;Times;serif"/>
                <w:sz w:val="15"/>
              </w:rPr>
              <w:t>(2)</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78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80,242</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8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107,492</w:t>
            </w:r>
          </w:p>
        </w:tc>
      </w:tr>
      <w:tr>
        <w:trPr/>
        <w:tc>
          <w:tcPr>
            <w:tcW w:w="177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center"/>
              <w:rPr/>
            </w:pPr>
            <w:r>
              <w:rPr/>
              <w:t>​</w:t>
            </w:r>
          </w:p>
        </w:tc>
        <w:tc>
          <w:tcPr>
            <w:tcW w:w="781" w:type="dxa"/>
            <w:tcBorders>
              <w:bottom w:val="single" w:sz="2" w:space="0" w:color="000000"/>
            </w:tcBorders>
            <w:shd w:fill="CCEEFF" w:val="clear"/>
            <w:tcMar>
              <w:bottom w:w="28" w:type="dxa"/>
            </w:tcM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center"/>
              <w:rPr/>
            </w:pPr>
            <w:r>
              <w:rPr/>
              <w:t>​</w:t>
            </w:r>
          </w:p>
        </w:tc>
        <w:tc>
          <w:tcPr>
            <w:tcW w:w="886" w:type="dxa"/>
            <w:tcBorders>
              <w:bottom w:val="single" w:sz="2" w:space="0" w:color="000000"/>
            </w:tcBorders>
            <w:shd w:fill="CCEEFF" w:val="clear"/>
            <w:tcMar>
              <w:bottom w:w="28" w:type="dxa"/>
            </w:tcMar>
            <w:vAlign w:val="center"/>
          </w:tcPr>
          <w:p>
            <w:pPr>
              <w:pStyle w:val="TableContents"/>
              <w:spacing w:before="0" w:after="1"/>
              <w:ind w:left="0" w:right="0" w:hanging="0"/>
              <w:jc w:val="center"/>
              <w:rPr/>
            </w:pPr>
            <w:r>
              <w:rPr/>
              <w:t>​</w:t>
            </w:r>
          </w:p>
        </w:tc>
      </w:tr>
      <w:tr>
        <w:trPr/>
        <w:tc>
          <w:tcPr>
            <w:tcW w:w="177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490,267</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376,449</w:t>
            </w:r>
          </w:p>
        </w:tc>
      </w:tr>
    </w:tbl>
    <w:tbl>
      <w:tblPr>
        <w:tblW w:w="10205" w:type="dxa"/>
        <w:jc w:val="left"/>
        <w:tblInd w:w="0" w:type="dxa"/>
        <w:tblCellMar>
          <w:top w:w="0" w:type="dxa"/>
          <w:left w:w="0" w:type="dxa"/>
          <w:bottom w:w="0" w:type="dxa"/>
          <w:right w:w="0" w:type="dxa"/>
        </w:tblCellMar>
      </w:tblPr>
      <w:tblGrid>
        <w:gridCol w:w="308"/>
        <w:gridCol w:w="9897"/>
      </w:tblGrid>
      <w:tr>
        <w:trPr/>
        <w:tc>
          <w:tcPr>
            <w:tcW w:w="30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89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tc>
      </w:tr>
    </w:tbl>
    <w:tbl>
      <w:tblPr>
        <w:tblW w:w="7232" w:type="dxa"/>
        <w:jc w:val="left"/>
        <w:tblInd w:w="0" w:type="dxa"/>
        <w:tblCellMar>
          <w:top w:w="0" w:type="dxa"/>
          <w:left w:w="0" w:type="dxa"/>
          <w:bottom w:w="0" w:type="dxa"/>
          <w:right w:w="0" w:type="dxa"/>
        </w:tblCellMar>
      </w:tblPr>
      <w:tblGrid>
        <w:gridCol w:w="346"/>
        <w:gridCol w:w="6886"/>
      </w:tblGrid>
      <w:tr>
        <w:trPr/>
        <w:tc>
          <w:tcPr>
            <w:tcW w:w="3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688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fees includes fees for benefit plan audits and lease compliance audits.</w:t>
            </w:r>
          </w:p>
        </w:tc>
      </w:tr>
    </w:tbl>
    <w:p>
      <w:pPr>
        <w:pStyle w:val="TextBody"/>
        <w:spacing w:before="0" w:after="0"/>
        <w:ind w:left="360" w:right="0" w:hanging="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Pre-Approval of Audit and Non-Audit Services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Consistent with SEC policies and guidelines regarding audit independence, our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pre-approved all of the services provided by our independent registered public accounting firms in 2022 and 2021.</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pPr>
      <w:r>
        <w:rPr/>
        <w:t>​</w:t>
      </w:r>
    </w:p>
    <w:p>
      <w:pPr>
        <w:pStyle w:val="TextBody"/>
        <w:spacing w:before="0" w:after="240"/>
        <w:ind w:left="0" w:right="0" w:hanging="0"/>
        <w:jc w:val="center"/>
        <w:rPr>
          <w:rFonts w:ascii="Times New Roman;Times;serif" w:hAnsi="Times New Roman;Times;serif"/>
          <w:b/>
          <w:sz w:val="20"/>
        </w:rPr>
      </w:pPr>
      <w:bookmarkStart w:id="67" w:name="PARTIV_326056"/>
      <w:bookmarkStart w:id="68" w:name="_6354ffc5_8532_4806_ac9d_97cc3e7dc802"/>
      <w:bookmarkEnd w:id="67"/>
      <w:bookmarkEnd w:id="68"/>
      <w:r>
        <w:rPr>
          <w:rFonts w:ascii="Times New Roman;Times;serif" w:hAnsi="Times New Roman;Times;serif"/>
          <w:b/>
          <w:sz w:val="20"/>
        </w:rPr>
        <w:t>PART IV</w:t>
      </w:r>
    </w:p>
    <w:p>
      <w:pPr>
        <w:pStyle w:val="TextBody"/>
        <w:spacing w:before="0" w:after="240"/>
        <w:ind w:left="0" w:right="0" w:hanging="0"/>
        <w:rPr>
          <w:rFonts w:ascii="Times New Roman;Times;serif" w:hAnsi="Times New Roman;Times;serif"/>
          <w:b/>
          <w:sz w:val="20"/>
        </w:rPr>
      </w:pPr>
      <w:bookmarkStart w:id="69" w:name="ITEM15EXHIBITSFINANCIALSTATEMENTSCHEDULE"/>
      <w:bookmarkEnd w:id="69"/>
      <w:r>
        <w:rPr>
          <w:rFonts w:ascii="Times New Roman;Times;serif" w:hAnsi="Times New Roman;Times;serif"/>
          <w:b/>
          <w:sz w:val="20"/>
        </w:rPr>
        <w:t>ITEM 15: EXHIBITS, FINANCIAL STATEMENT SCHEDULES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The financial statements, financial statement schedules and exhibits listed in Part IV, Item 15 of the Original Filing and the exhibits listed below are filed with, or incorporated by reference in, this Form 10-K/A.</w:t>
      </w:r>
    </w:p>
    <w:p>
      <w:pPr>
        <w:pStyle w:val="TextBody"/>
        <w:spacing w:before="0" w:after="240"/>
        <w:ind w:left="0" w:right="0" w:hanging="0"/>
        <w:jc w:val="center"/>
        <w:rPr>
          <w:rFonts w:ascii="Times New Roman;Times;serif" w:hAnsi="Times New Roman;Times;serif"/>
          <w:b/>
          <w:sz w:val="20"/>
        </w:rPr>
      </w:pPr>
      <w:bookmarkStart w:id="70" w:name="_99c8a1ff_1c15_44ae_9d7c_f00950dd6164"/>
      <w:bookmarkEnd w:id="70"/>
      <w:r>
        <w:rPr>
          <w:rFonts w:ascii="Times New Roman;Times;serif" w:hAnsi="Times New Roman;Times;serif"/>
          <w:b/>
          <w:sz w:val="20"/>
        </w:rPr>
        <w:t>Exhibits Index</w:t>
      </w:r>
    </w:p>
    <w:tbl>
      <w:tblPr>
        <w:tblW w:w="10205" w:type="dxa"/>
        <w:jc w:val="left"/>
        <w:tblInd w:w="0" w:type="dxa"/>
        <w:tblCellMar>
          <w:top w:w="0" w:type="dxa"/>
          <w:left w:w="0" w:type="dxa"/>
          <w:bottom w:w="28" w:type="dxa"/>
          <w:right w:w="0" w:type="dxa"/>
        </w:tblCellMar>
      </w:tblPr>
      <w:tblGrid>
        <w:gridCol w:w="796"/>
        <w:gridCol w:w="266"/>
        <w:gridCol w:w="9143"/>
      </w:tblGrid>
      <w:tr>
        <w:trPr/>
        <w:tc>
          <w:tcPr>
            <w:tcW w:w="796" w:type="dxa"/>
            <w:tcBorders>
              <w:bottom w:val="single" w:sz="8" w:space="0" w:color="000000"/>
            </w:tcBorders>
            <w:shd w:fill="auto" w:val="cle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w:t>
              <w:br/>
              <w:t>No.</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9143" w:type="dxa"/>
            <w:tcBorders>
              <w:bottom w:val="single" w:sz="8" w:space="0" w:color="000000"/>
            </w:tcBorders>
            <w:shd w:fill="auto" w:val="clear"/>
            <w:vAlign w:val="center"/>
          </w:tcPr>
          <w:p>
            <w:pPr>
              <w:pStyle w:val="TableHeading"/>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796" w:type="dxa"/>
            <w:tcBorders/>
            <w:shd w:fill="auto" w:val="clear"/>
            <w:tcMar>
              <w:bottom w:w="0" w:type="dxa"/>
            </w:tcMar>
            <w:vAlign w:val="center"/>
          </w:tcPr>
          <w:p>
            <w:pPr>
              <w:pStyle w:val="TableHeading"/>
              <w:spacing w:before="0" w:after="0"/>
              <w:ind w:left="0" w:right="0" w:hanging="0"/>
              <w:jc w:val="left"/>
              <w:rPr/>
            </w:pPr>
            <w:r>
              <w:rPr/>
              <w:t>​</w:t>
            </w:r>
          </w:p>
        </w:tc>
        <w:tc>
          <w:tcPr>
            <w:tcW w:w="266" w:type="dxa"/>
            <w:tcBorders/>
            <w:shd w:fill="auto" w:val="clear"/>
            <w:tcMar>
              <w:bottom w:w="0" w:type="dxa"/>
            </w:tcMar>
            <w:vAlign w:val="center"/>
          </w:tcPr>
          <w:p>
            <w:pPr>
              <w:pStyle w:val="TableHeading"/>
              <w:spacing w:before="0" w:after="0"/>
              <w:ind w:left="0" w:right="0" w:hanging="0"/>
              <w:jc w:val="left"/>
              <w:rPr/>
            </w:pPr>
            <w:r>
              <w:rPr/>
              <w:t>​</w:t>
            </w:r>
          </w:p>
        </w:tc>
        <w:tc>
          <w:tcPr>
            <w:tcW w:w="9143" w:type="dxa"/>
            <w:tcBorders/>
            <w:shd w:fill="auto" w:val="clear"/>
            <w:tcMar>
              <w:bottom w:w="0" w:type="dxa"/>
            </w:tcMar>
            <w:vAlign w:val="center"/>
          </w:tcPr>
          <w:p>
            <w:pPr>
              <w:pStyle w:val="TableHeading"/>
              <w:spacing w:before="0" w:after="0"/>
              <w:ind w:left="0" w:right="0" w:hanging="0"/>
              <w:jc w:val="left"/>
              <w:rPr/>
            </w:pPr>
            <w:r>
              <w:rPr/>
              <w:t>​</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2.1</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2">
              <w:r>
                <w:rPr>
                  <w:rStyle w:val="InternetLink"/>
                  <w:rFonts w:ascii="Times New Roman;Times;serif" w:hAnsi="Times New Roman;Times;serif"/>
                  <w:b w:val="false"/>
                  <w:i w:val="false"/>
                  <w:caps w:val="false"/>
                  <w:smallCaps w:val="false"/>
                  <w:sz w:val="20"/>
                </w:rPr>
                <w:t>Agreement and Plan of Merger by and among FORM Holdings Corp., FHXMS, LLC, XpresSpa Holdings, LLC, the unitholders of XpresSpa who are parties thereto and Mistral XH Representative, LLC, as representative of the unitholders, dated as of August 8, 2016 (incorporated by reference to Exhibit 2.1 to our Current Report on Form 8-K filed with the SEC on August 8, 2016)</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2.2</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3">
              <w:r>
                <w:rPr>
                  <w:rStyle w:val="InternetLink"/>
                  <w:rFonts w:ascii="Times New Roman;Times;serif" w:hAnsi="Times New Roman;Times;serif"/>
                  <w:b w:val="false"/>
                  <w:i w:val="false"/>
                  <w:caps w:val="false"/>
                  <w:smallCaps w:val="false"/>
                  <w:sz w:val="20"/>
                </w:rPr>
                <w:t>Amendment No. 1 to Agreement and Plan of Merger by and among FORM Holdings Corp., FHXMS, LLC, XpresSpa Holdings, LLC and Mistral XH Representative, LLC, as representative of the unitholders, dated September 8, 2016 (incorporated by reference to Exhibit 2.1 to our Current Report on Form 8-K filed with the SEC on September 9, 2016)</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2.3</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4">
              <w:r>
                <w:rPr>
                  <w:rStyle w:val="InternetLink"/>
                  <w:rFonts w:ascii="Times New Roman;Times;serif" w:hAnsi="Times New Roman;Times;serif"/>
                  <w:b w:val="false"/>
                  <w:i w:val="false"/>
                  <w:caps w:val="false"/>
                  <w:smallCaps w:val="false"/>
                  <w:sz w:val="20"/>
                </w:rPr>
                <w:t>Amendment No. 2 to Agreement and Plan of Merger by and among FORM Holdings Corp., FHXMS, LLC, XpresSpa Holdings, LLC and Mistral XH Representative, LLC, as representative of the unitholders, dated October 25, 2016 (incorporated by reference to Exhibit 2.1 to our Current Report on Form 8-K filed with the SEC on October 25, 2016)</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5">
              <w:r>
                <w:rPr>
                  <w:rStyle w:val="InternetLink"/>
                  <w:rFonts w:ascii="Times New Roman;Times;serif" w:hAnsi="Times New Roman;Times;serif"/>
                  <w:b w:val="false"/>
                  <w:i w:val="false"/>
                  <w:caps w:val="false"/>
                  <w:smallCaps w:val="false"/>
                  <w:sz w:val="20"/>
                </w:rPr>
                <w:t>Certificate of Elimination of Series A Convertible Preferred Stock, Series D Convertible Preferred Stock, Series E Convertible Preferred Stock and Series F Convertible Preferred Stock, as filed with Secretary of State of Delaware, effective on October 24, 2022 (incorporated by reference to Exhibit 3.1 to our Current Report on Form 8-K filed with the SEC on October 24, 2022).</w:t>
              </w:r>
            </w:hyperlink>
          </w:p>
        </w:tc>
      </w:tr>
      <w:tr>
        <w:trPr/>
        <w:tc>
          <w:tcPr>
            <w:tcW w:w="796"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6">
              <w:r>
                <w:rPr>
                  <w:rStyle w:val="InternetLink"/>
                  <w:rFonts w:ascii="Times New Roman;Times;serif" w:hAnsi="Times New Roman;Times;serif"/>
                  <w:b w:val="false"/>
                  <w:i w:val="false"/>
                  <w:caps w:val="false"/>
                  <w:smallCaps w:val="false"/>
                  <w:sz w:val="20"/>
                </w:rPr>
                <w:t>Amended and Restated Certificate of Incorporation of XWELL, Inc., effective on October 25, 2022 (incorporated by reference to Exhibit 3.2 to our Current Report on Form 8-K filed with the SEC on October 24, 2022).</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3.3</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7">
              <w:r>
                <w:rPr>
                  <w:rStyle w:val="InternetLink"/>
                  <w:rFonts w:ascii="Times New Roman;Times;serif" w:hAnsi="Times New Roman;Times;serif"/>
                  <w:b w:val="false"/>
                  <w:i w:val="false"/>
                  <w:caps w:val="false"/>
                  <w:smallCaps w:val="false"/>
                  <w:sz w:val="20"/>
                </w:rPr>
                <w:t>Fourth Amended and Restated Bylaws of the Company, effective as of October 25, 2022 (incorporated by reference to Exhibit 3.3 to our Current Report on Form 8-K filed with the SEC on October 24, 2022).</w:t>
              </w:r>
            </w:hyperlink>
          </w:p>
        </w:tc>
      </w:tr>
      <w:tr>
        <w:trPr/>
        <w:tc>
          <w:tcPr>
            <w:tcW w:w="796"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8">
              <w:r>
                <w:rPr>
                  <w:rStyle w:val="InternetLink"/>
                  <w:rFonts w:ascii="Times New Roman;Times;serif" w:hAnsi="Times New Roman;Times;serif"/>
                  <w:b w:val="false"/>
                  <w:i w:val="false"/>
                  <w:caps w:val="false"/>
                  <w:smallCaps w:val="false"/>
                  <w:sz w:val="20"/>
                </w:rPr>
                <w:t>Section 382 Rights Agreement, dated as of March 18, 2016, between Vringo, Inc. and American Stock Transfer &amp; Trust Company, LLC, which includes the Form of Certificate of Designation of Series C Junior Participating Preferred Stock as Exhibit A, the Form of Right Certificate as Exhibit B and the Summary of Rights to Purchase Preferred Stock as Exhibit C (incorporated by reference from Exhibit 4.1 to our Current Report on Form 8-K filed with the SEC on March 21, 2016)</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9">
              <w:r>
                <w:rPr>
                  <w:rStyle w:val="InternetLink"/>
                  <w:rFonts w:ascii="Times New Roman;Times;serif" w:hAnsi="Times New Roman;Times;serif"/>
                  <w:b w:val="false"/>
                  <w:i w:val="false"/>
                  <w:caps w:val="false"/>
                  <w:smallCaps w:val="false"/>
                  <w:sz w:val="20"/>
                </w:rPr>
                <w:t>Amendment to Section 382 Rights Agreement, dated March 18, 2019, between the Company and American Stock Transfer &amp; Trust Company, LLC (incorporated by reference from Exhibit 10.1 to our Current Report on Form 8-K filed with the SEC on March 22, 2019)</w:t>
              </w:r>
            </w:hyperlink>
          </w:p>
        </w:tc>
      </w:tr>
      <w:tr>
        <w:trPr/>
        <w:tc>
          <w:tcPr>
            <w:tcW w:w="796"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4.3</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10">
              <w:r>
                <w:rPr>
                  <w:rStyle w:val="InternetLink"/>
                  <w:rFonts w:ascii="Times New Roman;Times;serif" w:hAnsi="Times New Roman;Times;serif"/>
                  <w:b w:val="false"/>
                  <w:i w:val="false"/>
                  <w:caps w:val="false"/>
                  <w:smallCaps w:val="false"/>
                  <w:sz w:val="20"/>
                </w:rPr>
                <w:t>Form of Warrant to Purchase Shares of Common Stock of FORM Holdings Corp. (incorporated by reference from Annex F to our Registration Statement on Form S-4 filed with the SEC on October 26, 2016)</w:t>
              </w:r>
            </w:hyperlink>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28" w:type="dxa"/>
          <w:right w:w="0" w:type="dxa"/>
        </w:tblCellMar>
      </w:tblPr>
      <w:tblGrid>
        <w:gridCol w:w="796"/>
        <w:gridCol w:w="266"/>
        <w:gridCol w:w="9143"/>
      </w:tblGrid>
      <w:tr>
        <w:trPr/>
        <w:tc>
          <w:tcPr>
            <w:tcW w:w="796" w:type="dxa"/>
            <w:tcBorders>
              <w:bottom w:val="single" w:sz="8" w:space="0" w:color="000000"/>
            </w:tcBorders>
            <w:shd w:fill="auto" w:val="cle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w:t>
              <w:br/>
              <w:t>No.</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9143" w:type="dxa"/>
            <w:tcBorders>
              <w:bottom w:val="single" w:sz="8" w:space="0" w:color="000000"/>
            </w:tcBorders>
            <w:shd w:fill="auto" w:val="clear"/>
            <w:vAlign w:val="center"/>
          </w:tcPr>
          <w:p>
            <w:pPr>
              <w:pStyle w:val="TableHeading"/>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796" w:type="dxa"/>
            <w:tcBorders/>
            <w:shd w:fill="auto" w:val="clear"/>
            <w:tcMar>
              <w:bottom w:w="0" w:type="dxa"/>
            </w:tcMar>
            <w:vAlign w:val="center"/>
          </w:tcPr>
          <w:p>
            <w:pPr>
              <w:pStyle w:val="TableHeading"/>
              <w:spacing w:before="0" w:after="0"/>
              <w:ind w:left="0" w:right="0" w:hanging="0"/>
              <w:jc w:val="left"/>
              <w:rPr/>
            </w:pPr>
            <w:r>
              <w:rPr/>
              <w:t>​</w:t>
            </w:r>
          </w:p>
        </w:tc>
        <w:tc>
          <w:tcPr>
            <w:tcW w:w="266" w:type="dxa"/>
            <w:tcBorders/>
            <w:shd w:fill="auto" w:val="clear"/>
            <w:tcMar>
              <w:bottom w:w="0" w:type="dxa"/>
            </w:tcMar>
            <w:vAlign w:val="center"/>
          </w:tcPr>
          <w:p>
            <w:pPr>
              <w:pStyle w:val="TableHeading"/>
              <w:spacing w:before="0" w:after="0"/>
              <w:ind w:left="0" w:right="0" w:hanging="0"/>
              <w:jc w:val="left"/>
              <w:rPr/>
            </w:pPr>
            <w:r>
              <w:rPr/>
              <w:t>​</w:t>
            </w:r>
          </w:p>
        </w:tc>
        <w:tc>
          <w:tcPr>
            <w:tcW w:w="9143" w:type="dxa"/>
            <w:tcBorders/>
            <w:shd w:fill="auto" w:val="clear"/>
            <w:tcMar>
              <w:bottom w:w="0" w:type="dxa"/>
            </w:tcMar>
            <w:vAlign w:val="center"/>
          </w:tcPr>
          <w:p>
            <w:pPr>
              <w:pStyle w:val="TableHeading"/>
              <w:spacing w:before="0" w:after="0"/>
              <w:ind w:left="0" w:right="0" w:hanging="0"/>
              <w:jc w:val="left"/>
              <w:rPr/>
            </w:pPr>
            <w:r>
              <w:rPr/>
              <w:t>​</w:t>
            </w:r>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4.4</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11">
              <w:r>
                <w:rPr>
                  <w:rStyle w:val="InternetLink"/>
                  <w:rFonts w:ascii="Times New Roman;Times;serif" w:hAnsi="Times New Roman;Times;serif"/>
                  <w:b w:val="false"/>
                  <w:i w:val="false"/>
                  <w:caps w:val="false"/>
                  <w:smallCaps w:val="false"/>
                  <w:sz w:val="20"/>
                </w:rPr>
                <w:t>Form of Secured Convertible Note (incorporated by reference from Exhibit 4.1 to our Quarterly Report on Form 10-Q filed with the SEC on May 15, 2018)</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4.5</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12">
              <w:r>
                <w:rPr>
                  <w:rStyle w:val="InternetLink"/>
                  <w:rFonts w:ascii="Times New Roman;Times;serif" w:hAnsi="Times New Roman;Times;serif"/>
                  <w:b w:val="false"/>
                  <w:i w:val="false"/>
                  <w:caps w:val="false"/>
                  <w:smallCaps w:val="false"/>
                  <w:sz w:val="20"/>
                </w:rPr>
                <w:t>Amendment to Secured Convertible Note (incorporated by reference from Exhibit 4.1 to our Current Report on Form 8-K filed with the SEC on June 27, 2019)</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4.6</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13">
              <w:r>
                <w:rPr>
                  <w:rStyle w:val="InternetLink"/>
                  <w:rFonts w:ascii="Times New Roman;Times;serif" w:hAnsi="Times New Roman;Times;serif"/>
                  <w:b w:val="false"/>
                  <w:i w:val="false"/>
                  <w:caps w:val="false"/>
                  <w:smallCaps w:val="false"/>
                  <w:sz w:val="20"/>
                </w:rPr>
                <w:t>Second Amended and Restated Convertible Promissory Note, dated as of July 8, 2019 (incorporated by reference from Exhibit 4.3 to our Current Report on Form 8-K filed with the SEC on July 8, 2019)</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4.7</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14">
              <w:r>
                <w:rPr>
                  <w:rStyle w:val="InternetLink"/>
                  <w:rFonts w:ascii="Times New Roman;Times;serif" w:hAnsi="Times New Roman;Times;serif"/>
                  <w:b w:val="false"/>
                  <w:i w:val="false"/>
                  <w:caps w:val="false"/>
                  <w:smallCaps w:val="false"/>
                  <w:sz w:val="20"/>
                </w:rPr>
                <w:t>Third Amended and Restated Convertible Promissory Note, dated as of January 9, 2020 (incorporated by reference from Exhibit 4.1 to our Current Report on Form 8-K filed with the SEC on January 14, 2020)</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4.8</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15">
              <w:r>
                <w:rPr>
                  <w:rStyle w:val="InternetLink"/>
                  <w:rFonts w:ascii="Times New Roman;Times;serif" w:hAnsi="Times New Roman;Times;serif"/>
                  <w:b w:val="false"/>
                  <w:i w:val="false"/>
                  <w:caps w:val="false"/>
                  <w:smallCaps w:val="false"/>
                  <w:sz w:val="20"/>
                </w:rPr>
                <w:t>Fourth Amended and Restated Convertible Promissory Note, dated as of March 6, 2020 (incorporated by reference from Exhibit 4.1 to our Current Report on Form 8-K filed with the SEC on March 6, 2020)</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4.9</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16">
              <w:r>
                <w:rPr>
                  <w:rStyle w:val="InternetLink"/>
                  <w:rFonts w:ascii="Times New Roman;Times;serif" w:hAnsi="Times New Roman;Times;serif"/>
                  <w:b w:val="false"/>
                  <w:i w:val="false"/>
                  <w:caps w:val="false"/>
                  <w:smallCaps w:val="false"/>
                  <w:sz w:val="20"/>
                </w:rPr>
                <w:t>Unsecured Convertible Note due May 31, 2022 (incorporated by reference to Exhibit 4.1 to our Current Report on Form 8-K filed with the SEC on July 8, 2019)</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4.10</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17">
              <w:r>
                <w:rPr>
                  <w:rStyle w:val="InternetLink"/>
                  <w:rFonts w:ascii="Times New Roman;Times;serif" w:hAnsi="Times New Roman;Times;serif"/>
                  <w:b w:val="false"/>
                  <w:i w:val="false"/>
                  <w:caps w:val="false"/>
                  <w:smallCaps w:val="false"/>
                  <w:sz w:val="20"/>
                </w:rPr>
                <w:t>Warrant to Purchase Common Stock in favor of Calm.com, Inc., dated as of July 8, 2019 (incorporated by reference to Exhibit 4.2 to our Current Report on Form 8-K filed with the SEC on July 8, 2019)</w:t>
              </w:r>
            </w:hyperlink>
          </w:p>
        </w:tc>
      </w:tr>
      <w:tr>
        <w:trPr/>
        <w:tc>
          <w:tcPr>
            <w:tcW w:w="796"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4.11</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18">
              <w:r>
                <w:rPr>
                  <w:rStyle w:val="InternetLink"/>
                  <w:rFonts w:ascii="Times New Roman;Times;serif" w:hAnsi="Times New Roman;Times;serif"/>
                  <w:b w:val="false"/>
                  <w:i w:val="false"/>
                  <w:caps w:val="false"/>
                  <w:smallCaps w:val="false"/>
                  <w:sz w:val="20"/>
                </w:rPr>
                <w:t>Form of Pre-Funded Warrant to Purchase Common Stock, dated March 19, 2020 (incorporated by reference from Exhibit 4.1 to our Current Report on Form 8-K filed with the SEC on March 19, 2020)</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4.12</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19">
              <w:r>
                <w:rPr>
                  <w:rStyle w:val="InternetLink"/>
                  <w:rFonts w:ascii="Times New Roman;Times;serif" w:hAnsi="Times New Roman;Times;serif"/>
                  <w:b w:val="false"/>
                  <w:i w:val="false"/>
                  <w:caps w:val="false"/>
                  <w:smallCaps w:val="false"/>
                  <w:sz w:val="20"/>
                </w:rPr>
                <w:t>Form of Pre-Funded Warrant to Purchase Common Stock, dated March 25, 2020 (incorporated by reference from Exhibit 4.1 to our Current Report on Form 8-K filed with the SEC on March 25, 2020)</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4.13</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20">
              <w:r>
                <w:rPr>
                  <w:rStyle w:val="InternetLink"/>
                  <w:rFonts w:ascii="Times New Roman;Times;serif" w:hAnsi="Times New Roman;Times;serif"/>
                  <w:b w:val="false"/>
                  <w:i w:val="false"/>
                  <w:caps w:val="false"/>
                  <w:smallCaps w:val="false"/>
                  <w:sz w:val="20"/>
                </w:rPr>
                <w:t>Form of Pre-Funded Warrant to Purchase Common Stock, dated March 27, 2020 (incorporated by reference from Exhibit 4.1 to our Current Report on Form 8-K filed with the SEC on March 27, 2020)</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4.14</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21">
              <w:r>
                <w:rPr>
                  <w:rStyle w:val="InternetLink"/>
                  <w:rFonts w:ascii="Times New Roman;Times;serif" w:hAnsi="Times New Roman;Times;serif"/>
                  <w:b w:val="false"/>
                  <w:i w:val="false"/>
                  <w:caps w:val="false"/>
                  <w:smallCaps w:val="false"/>
                  <w:sz w:val="20"/>
                </w:rPr>
                <w:t>Form of Pre-Funded Warrant to Purchase Common Stock, dated April 6, 2020 (incorporated by reference from Exhibit 4.1 to our Current Report on Form 8-K filed with the SEC on April 7, 2020)</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4.15</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22">
              <w:r>
                <w:rPr>
                  <w:rStyle w:val="InternetLink"/>
                  <w:rFonts w:ascii="Times New Roman;Times;serif" w:hAnsi="Times New Roman;Times;serif"/>
                  <w:b w:val="false"/>
                  <w:i w:val="false"/>
                  <w:caps w:val="false"/>
                  <w:smallCaps w:val="false"/>
                  <w:sz w:val="20"/>
                </w:rPr>
                <w:t>Description of the Registrant’s Securities (incorporated by reference from Exhibit 4.22 to our Annual Report on Form 10-K filed with the SEC on April 20, 2020)</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4.16</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23">
              <w:r>
                <w:rPr>
                  <w:rStyle w:val="InternetLink"/>
                  <w:rFonts w:ascii="Times New Roman;Times;serif" w:hAnsi="Times New Roman;Times;serif"/>
                  <w:b w:val="false"/>
                  <w:i w:val="false"/>
                  <w:caps w:val="false"/>
                  <w:smallCaps w:val="false"/>
                  <w:sz w:val="20"/>
                </w:rPr>
                <w:t>Amended and Restated Calm Note, dated as of April 17, 2020 (incorporated by reference from Exhibit 4.1 to our Current Report on Form 8-K filed with the SEC on April 17, 2020).</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4.17</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24">
              <w:r>
                <w:rPr>
                  <w:rStyle w:val="InternetLink"/>
                  <w:rFonts w:ascii="Times New Roman;Times;serif" w:hAnsi="Times New Roman;Times;serif"/>
                  <w:b w:val="false"/>
                  <w:i w:val="false"/>
                  <w:caps w:val="false"/>
                  <w:smallCaps w:val="false"/>
                  <w:sz w:val="20"/>
                </w:rPr>
                <w:t>Amended and Restated Calm Note, dated as of April 22, 2020 (incorporated by reference from Exhibit 4.1 to our Current Report on Form 8-K filed with the SEC on April 24, 2020)</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4.18</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25">
              <w:r>
                <w:rPr>
                  <w:rStyle w:val="InternetLink"/>
                  <w:rFonts w:ascii="Times New Roman;Times;serif" w:hAnsi="Times New Roman;Times;serif"/>
                  <w:b w:val="false"/>
                  <w:i w:val="false"/>
                  <w:caps w:val="false"/>
                  <w:smallCaps w:val="false"/>
                  <w:sz w:val="20"/>
                </w:rPr>
                <w:t>Form of Warrant to Purchase Common Stock, dated June 17, 2020 (incorporated by reference from Exhibit 4.1 to our Current Report on Form 8-K filed with the SEC on June 17, 2020)</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4.19</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26">
              <w:r>
                <w:rPr>
                  <w:rStyle w:val="InternetLink"/>
                  <w:rFonts w:ascii="Times New Roman;Times;serif" w:hAnsi="Times New Roman;Times;serif"/>
                  <w:b w:val="false"/>
                  <w:i w:val="false"/>
                  <w:caps w:val="false"/>
                  <w:smallCaps w:val="false"/>
                  <w:sz w:val="20"/>
                </w:rPr>
                <w:t>Form of Placement Agent Warrant to Purchase Common Stock, dated June 17, 2020 (incorporated by reference from Exhibit 4.2 to our Current Report on Form 8-K filed with the SEC on June 17, 2020)</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4.20</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27">
              <w:r>
                <w:rPr>
                  <w:rStyle w:val="InternetLink"/>
                  <w:rFonts w:ascii="Times New Roman;Times;serif" w:hAnsi="Times New Roman;Times;serif"/>
                  <w:b w:val="false"/>
                  <w:i w:val="false"/>
                  <w:caps w:val="false"/>
                  <w:smallCaps w:val="false"/>
                  <w:sz w:val="20"/>
                </w:rPr>
                <w:t>Form of Warrant to Purchase Common Stock, dated August 25, 2020 (incorporated by reference from Exhibit 4.1 to our Current Report on Form 8-K filed with the SEC on August 28, 2020)</w:t>
              </w:r>
            </w:hyperlink>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28" w:type="dxa"/>
          <w:right w:w="0" w:type="dxa"/>
        </w:tblCellMar>
      </w:tblPr>
      <w:tblGrid>
        <w:gridCol w:w="796"/>
        <w:gridCol w:w="266"/>
        <w:gridCol w:w="9143"/>
      </w:tblGrid>
      <w:tr>
        <w:trPr/>
        <w:tc>
          <w:tcPr>
            <w:tcW w:w="796" w:type="dxa"/>
            <w:tcBorders>
              <w:bottom w:val="single" w:sz="8" w:space="0" w:color="000000"/>
            </w:tcBorders>
            <w:shd w:fill="auto" w:val="cle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w:t>
              <w:br/>
              <w:t>No.</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9143" w:type="dxa"/>
            <w:tcBorders>
              <w:bottom w:val="single" w:sz="8" w:space="0" w:color="000000"/>
            </w:tcBorders>
            <w:shd w:fill="auto" w:val="clear"/>
            <w:vAlign w:val="center"/>
          </w:tcPr>
          <w:p>
            <w:pPr>
              <w:pStyle w:val="TableHeading"/>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796" w:type="dxa"/>
            <w:tcBorders/>
            <w:shd w:fill="auto" w:val="clear"/>
            <w:tcMar>
              <w:bottom w:w="0" w:type="dxa"/>
            </w:tcMar>
            <w:vAlign w:val="center"/>
          </w:tcPr>
          <w:p>
            <w:pPr>
              <w:pStyle w:val="TableHeading"/>
              <w:spacing w:before="0" w:after="0"/>
              <w:ind w:left="0" w:right="0" w:hanging="0"/>
              <w:jc w:val="left"/>
              <w:rPr/>
            </w:pPr>
            <w:r>
              <w:rPr/>
              <w:t>​</w:t>
            </w:r>
          </w:p>
        </w:tc>
        <w:tc>
          <w:tcPr>
            <w:tcW w:w="266" w:type="dxa"/>
            <w:tcBorders/>
            <w:shd w:fill="auto" w:val="clear"/>
            <w:tcMar>
              <w:bottom w:w="0" w:type="dxa"/>
            </w:tcMar>
            <w:vAlign w:val="center"/>
          </w:tcPr>
          <w:p>
            <w:pPr>
              <w:pStyle w:val="TableHeading"/>
              <w:spacing w:before="0" w:after="0"/>
              <w:ind w:left="0" w:right="0" w:hanging="0"/>
              <w:jc w:val="left"/>
              <w:rPr/>
            </w:pPr>
            <w:r>
              <w:rPr/>
              <w:t>​</w:t>
            </w:r>
          </w:p>
        </w:tc>
        <w:tc>
          <w:tcPr>
            <w:tcW w:w="9143" w:type="dxa"/>
            <w:tcBorders/>
            <w:shd w:fill="auto" w:val="clear"/>
            <w:tcMar>
              <w:bottom w:w="0" w:type="dxa"/>
            </w:tcMar>
            <w:vAlign w:val="center"/>
          </w:tcPr>
          <w:p>
            <w:pPr>
              <w:pStyle w:val="TableHeading"/>
              <w:spacing w:before="0" w:after="0"/>
              <w:ind w:left="0" w:right="0" w:hanging="0"/>
              <w:jc w:val="left"/>
              <w:rPr/>
            </w:pPr>
            <w:r>
              <w:rPr/>
              <w:t>​</w:t>
            </w:r>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4.21</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28">
              <w:r>
                <w:rPr>
                  <w:rStyle w:val="InternetLink"/>
                  <w:rFonts w:ascii="Times New Roman;Times;serif" w:hAnsi="Times New Roman;Times;serif"/>
                  <w:b w:val="false"/>
                  <w:i w:val="false"/>
                  <w:caps w:val="false"/>
                  <w:smallCaps w:val="false"/>
                  <w:sz w:val="20"/>
                </w:rPr>
                <w:t>Form of Pre-Funded Warrant to Purchase Common Stock, dated August 25, 2020 (incorporated by reference from Exhibit 4.2 to our Current Report on Form 8-K filed with the SEC on August 28, 2020)</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4.22</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29">
              <w:r>
                <w:rPr>
                  <w:rStyle w:val="InternetLink"/>
                  <w:rFonts w:ascii="Times New Roman;Times;serif" w:hAnsi="Times New Roman;Times;serif"/>
                  <w:b w:val="false"/>
                  <w:i w:val="false"/>
                  <w:caps w:val="false"/>
                  <w:smallCaps w:val="false"/>
                  <w:sz w:val="20"/>
                </w:rPr>
                <w:t>Form of Placement Agent Warrant to Purchase Common Stock, dated August 25, 2020 (incorporated by reference from Exhibit 4.3 to our Current Report on Form 8-K filed with the SEC on August 28, 2020)</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4.23</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30">
              <w:r>
                <w:rPr>
                  <w:rStyle w:val="InternetLink"/>
                  <w:rFonts w:ascii="Times New Roman;Times;serif" w:hAnsi="Times New Roman;Times;serif"/>
                  <w:b w:val="false"/>
                  <w:i w:val="false"/>
                  <w:caps w:val="false"/>
                  <w:smallCaps w:val="false"/>
                  <w:sz w:val="20"/>
                </w:rPr>
                <w:t>Form of Warrant to Purchase Common Stock, dated December 17, 2020 (incorporated by reference from Exhibit 4.1 to our Current Report on Form 8-K filed with the SEC on December 21, 2020)</w:t>
              </w:r>
            </w:hyperlink>
          </w:p>
        </w:tc>
      </w:tr>
      <w:tr>
        <w:trPr/>
        <w:tc>
          <w:tcPr>
            <w:tcW w:w="796"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4.24</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31">
              <w:r>
                <w:rPr>
                  <w:rStyle w:val="InternetLink"/>
                  <w:rFonts w:ascii="Times New Roman;Times;serif" w:hAnsi="Times New Roman;Times;serif"/>
                  <w:b w:val="false"/>
                  <w:i w:val="false"/>
                  <w:caps w:val="false"/>
                  <w:smallCaps w:val="false"/>
                  <w:sz w:val="20"/>
                </w:rPr>
                <w:t>Form of Placement Agent Warrant to Purchase Common Stock, dated December 17, 2020 (incorporated by reference from Exhibit 4.2 to our Current Report on Form 8-K filed with the SEC on December 21, 2020)</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32">
              <w:r>
                <w:rPr>
                  <w:rStyle w:val="InternetLink"/>
                  <w:rFonts w:ascii="Times New Roman;Times;serif" w:hAnsi="Times New Roman;Times;serif"/>
                  <w:b w:val="false"/>
                  <w:i w:val="false"/>
                  <w:caps w:val="false"/>
                  <w:smallCaps w:val="false"/>
                  <w:sz w:val="20"/>
                </w:rPr>
                <w:t>Vringo, Inc. 2012 Employee, Director and Consultant Equity Incentive Plan, as amended (incorporated by reference from Appendix C of our Proxy Statement on Schedule 14A (DEF 14A) filed with the SEC on September 25, 2015)</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33">
              <w:r>
                <w:rPr>
                  <w:rStyle w:val="InternetLink"/>
                  <w:rFonts w:ascii="Times New Roman;Times;serif" w:hAnsi="Times New Roman;Times;serif"/>
                  <w:b w:val="false"/>
                  <w:i w:val="false"/>
                  <w:caps w:val="false"/>
                  <w:smallCaps w:val="false"/>
                  <w:sz w:val="20"/>
                </w:rPr>
                <w:t>Form of Management Option Agreement (incorporated by reference from our Registration Statement on Form S-1 filed on March 29, 2010).</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34">
              <w:r>
                <w:rPr>
                  <w:rStyle w:val="InternetLink"/>
                  <w:rFonts w:ascii="Times New Roman;Times;serif" w:hAnsi="Times New Roman;Times;serif"/>
                  <w:b w:val="false"/>
                  <w:i w:val="false"/>
                  <w:caps w:val="false"/>
                  <w:smallCaps w:val="false"/>
                  <w:sz w:val="20"/>
                </w:rPr>
                <w:t>Form of Stock Option Agreement (incorporated by reference from our Registration Statement on Form S-8 filed on July 26, 2012)</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35">
              <w:r>
                <w:rPr>
                  <w:rStyle w:val="InternetLink"/>
                  <w:rFonts w:ascii="Times New Roman;Times;serif" w:hAnsi="Times New Roman;Times;serif"/>
                  <w:b w:val="false"/>
                  <w:i w:val="false"/>
                  <w:caps w:val="false"/>
                  <w:smallCaps w:val="false"/>
                  <w:sz w:val="20"/>
                </w:rPr>
                <w:t>Form of Restricted Stock Unit Agreement (incorporated by reference from our Registration Statement on Form S-8 filed on July 26, 2012)</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10.5</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36">
              <w:r>
                <w:rPr>
                  <w:rStyle w:val="InternetLink"/>
                  <w:rFonts w:ascii="Times New Roman;Times;serif" w:hAnsi="Times New Roman;Times;serif"/>
                  <w:b w:val="false"/>
                  <w:i w:val="false"/>
                  <w:caps w:val="false"/>
                  <w:smallCaps w:val="false"/>
                  <w:sz w:val="20"/>
                </w:rPr>
                <w:t>Form of Indemnification Agreement, dated January 31, 2013, by and between Vringo, Inc. and each of its Directors and Executive Officer (incorporated by reference from our Annual Report on Form 10-K for the period ended December 31, 2012 filed on March 21, 2013)</w:t>
              </w:r>
            </w:hyperlink>
          </w:p>
        </w:tc>
      </w:tr>
      <w:tr>
        <w:trPr/>
        <w:tc>
          <w:tcPr>
            <w:tcW w:w="796"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10.6†</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37">
              <w:r>
                <w:rPr>
                  <w:rStyle w:val="InternetLink"/>
                  <w:rFonts w:ascii="Times New Roman;Times;serif" w:hAnsi="Times New Roman;Times;serif"/>
                  <w:b w:val="false"/>
                  <w:i w:val="false"/>
                  <w:caps w:val="false"/>
                  <w:smallCaps w:val="false"/>
                  <w:sz w:val="20"/>
                </w:rPr>
                <w:t>FORM Holdings Corp. 2012 Employee, Director and Consultant Equity Incentive Plan, as amended (incorporated by reference from Exhibit 10.1 to our Current Report on Form 8-K filed with the SEC on November 28, 2016)</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10.19</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38">
              <w:r>
                <w:rPr>
                  <w:rStyle w:val="InternetLink"/>
                  <w:rFonts w:ascii="Times New Roman;Times;serif" w:hAnsi="Times New Roman;Times;serif"/>
                  <w:b w:val="false"/>
                  <w:i w:val="false"/>
                  <w:caps w:val="false"/>
                  <w:smallCaps w:val="false"/>
                  <w:sz w:val="20"/>
                </w:rPr>
                <w:t>Form of Registration Rights Agreement, dated May 15, 2018, by and among the Company and the Investors (incorporated by reference from Exhibit 10.9 to our Quarterly Report on Form 10-Q filed with the SEC on May 15, 2018).</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10.20</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39">
              <w:r>
                <w:rPr>
                  <w:rStyle w:val="InternetLink"/>
                  <w:rFonts w:ascii="Times New Roman;Times;serif" w:hAnsi="Times New Roman;Times;serif"/>
                  <w:b w:val="false"/>
                  <w:i w:val="false"/>
                  <w:caps w:val="false"/>
                  <w:smallCaps w:val="false"/>
                  <w:sz w:val="20"/>
                </w:rPr>
                <w:t>Amendment to Securities Purchase Agreement and Class A Warrants and Class B Warrants, dated as of July 8, 2019, by and between the Company and the purchasers party thereto (incorporated by reference from Exhibit 10.5 to our Current Report on Form 8-K filed with the SEC on July 8, 2019)</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10.21</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40">
              <w:r>
                <w:rPr>
                  <w:rStyle w:val="InternetLink"/>
                  <w:rFonts w:ascii="Times New Roman;Times;serif" w:hAnsi="Times New Roman;Times;serif"/>
                  <w:b w:val="false"/>
                  <w:i w:val="false"/>
                  <w:caps w:val="false"/>
                  <w:smallCaps w:val="false"/>
                  <w:sz w:val="20"/>
                </w:rPr>
                <w:t>Product Sale and Marketing Agreement, dated November 12, 2018, by and between the Company and Calm.com, Inc. (incorporated by reference to Exhibit 10.28 to our Annual Report on Form 10-K filed with the SEC on April 1, 2019)</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10.22</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41">
              <w:r>
                <w:rPr>
                  <w:rStyle w:val="InternetLink"/>
                  <w:rFonts w:ascii="Times New Roman;Times;serif" w:hAnsi="Times New Roman;Times;serif"/>
                  <w:b w:val="false"/>
                  <w:i w:val="false"/>
                  <w:caps w:val="false"/>
                  <w:smallCaps w:val="false"/>
                  <w:sz w:val="20"/>
                </w:rPr>
                <w:t>Amendment to Amended and Restated Product Sale and Marketing, dated as of October 30, 2019, by and between the Company and Calm.com, Inc. (incorporated by reference from Exhibit 10.8 to our Quarterly Report on Form 10-Q filed with the SEC on November 14, 2019)</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28" w:type="dxa"/>
          <w:right w:w="0" w:type="dxa"/>
        </w:tblCellMar>
      </w:tblPr>
      <w:tblGrid>
        <w:gridCol w:w="796"/>
        <w:gridCol w:w="266"/>
        <w:gridCol w:w="9143"/>
      </w:tblGrid>
      <w:tr>
        <w:trPr/>
        <w:tc>
          <w:tcPr>
            <w:tcW w:w="796" w:type="dxa"/>
            <w:tcBorders>
              <w:bottom w:val="single" w:sz="8" w:space="0" w:color="000000"/>
            </w:tcBorders>
            <w:shd w:fill="auto" w:val="cle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w:t>
              <w:br/>
              <w:t>No.</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9143" w:type="dxa"/>
            <w:tcBorders>
              <w:bottom w:val="single" w:sz="8" w:space="0" w:color="000000"/>
            </w:tcBorders>
            <w:shd w:fill="auto" w:val="clear"/>
            <w:vAlign w:val="center"/>
          </w:tcPr>
          <w:p>
            <w:pPr>
              <w:pStyle w:val="TableHeading"/>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796" w:type="dxa"/>
            <w:tcBorders/>
            <w:shd w:fill="auto" w:val="clear"/>
            <w:tcMar>
              <w:bottom w:w="0" w:type="dxa"/>
            </w:tcMar>
            <w:vAlign w:val="center"/>
          </w:tcPr>
          <w:p>
            <w:pPr>
              <w:pStyle w:val="TableHeading"/>
              <w:spacing w:before="0" w:after="0"/>
              <w:ind w:left="0" w:right="0" w:hanging="0"/>
              <w:jc w:val="left"/>
              <w:rPr/>
            </w:pPr>
            <w:r>
              <w:rPr/>
              <w:t>​</w:t>
            </w:r>
          </w:p>
        </w:tc>
        <w:tc>
          <w:tcPr>
            <w:tcW w:w="266" w:type="dxa"/>
            <w:tcBorders/>
            <w:shd w:fill="auto" w:val="clear"/>
            <w:tcMar>
              <w:bottom w:w="0" w:type="dxa"/>
            </w:tcMar>
            <w:vAlign w:val="center"/>
          </w:tcPr>
          <w:p>
            <w:pPr>
              <w:pStyle w:val="TableHeading"/>
              <w:spacing w:before="0" w:after="0"/>
              <w:ind w:left="0" w:right="0" w:hanging="0"/>
              <w:jc w:val="left"/>
              <w:rPr/>
            </w:pPr>
            <w:r>
              <w:rPr/>
              <w:t>​</w:t>
            </w:r>
          </w:p>
        </w:tc>
        <w:tc>
          <w:tcPr>
            <w:tcW w:w="9143" w:type="dxa"/>
            <w:tcBorders/>
            <w:shd w:fill="auto" w:val="clear"/>
            <w:tcMar>
              <w:bottom w:w="0" w:type="dxa"/>
            </w:tcMar>
            <w:vAlign w:val="center"/>
          </w:tcPr>
          <w:p>
            <w:pPr>
              <w:pStyle w:val="TableHeading"/>
              <w:spacing w:before="0" w:after="0"/>
              <w:ind w:left="0" w:right="0" w:hanging="0"/>
              <w:jc w:val="left"/>
              <w:rPr/>
            </w:pPr>
            <w:r>
              <w:rPr/>
              <w:t>​</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10.25</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42">
              <w:r>
                <w:rPr>
                  <w:rStyle w:val="InternetLink"/>
                  <w:rFonts w:ascii="Times New Roman;Times;serif" w:hAnsi="Times New Roman;Times;serif"/>
                  <w:b w:val="false"/>
                  <w:i w:val="false"/>
                  <w:caps w:val="false"/>
                  <w:smallCaps w:val="false"/>
                  <w:sz w:val="20"/>
                </w:rPr>
                <w:t>Securities Purchase Agreement, dated as of July 8, 2019, by and between the Company and Calm.com, Inc. (incorporated by reference from Exhibit 10.1 to our Current Report on Form 8-K filed with the SEC on July 8, 2019)</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10.26</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43">
              <w:r>
                <w:rPr>
                  <w:rStyle w:val="InternetLink"/>
                  <w:rFonts w:ascii="Times New Roman;Times;serif" w:hAnsi="Times New Roman;Times;serif"/>
                  <w:b w:val="false"/>
                  <w:i w:val="false"/>
                  <w:caps w:val="false"/>
                  <w:smallCaps w:val="false"/>
                  <w:sz w:val="20"/>
                </w:rPr>
                <w:t>Registration Rights Agreement, dated as of July 8, 2019, by and between the Company and Calm.com, Inc. (incorporated by reference from Exhibit 10.2 to our Current Report on Form 8-K filed with the SEC on July 8, 2019)</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10.27</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44">
              <w:r>
                <w:rPr>
                  <w:rStyle w:val="InternetLink"/>
                  <w:rFonts w:ascii="Times New Roman;Times;serif" w:hAnsi="Times New Roman;Times;serif"/>
                  <w:b w:val="false"/>
                  <w:i w:val="false"/>
                  <w:caps w:val="false"/>
                  <w:smallCaps w:val="false"/>
                  <w:sz w:val="20"/>
                </w:rPr>
                <w:t>Amendment No. 3 to Agreement and Plan of Merger, dated as of October 1, 2019, by and between the Company, XpresSpa Holdings, LLC, and Mistral XH Representative, LLC, as representative of the unitholders of the Company (incorporated by reference from Exhibit 10.1 to our Current Report on Form 8-K filed with the SEC on October 3, 2019)</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10.29</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45">
              <w:r>
                <w:rPr>
                  <w:rStyle w:val="InternetLink"/>
                  <w:rFonts w:ascii="Times New Roman;Times;serif" w:hAnsi="Times New Roman;Times;serif"/>
                  <w:b w:val="false"/>
                  <w:i w:val="false"/>
                  <w:caps w:val="false"/>
                  <w:smallCaps w:val="false"/>
                  <w:sz w:val="20"/>
                </w:rPr>
                <w:t>Securities Purchase Agreement, dated as of March 19, 2020, by and between the Company and the purchasers party thereto (incorporated by reference to Exhibit 10.1 to the Company’s Current Report on Form 8-K filed with the SEC on March 19, 2020)</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10.30</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46">
              <w:r>
                <w:rPr>
                  <w:rStyle w:val="InternetLink"/>
                  <w:rFonts w:ascii="Times New Roman;Times;serif" w:hAnsi="Times New Roman;Times;serif"/>
                  <w:b w:val="false"/>
                  <w:i w:val="false"/>
                  <w:caps w:val="false"/>
                  <w:smallCaps w:val="false"/>
                  <w:sz w:val="20"/>
                </w:rPr>
                <w:t>Form of Exchange Agreement, dated as of March 19, 2020 (incorporated by reference to Exhibit 10.2 to the Company’s Current Report on Form 8-K filed with the SEC on March 19, 2020)</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10.31</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47">
              <w:r>
                <w:rPr>
                  <w:rStyle w:val="InternetLink"/>
                  <w:rFonts w:ascii="Times New Roman;Times;serif" w:hAnsi="Times New Roman;Times;serif"/>
                  <w:b w:val="false"/>
                  <w:i w:val="false"/>
                  <w:caps w:val="false"/>
                  <w:smallCaps w:val="false"/>
                  <w:sz w:val="20"/>
                </w:rPr>
                <w:t>Voting Agreement, dated as of March 19, 2020, by and between the Company and Mistral Spa Holdings LLC (incorporated by reference to Exhibit 10.3 to the Company’s Current Report on Form 8-K filed with the SEC on March 19, 2020)</w:t>
              </w:r>
            </w:hyperlink>
          </w:p>
        </w:tc>
      </w:tr>
      <w:tr>
        <w:trPr/>
        <w:tc>
          <w:tcPr>
            <w:tcW w:w="796"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10.32</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48">
              <w:r>
                <w:rPr>
                  <w:rStyle w:val="InternetLink"/>
                  <w:rFonts w:ascii="Times New Roman;Times;serif" w:hAnsi="Times New Roman;Times;serif"/>
                  <w:b w:val="false"/>
                  <w:i w:val="false"/>
                  <w:caps w:val="false"/>
                  <w:smallCaps w:val="false"/>
                  <w:sz w:val="20"/>
                </w:rPr>
                <w:t>Securities Purchase Agreement, dated as of March 25, 2020, by and between the Company and the purchasers party thereto (incorporated by reference to Exhibit 10.1 to the Company’s Current Report on Form 8-K filed with the SEC on March 25, 2020)</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10.33</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49">
              <w:r>
                <w:rPr>
                  <w:rStyle w:val="InternetLink"/>
                  <w:rFonts w:ascii="Times New Roman;Times;serif" w:hAnsi="Times New Roman;Times;serif"/>
                  <w:b w:val="false"/>
                  <w:i w:val="false"/>
                  <w:caps w:val="false"/>
                  <w:smallCaps w:val="false"/>
                  <w:sz w:val="20"/>
                </w:rPr>
                <w:t>Securities Purchase Agreement, dated as of March 27, 2020, by and between the Company and the purchasers party thereto (incorporated by reference to Exhibit 10.1 to the Company’s Current Report on Form 8-K filed with the SEC on March 27, 2020)</w:t>
              </w:r>
            </w:hyperlink>
          </w:p>
        </w:tc>
      </w:tr>
      <w:tr>
        <w:trPr/>
        <w:tc>
          <w:tcPr>
            <w:tcW w:w="79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 </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10.34</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50">
              <w:r>
                <w:rPr>
                  <w:rStyle w:val="InternetLink"/>
                  <w:rFonts w:ascii="Times New Roman;Times;serif" w:hAnsi="Times New Roman;Times;serif"/>
                  <w:b w:val="false"/>
                  <w:i w:val="false"/>
                  <w:caps w:val="false"/>
                  <w:smallCaps w:val="false"/>
                  <w:sz w:val="20"/>
                </w:rPr>
                <w:t>Securities Purchase Agreement, dated as of April 6, 2020, by and between the Company and the purchasers party thereto (incorporated by reference to Exhibit 10.1 to the Company’s Current Report on Form 8-K filed with the SEC on April 7, 2020)</w:t>
              </w:r>
            </w:hyperlink>
          </w:p>
        </w:tc>
      </w:tr>
      <w:tr>
        <w:trPr/>
        <w:tc>
          <w:tcPr>
            <w:tcW w:w="796"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10.35†</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51">
              <w:r>
                <w:rPr>
                  <w:rStyle w:val="InternetLink"/>
                  <w:rFonts w:ascii="Times New Roman;Times;serif" w:hAnsi="Times New Roman;Times;serif"/>
                  <w:b w:val="false"/>
                  <w:i w:val="false"/>
                  <w:caps w:val="false"/>
                  <w:smallCaps w:val="false"/>
                  <w:sz w:val="20"/>
                </w:rPr>
                <w:t>Stock Option Grant under the XpresSpa Group Inc. 2020 Equity Incentive Plan (incorporated by reference to Exhibit 10.35 to the Company’s Annual Report on Form 10-K filed with the SEC on March 31, 2021)</w:t>
              </w:r>
            </w:hyperlink>
          </w:p>
        </w:tc>
      </w:tr>
      <w:tr>
        <w:trPr/>
        <w:tc>
          <w:tcPr>
            <w:tcW w:w="796"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10.36†</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52">
              <w:r>
                <w:rPr>
                  <w:rStyle w:val="InternetLink"/>
                  <w:rFonts w:ascii="Times New Roman;Times;serif" w:hAnsi="Times New Roman;Times;serif"/>
                  <w:b w:val="false"/>
                  <w:i w:val="false"/>
                  <w:caps w:val="false"/>
                  <w:smallCaps w:val="false"/>
                  <w:sz w:val="20"/>
                </w:rPr>
                <w:t>Notice of Restricted Stock Unit Award under the XpresSpa Group Inc. 2020 Equity Incentive Plan (incorporated by reference to Exhibit 10.36 to the Company’s Annual Report on Form 10-K filed with the SEC on March 31, 2021)</w:t>
              </w:r>
            </w:hyperlink>
          </w:p>
        </w:tc>
      </w:tr>
      <w:tr>
        <w:trPr/>
        <w:tc>
          <w:tcPr>
            <w:tcW w:w="796"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10.37</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53">
              <w:r>
                <w:rPr>
                  <w:rStyle w:val="InternetLink"/>
                  <w:rFonts w:ascii="Times New Roman;Times;serif" w:hAnsi="Times New Roman;Times;serif"/>
                  <w:b w:val="false"/>
                  <w:i w:val="false"/>
                  <w:caps w:val="false"/>
                  <w:smallCaps w:val="false"/>
                  <w:sz w:val="20"/>
                </w:rPr>
                <w:t>Form of Exchange Agreement, dated June 4, 2020 (incorporated by reference to Exhibit 10.1 to the Company’s Current Report on Form 8-K filed with the SEC on June 4, 2020)</w:t>
              </w:r>
            </w:hyperlink>
          </w:p>
        </w:tc>
      </w:tr>
      <w:tr>
        <w:trPr/>
        <w:tc>
          <w:tcPr>
            <w:tcW w:w="796"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w:t>
            </w:r>
          </w:p>
        </w:tc>
      </w:tr>
      <w:tr>
        <w:trPr/>
        <w:tc>
          <w:tcPr>
            <w:tcW w:w="79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10.38</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hyperlink r:id="rId54">
              <w:r>
                <w:rPr>
                  <w:rStyle w:val="InternetLink"/>
                  <w:rFonts w:ascii="Times New Roman;Times;serif" w:hAnsi="Times New Roman;Times;serif"/>
                  <w:b w:val="false"/>
                  <w:i w:val="false"/>
                  <w:caps w:val="false"/>
                  <w:smallCaps w:val="false"/>
                  <w:sz w:val="20"/>
                </w:rPr>
                <w:t>Form of Securities Purchase Agreement, dated as of June 17, 2020 (incorporated by reference to Exhibit 10.1 to the Company’s Current Report on Form 8-K filed with the SEC on June 17, 2020)</w:t>
              </w:r>
            </w:hyperlink>
          </w:p>
        </w:tc>
      </w:tr>
      <w:tr>
        <w:trPr/>
        <w:tc>
          <w:tcPr>
            <w:tcW w:w="796"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43" w:type="dxa"/>
            <w:tcBorders/>
            <w:shd w:fill="auto" w:val="clear"/>
            <w:tcMar>
              <w:bottom w:w="0" w:type="dxa"/>
            </w:tcMar>
            <w:vAlign w:val="center"/>
          </w:tcPr>
          <w:p>
            <w:pPr>
              <w:pStyle w:val="TableContents"/>
              <w:spacing w:before="0" w:after="0"/>
              <w:ind w:left="0" w:right="0" w:hanging="0"/>
              <w:rPr/>
            </w:pPr>
            <w:r>
              <w:rPr/>
              <w: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28" w:type="dxa"/>
          <w:right w:w="0" w:type="dxa"/>
        </w:tblCellMar>
      </w:tblPr>
      <w:tblGrid>
        <w:gridCol w:w="816"/>
        <w:gridCol w:w="266"/>
        <w:gridCol w:w="9123"/>
      </w:tblGrid>
      <w:tr>
        <w:trPr/>
        <w:tc>
          <w:tcPr>
            <w:tcW w:w="816" w:type="dxa"/>
            <w:tcBorders>
              <w:bottom w:val="single" w:sz="8" w:space="0" w:color="000000"/>
            </w:tcBorders>
            <w:shd w:fill="auto" w:val="cle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w:t>
              <w:br/>
              <w:t>No.</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9123" w:type="dxa"/>
            <w:tcBorders>
              <w:bottom w:val="single" w:sz="8" w:space="0" w:color="000000"/>
            </w:tcBorders>
            <w:shd w:fill="auto" w:val="clear"/>
            <w:vAlign w:val="center"/>
          </w:tcPr>
          <w:p>
            <w:pPr>
              <w:pStyle w:val="TableHeading"/>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16" w:type="dxa"/>
            <w:tcBorders/>
            <w:shd w:fill="auto" w:val="clear"/>
            <w:tcMar>
              <w:bottom w:w="0" w:type="dxa"/>
            </w:tcMar>
            <w:vAlign w:val="center"/>
          </w:tcPr>
          <w:p>
            <w:pPr>
              <w:pStyle w:val="TableHeading"/>
              <w:spacing w:before="0" w:after="0"/>
              <w:ind w:left="0" w:right="0" w:hanging="0"/>
              <w:jc w:val="left"/>
              <w:rPr/>
            </w:pPr>
            <w:r>
              <w:rPr/>
              <w:t>​</w:t>
            </w:r>
          </w:p>
        </w:tc>
        <w:tc>
          <w:tcPr>
            <w:tcW w:w="266" w:type="dxa"/>
            <w:tcBorders/>
            <w:shd w:fill="auto" w:val="clear"/>
            <w:tcMar>
              <w:bottom w:w="0" w:type="dxa"/>
            </w:tcMar>
            <w:vAlign w:val="center"/>
          </w:tcPr>
          <w:p>
            <w:pPr>
              <w:pStyle w:val="TableHeading"/>
              <w:spacing w:before="0" w:after="0"/>
              <w:ind w:left="0" w:right="0" w:hanging="0"/>
              <w:jc w:val="left"/>
              <w:rPr/>
            </w:pPr>
            <w:r>
              <w:rPr/>
              <w:t>​</w:t>
            </w:r>
          </w:p>
        </w:tc>
        <w:tc>
          <w:tcPr>
            <w:tcW w:w="9123" w:type="dxa"/>
            <w:tcBorders/>
            <w:shd w:fill="auto" w:val="clear"/>
            <w:tcMar>
              <w:bottom w:w="0" w:type="dxa"/>
            </w:tcMar>
            <w:vAlign w:val="center"/>
          </w:tcPr>
          <w:p>
            <w:pPr>
              <w:pStyle w:val="TableHeading"/>
              <w:spacing w:before="0" w:after="0"/>
              <w:ind w:left="0" w:right="0" w:hanging="0"/>
              <w:jc w:val="left"/>
              <w:rPr/>
            </w:pPr>
            <w:r>
              <w:rPr/>
              <w:t>​</w:t>
            </w:r>
          </w:p>
        </w:tc>
      </w:tr>
      <w:tr>
        <w:trPr/>
        <w:tc>
          <w:tcPr>
            <w:tcW w:w="81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10.39</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pPr>
            <w:hyperlink r:id="rId55">
              <w:r>
                <w:rPr>
                  <w:rStyle w:val="InternetLink"/>
                  <w:rFonts w:ascii="Times New Roman;Times;serif" w:hAnsi="Times New Roman;Times;serif"/>
                  <w:b w:val="false"/>
                  <w:i w:val="false"/>
                  <w:caps w:val="false"/>
                  <w:smallCaps w:val="false"/>
                  <w:sz w:val="20"/>
                </w:rPr>
                <w:t>Form of Securities Purchase Agreement, dated as of August 25, 2020 (incorporated by reference to Exhibit 10.1 to the Company’s Current Report on Form 8-K filed with the SEC on August 28, 2020)</w:t>
              </w:r>
            </w:hyperlink>
          </w:p>
        </w:tc>
      </w:tr>
      <w:tr>
        <w:trPr/>
        <w:tc>
          <w:tcPr>
            <w:tcW w:w="816"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pPr>
            <w:r>
              <w:rPr/>
              <w:t>​</w:t>
            </w:r>
          </w:p>
        </w:tc>
      </w:tr>
      <w:tr>
        <w:trPr/>
        <w:tc>
          <w:tcPr>
            <w:tcW w:w="81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10.40†</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pPr>
            <w:hyperlink r:id="rId56">
              <w:r>
                <w:rPr>
                  <w:rStyle w:val="InternetLink"/>
                  <w:rFonts w:ascii="Times New Roman;Times;serif" w:hAnsi="Times New Roman;Times;serif"/>
                  <w:b w:val="false"/>
                  <w:i w:val="false"/>
                  <w:caps w:val="false"/>
                  <w:smallCaps w:val="false"/>
                  <w:sz w:val="20"/>
                </w:rPr>
                <w:t>XpresTest, Inc. 2020 Equity Incentive Plan (incorporated by reference to Exhibit 10.1 to the Company’s Current Report on Form 8-K filed with the SEC on September 28, 2020)</w:t>
              </w:r>
            </w:hyperlink>
          </w:p>
        </w:tc>
      </w:tr>
      <w:tr>
        <w:trPr/>
        <w:tc>
          <w:tcPr>
            <w:tcW w:w="816"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pPr>
            <w:r>
              <w:rPr/>
              <w:t>​</w:t>
            </w:r>
          </w:p>
        </w:tc>
      </w:tr>
      <w:tr>
        <w:trPr/>
        <w:tc>
          <w:tcPr>
            <w:tcW w:w="81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10.41†</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pPr>
            <w:hyperlink r:id="rId57">
              <w:r>
                <w:rPr>
                  <w:rStyle w:val="InternetLink"/>
                  <w:rFonts w:ascii="Times New Roman;Times;serif" w:hAnsi="Times New Roman;Times;serif"/>
                  <w:b w:val="false"/>
                  <w:i w:val="false"/>
                  <w:caps w:val="false"/>
                  <w:smallCaps w:val="false"/>
                  <w:sz w:val="20"/>
                </w:rPr>
                <w:t>XpresSpa Group, Inc. 2020 Equity Incentive Plan (incorporated by reference to Exhibit 10.1 to the Company’s Current Report on Form 8-K filed with the SEC on October 30, 2020)</w:t>
              </w:r>
            </w:hyperlink>
          </w:p>
        </w:tc>
      </w:tr>
      <w:tr>
        <w:trPr/>
        <w:tc>
          <w:tcPr>
            <w:tcW w:w="816"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pPr>
            <w:r>
              <w:rPr/>
              <w:t>​</w:t>
            </w:r>
          </w:p>
        </w:tc>
      </w:tr>
      <w:tr>
        <w:trPr/>
        <w:tc>
          <w:tcPr>
            <w:tcW w:w="81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10.42</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pPr>
            <w:hyperlink r:id="rId58">
              <w:r>
                <w:rPr>
                  <w:rStyle w:val="InternetLink"/>
                  <w:rFonts w:ascii="Times New Roman;Times;serif" w:hAnsi="Times New Roman;Times;serif"/>
                  <w:b w:val="false"/>
                  <w:i w:val="false"/>
                  <w:caps w:val="false"/>
                  <w:smallCaps w:val="false"/>
                  <w:sz w:val="20"/>
                </w:rPr>
                <w:t>Form of Securities Purchase Agreement, dated as of December 17, 2020 (incorporated by reference to Exhibit 10.1 to the Company’s Current Report on Form 8-K filed with the SEC on December 21, 2020)</w:t>
              </w:r>
            </w:hyperlink>
          </w:p>
        </w:tc>
      </w:tr>
      <w:tr>
        <w:trPr/>
        <w:tc>
          <w:tcPr>
            <w:tcW w:w="81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pPr>
            <w:r>
              <w:rPr/>
              <w:t> </w:t>
            </w:r>
          </w:p>
        </w:tc>
      </w:tr>
      <w:tr>
        <w:trPr/>
        <w:tc>
          <w:tcPr>
            <w:tcW w:w="81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10.43†</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pPr>
            <w:hyperlink r:id="rId59">
              <w:r>
                <w:rPr>
                  <w:rStyle w:val="InternetLink"/>
                  <w:rFonts w:ascii="Times New Roman;Times;serif" w:hAnsi="Times New Roman;Times;serif"/>
                  <w:b w:val="false"/>
                  <w:i w:val="false"/>
                  <w:caps w:val="false"/>
                  <w:smallCaps w:val="false"/>
                  <w:sz w:val="20"/>
                </w:rPr>
                <w:t>Form of XpresTest, Inc. Restricted Stock Award Agreement (incorporated by reference to Exhibit 10.45 to the Company’s Amendment No. 1 to Annual Report on Form 10-K/A filed with the SEC on April 30, 2021)</w:t>
              </w:r>
            </w:hyperlink>
          </w:p>
        </w:tc>
      </w:tr>
      <w:tr>
        <w:trPr/>
        <w:tc>
          <w:tcPr>
            <w:tcW w:w="816"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pPr>
            <w:r>
              <w:rPr/>
              <w:t>​</w:t>
            </w:r>
          </w:p>
        </w:tc>
      </w:tr>
      <w:tr>
        <w:trPr/>
        <w:tc>
          <w:tcPr>
            <w:tcW w:w="81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10.44†*</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pPr>
            <w:hyperlink r:id="rId60">
              <w:r>
                <w:rPr>
                  <w:rStyle w:val="InternetLink"/>
                  <w:rFonts w:ascii="Times New Roman;Times;serif" w:hAnsi="Times New Roman;Times;serif"/>
                  <w:b w:val="false"/>
                  <w:i w:val="false"/>
                  <w:caps w:val="false"/>
                  <w:smallCaps w:val="false"/>
                  <w:sz w:val="20"/>
                </w:rPr>
                <w:t>Executive Employment Agreement dated January 9, 2022, between the Company and Ezra T. Ernst (incorporated by reference from Exhibit 10.2 to our Quarterly Report on From 10-Q filed with the SEC on November 14, 2022)</w:t>
              </w:r>
            </w:hyperlink>
          </w:p>
        </w:tc>
      </w:tr>
      <w:tr>
        <w:trPr/>
        <w:tc>
          <w:tcPr>
            <w:tcW w:w="816"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pPr>
            <w:r>
              <w:rPr/>
              <w:t>​</w:t>
            </w:r>
          </w:p>
        </w:tc>
      </w:tr>
      <w:tr>
        <w:trPr/>
        <w:tc>
          <w:tcPr>
            <w:tcW w:w="81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10.45†</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pPr>
            <w:hyperlink r:id="rId61">
              <w:r>
                <w:rPr>
                  <w:rStyle w:val="InternetLink"/>
                  <w:rFonts w:ascii="Times New Roman;Times;serif" w:hAnsi="Times New Roman;Times;serif"/>
                  <w:b w:val="false"/>
                  <w:i w:val="false"/>
                  <w:caps w:val="false"/>
                  <w:smallCaps w:val="false"/>
                  <w:sz w:val="20"/>
                </w:rPr>
                <w:t>Stock Option Agreement between XpresSpa Group, Inc. and Ezra Ernst dated January 14, 2022 (incorporated by reference from Exhibit 10.1 to our Registration Statement on Form S-8 filed on March 31, 2022).</w:t>
              </w:r>
            </w:hyperlink>
          </w:p>
        </w:tc>
      </w:tr>
      <w:tr>
        <w:trPr/>
        <w:tc>
          <w:tcPr>
            <w:tcW w:w="816"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pPr>
            <w:r>
              <w:rPr/>
              <w:t>​</w:t>
            </w:r>
          </w:p>
        </w:tc>
      </w:tr>
      <w:tr>
        <w:trPr/>
        <w:tc>
          <w:tcPr>
            <w:tcW w:w="81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10.46†</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pPr>
            <w:hyperlink r:id="rId62">
              <w:r>
                <w:rPr>
                  <w:rStyle w:val="InternetLink"/>
                  <w:rFonts w:ascii="Times New Roman;Times;serif" w:hAnsi="Times New Roman;Times;serif"/>
                  <w:b w:val="false"/>
                  <w:i w:val="false"/>
                  <w:caps w:val="false"/>
                  <w:smallCaps w:val="false"/>
                  <w:sz w:val="20"/>
                </w:rPr>
                <w:t>Executive Employment Agreement dated March 28, 2022, between the Company and Scott Milford. (incorporated by reference from Exhibit 10.48 to our Annual Report on Form 10-K filed with the SEC on March 31, 2022)</w:t>
              </w:r>
            </w:hyperlink>
          </w:p>
        </w:tc>
      </w:tr>
      <w:tr>
        <w:trPr/>
        <w:tc>
          <w:tcPr>
            <w:tcW w:w="816"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pPr>
            <w:r>
              <w:rPr/>
              <w:t>​</w:t>
            </w:r>
          </w:p>
        </w:tc>
      </w:tr>
      <w:tr>
        <w:trPr/>
        <w:tc>
          <w:tcPr>
            <w:tcW w:w="81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10.47†</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pPr>
            <w:hyperlink r:id="rId63">
              <w:r>
                <w:rPr>
                  <w:rStyle w:val="InternetLink"/>
                  <w:rFonts w:ascii="Times New Roman;Times;serif" w:hAnsi="Times New Roman;Times;serif"/>
                  <w:b w:val="false"/>
                  <w:i w:val="false"/>
                  <w:caps w:val="false"/>
                  <w:smallCaps w:val="false"/>
                  <w:sz w:val="20"/>
                </w:rPr>
                <w:t>XWELL, Inc. (formerly known as XpresSpa Group, Inc.) 2020 Equity Incentive Plan, as amended October 4, 2022 (incorporated by reference to Exhibit 10.1 to our Registration Statement on Form S-8 filed with the SEC on October 25, 2022).</w:t>
              </w:r>
            </w:hyperlink>
          </w:p>
        </w:tc>
      </w:tr>
      <w:tr>
        <w:trPr/>
        <w:tc>
          <w:tcPr>
            <w:tcW w:w="816"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pPr>
            <w:r>
              <w:rPr/>
              <w:t>​</w:t>
            </w:r>
          </w:p>
        </w:tc>
      </w:tr>
      <w:tr>
        <w:trPr/>
        <w:tc>
          <w:tcPr>
            <w:tcW w:w="81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23.1</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pPr>
            <w:hyperlink r:id="rId64">
              <w:r>
                <w:rPr>
                  <w:rStyle w:val="InternetLink"/>
                  <w:rFonts w:ascii="Times New Roman;Times;serif" w:hAnsi="Times New Roman;Times;serif"/>
                  <w:b w:val="false"/>
                  <w:i w:val="false"/>
                  <w:caps w:val="false"/>
                  <w:smallCaps w:val="false"/>
                  <w:sz w:val="20"/>
                </w:rPr>
                <w:t>Consent of Marcum LLP, independent registered public accounting firm</w:t>
              </w:r>
            </w:hyperlink>
            <w:r>
              <w:rPr>
                <w:rFonts w:ascii="Times New Roman;Times;serif" w:hAnsi="Times New Roman;Times;serif"/>
                <w:sz w:val="20"/>
              </w:rPr>
              <w:t xml:space="preserve"> (incorporated by reference from Exhibit 23.1 to our Annual Report on Form 10-K filed with the SEC on April 17, 2023)</w:t>
            </w:r>
          </w:p>
        </w:tc>
      </w:tr>
      <w:tr>
        <w:trPr/>
        <w:tc>
          <w:tcPr>
            <w:tcW w:w="816"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pPr>
            <w:r>
              <w:rPr/>
              <w:t>​</w:t>
            </w:r>
          </w:p>
        </w:tc>
      </w:tr>
      <w:tr>
        <w:trPr/>
        <w:tc>
          <w:tcPr>
            <w:tcW w:w="81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23.2</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pPr>
            <w:hyperlink r:id="rId65">
              <w:r>
                <w:rPr>
                  <w:rStyle w:val="InternetLink"/>
                  <w:rFonts w:ascii="Times New Roman;Times;serif" w:hAnsi="Times New Roman;Times;serif"/>
                  <w:b w:val="false"/>
                  <w:i w:val="false"/>
                  <w:caps w:val="false"/>
                  <w:smallCaps w:val="false"/>
                  <w:sz w:val="20"/>
                </w:rPr>
                <w:t>Consent of Friedman LLP, independent registered public accounting firm</w:t>
              </w:r>
            </w:hyperlink>
            <w:r>
              <w:rPr>
                <w:rFonts w:ascii="Times New Roman;Times;serif" w:hAnsi="Times New Roman;Times;serif"/>
                <w:sz w:val="20"/>
              </w:rPr>
              <w:t xml:space="preserve"> (incorporated by reference from Exhibit 23.2 to our Annual Report on Form 10-K filed with the SEC on April 17, 2023)</w:t>
            </w:r>
          </w:p>
        </w:tc>
      </w:tr>
      <w:tr>
        <w:trPr/>
        <w:tc>
          <w:tcPr>
            <w:tcW w:w="81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pPr>
            <w:r>
              <w:rPr/>
              <w:t> </w:t>
            </w:r>
          </w:p>
        </w:tc>
      </w:tr>
      <w:tr>
        <w:trPr/>
        <w:tc>
          <w:tcPr>
            <w:tcW w:w="81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31.1*</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pPr>
            <w:hyperlink w:anchor="xwel-20221231xex31d1.htm">
              <w:r>
                <w:rPr>
                  <w:rStyle w:val="InternetLink"/>
                  <w:rFonts w:ascii="Times New Roman;Times;serif" w:hAnsi="Times New Roman;Times;serif"/>
                  <w:b w:val="false"/>
                  <w:i w:val="false"/>
                  <w:caps w:val="false"/>
                  <w:smallCaps w:val="false"/>
                  <w:sz w:val="20"/>
                </w:rPr>
                <w:t>Certification of Principal Executive Officer pursuant to Exchange Act, Rules 13a – 14(a) and 15d – 14(a), as adopted pursuant to Section 302 of the Sarbanes-Oxley Act of 2002</w:t>
              </w:r>
            </w:hyperlink>
          </w:p>
        </w:tc>
      </w:tr>
      <w:tr>
        <w:trPr/>
        <w:tc>
          <w:tcPr>
            <w:tcW w:w="816"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pPr>
            <w:r>
              <w:rPr/>
              <w:t>​</w:t>
            </w:r>
          </w:p>
        </w:tc>
      </w:tr>
      <w:tr>
        <w:trPr/>
        <w:tc>
          <w:tcPr>
            <w:tcW w:w="81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31.2*</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pPr>
            <w:hyperlink w:anchor="xwel-20221231xex31d2.htm">
              <w:r>
                <w:rPr>
                  <w:rStyle w:val="InternetLink"/>
                  <w:rFonts w:ascii="Times New Roman;Times;serif" w:hAnsi="Times New Roman;Times;serif"/>
                  <w:b w:val="false"/>
                  <w:i w:val="false"/>
                  <w:caps w:val="false"/>
                  <w:smallCaps w:val="false"/>
                  <w:sz w:val="20"/>
                </w:rPr>
                <w:t>Certification of Principal Financial Officer pursuant to Exchange Act, Rules 13a – 14(a) and 15d – 14(a), as adopted pursuant to Section 302 of the Sarbanes-Oxley Act of 2002</w:t>
              </w:r>
            </w:hyperlink>
          </w:p>
        </w:tc>
      </w:tr>
      <w:tr>
        <w:trPr/>
        <w:tc>
          <w:tcPr>
            <w:tcW w:w="816"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pPr>
            <w:r>
              <w:rPr/>
              <w:t>​</w:t>
            </w:r>
          </w:p>
        </w:tc>
      </w:tr>
      <w:tr>
        <w:trPr/>
        <w:tc>
          <w:tcPr>
            <w:tcW w:w="81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pPr>
            <w:hyperlink r:id="rId66">
              <w:r>
                <w:rPr>
                  <w:rStyle w:val="InternetLink"/>
                  <w:rFonts w:ascii="Times New Roman;Times;serif" w:hAnsi="Times New Roman;Times;serif"/>
                  <w:b w:val="false"/>
                  <w:i w:val="false"/>
                  <w:caps w:val="false"/>
                  <w:smallCaps w:val="false"/>
                  <w:sz w:val="20"/>
                </w:rPr>
                <w:t>Certifications of Principal Executive Officer and Principal Financial Officer Pursuant to 18 U.S.C. Section 1350, as adopted pursuant to Section 906 of the Sarbanes-Oxley Act of 2002 (incorporated by reference from Exhibit 32 to our Annual Report on Form 10-K filed with the SEC on April 17, 2023)</w:t>
              </w:r>
            </w:hyperlink>
          </w:p>
        </w:tc>
      </w:tr>
      <w:tr>
        <w:trPr/>
        <w:tc>
          <w:tcPr>
            <w:tcW w:w="816"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pPr>
            <w:r>
              <w:rPr/>
              <w:t>​</w:t>
            </w:r>
          </w:p>
        </w:tc>
      </w:tr>
      <w:tr>
        <w:trPr/>
        <w:tc>
          <w:tcPr>
            <w:tcW w:w="81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101.INS</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Instance Document.</w:t>
            </w:r>
          </w:p>
        </w:tc>
      </w:tr>
      <w:tr>
        <w:trPr/>
        <w:tc>
          <w:tcPr>
            <w:tcW w:w="816"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pPr>
            <w:r>
              <w:rPr/>
              <w:t> </w:t>
            </w:r>
          </w:p>
        </w:tc>
      </w:tr>
      <w:tr>
        <w:trPr/>
        <w:tc>
          <w:tcPr>
            <w:tcW w:w="81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101.SCH</w:t>
            </w:r>
          </w:p>
        </w:tc>
        <w:tc>
          <w:tcPr>
            <w:tcW w:w="266" w:type="dxa"/>
            <w:tcBorders/>
            <w:shd w:fill="auto" w:val="clear"/>
            <w:tcMar>
              <w:bottom w:w="0" w:type="dxa"/>
            </w:tcMar>
            <w:vAlign w:val="center"/>
          </w:tcPr>
          <w:p>
            <w:pPr>
              <w:pStyle w:val="TableContents"/>
              <w:spacing w:before="0" w:after="0"/>
              <w:ind w:left="0" w:right="0" w:hanging="0"/>
              <w:rPr/>
            </w:pPr>
            <w:r>
              <w:rPr/>
              <w:t>​</w:t>
            </w:r>
          </w:p>
        </w:tc>
        <w:tc>
          <w:tcPr>
            <w:tcW w:w="9123"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Schema Document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7813" w:type="dxa"/>
        <w:jc w:val="left"/>
        <w:tblInd w:w="0" w:type="dxa"/>
        <w:tblCellMar>
          <w:top w:w="0" w:type="dxa"/>
          <w:left w:w="0" w:type="dxa"/>
          <w:bottom w:w="28" w:type="dxa"/>
          <w:right w:w="0" w:type="dxa"/>
        </w:tblCellMar>
      </w:tblPr>
      <w:tblGrid>
        <w:gridCol w:w="871"/>
        <w:gridCol w:w="266"/>
        <w:gridCol w:w="6676"/>
      </w:tblGrid>
      <w:tr>
        <w:trPr/>
        <w:tc>
          <w:tcPr>
            <w:tcW w:w="871" w:type="dxa"/>
            <w:tcBorders>
              <w:bottom w:val="single" w:sz="8" w:space="0" w:color="000000"/>
            </w:tcBorders>
            <w:shd w:fill="auto" w:val="clear"/>
            <w:vAlign w:val="center"/>
          </w:tcPr>
          <w:p>
            <w:pPr>
              <w:pStyle w:val="TableHeading"/>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w:t>
              <w:br/>
              <w:t>No.</w:t>
            </w:r>
          </w:p>
        </w:tc>
        <w:tc>
          <w:tcPr>
            <w:tcW w:w="266" w:type="dxa"/>
            <w:tcBorders/>
            <w:shd w:fill="auto" w:val="clear"/>
            <w:tcMar>
              <w:bottom w:w="0" w:type="dxa"/>
            </w:tcMar>
            <w:vAlign w:val="center"/>
          </w:tcPr>
          <w:p>
            <w:pPr>
              <w:pStyle w:val="TableHeading"/>
              <w:spacing w:before="0" w:after="0"/>
              <w:ind w:left="0" w:right="0" w:hanging="0"/>
              <w:jc w:val="left"/>
              <w:rPr/>
            </w:pPr>
            <w:r>
              <w:rPr/>
              <w:t>   </w:t>
            </w:r>
          </w:p>
        </w:tc>
        <w:tc>
          <w:tcPr>
            <w:tcW w:w="6676" w:type="dxa"/>
            <w:tcBorders>
              <w:bottom w:val="single" w:sz="8" w:space="0" w:color="000000"/>
            </w:tcBorders>
            <w:shd w:fill="auto" w:val="clear"/>
            <w:vAlign w:val="center"/>
          </w:tcPr>
          <w:p>
            <w:pPr>
              <w:pStyle w:val="TableHeading"/>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71" w:type="dxa"/>
            <w:tcBorders/>
            <w:shd w:fill="auto" w:val="clear"/>
            <w:tcMar>
              <w:bottom w:w="0" w:type="dxa"/>
            </w:tcMar>
            <w:vAlign w:val="center"/>
          </w:tcPr>
          <w:p>
            <w:pPr>
              <w:pStyle w:val="TableHeading"/>
              <w:spacing w:before="0" w:after="0"/>
              <w:ind w:left="0" w:right="0" w:hanging="0"/>
              <w:jc w:val="left"/>
              <w:rPr/>
            </w:pPr>
            <w:r>
              <w:rPr/>
              <w:t>​</w:t>
            </w:r>
          </w:p>
        </w:tc>
        <w:tc>
          <w:tcPr>
            <w:tcW w:w="266" w:type="dxa"/>
            <w:tcBorders/>
            <w:shd w:fill="auto" w:val="clear"/>
            <w:tcMar>
              <w:bottom w:w="0" w:type="dxa"/>
            </w:tcMar>
            <w:vAlign w:val="center"/>
          </w:tcPr>
          <w:p>
            <w:pPr>
              <w:pStyle w:val="TableHeading"/>
              <w:spacing w:before="0" w:after="0"/>
              <w:ind w:left="0" w:right="0" w:hanging="0"/>
              <w:jc w:val="left"/>
              <w:rPr/>
            </w:pPr>
            <w:r>
              <w:rPr/>
              <w:t>​</w:t>
            </w:r>
          </w:p>
        </w:tc>
        <w:tc>
          <w:tcPr>
            <w:tcW w:w="6676" w:type="dxa"/>
            <w:tcBorders/>
            <w:shd w:fill="auto" w:val="clear"/>
            <w:tcMar>
              <w:bottom w:w="0" w:type="dxa"/>
            </w:tcMar>
            <w:vAlign w:val="center"/>
          </w:tcPr>
          <w:p>
            <w:pPr>
              <w:pStyle w:val="TableHeading"/>
              <w:spacing w:before="0" w:after="0"/>
              <w:ind w:left="0" w:right="0" w:hanging="0"/>
              <w:jc w:val="left"/>
              <w:rPr/>
            </w:pPr>
            <w:r>
              <w:rPr/>
              <w:t>​</w:t>
            </w:r>
          </w:p>
        </w:tc>
      </w:tr>
      <w:tr>
        <w:trPr/>
        <w:tc>
          <w:tcPr>
            <w:tcW w:w="87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6676" w:type="dxa"/>
            <w:tcBorders/>
            <w:shd w:fill="auto" w:val="clear"/>
            <w:tcMar>
              <w:bottom w:w="0" w:type="dxa"/>
            </w:tcMar>
            <w:vAlign w:val="center"/>
          </w:tcPr>
          <w:p>
            <w:pPr>
              <w:pStyle w:val="TableContents"/>
              <w:spacing w:before="0" w:after="0"/>
              <w:ind w:left="0" w:right="0" w:hanging="0"/>
              <w:rPr/>
            </w:pPr>
            <w:r>
              <w:rPr/>
              <w:t>​</w:t>
            </w:r>
          </w:p>
        </w:tc>
      </w:tr>
      <w:tr>
        <w:trPr/>
        <w:tc>
          <w:tcPr>
            <w:tcW w:w="87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101.CAL</w:t>
            </w:r>
          </w:p>
        </w:tc>
        <w:tc>
          <w:tcPr>
            <w:tcW w:w="266" w:type="dxa"/>
            <w:tcBorders/>
            <w:shd w:fill="auto" w:val="clear"/>
            <w:tcMar>
              <w:bottom w:w="0" w:type="dxa"/>
            </w:tcMar>
            <w:vAlign w:val="center"/>
          </w:tcPr>
          <w:p>
            <w:pPr>
              <w:pStyle w:val="TableContents"/>
              <w:spacing w:before="0" w:after="0"/>
              <w:ind w:left="0" w:right="0" w:hanging="0"/>
              <w:rPr/>
            </w:pPr>
            <w:r>
              <w:rPr/>
              <w:t>​</w:t>
            </w:r>
          </w:p>
        </w:tc>
        <w:tc>
          <w:tcPr>
            <w:tcW w:w="667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7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6676" w:type="dxa"/>
            <w:tcBorders/>
            <w:shd w:fill="auto" w:val="clear"/>
            <w:tcMar>
              <w:bottom w:w="0" w:type="dxa"/>
            </w:tcMar>
            <w:vAlign w:val="center"/>
          </w:tcPr>
          <w:p>
            <w:pPr>
              <w:pStyle w:val="TableContents"/>
              <w:spacing w:before="0" w:after="0"/>
              <w:ind w:left="0" w:right="0" w:hanging="0"/>
              <w:rPr/>
            </w:pPr>
            <w:r>
              <w:rPr/>
              <w:t>​</w:t>
            </w:r>
          </w:p>
        </w:tc>
      </w:tr>
      <w:tr>
        <w:trPr/>
        <w:tc>
          <w:tcPr>
            <w:tcW w:w="87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101.DEF</w:t>
            </w:r>
          </w:p>
        </w:tc>
        <w:tc>
          <w:tcPr>
            <w:tcW w:w="266" w:type="dxa"/>
            <w:tcBorders/>
            <w:shd w:fill="auto" w:val="clear"/>
            <w:tcMar>
              <w:bottom w:w="0" w:type="dxa"/>
            </w:tcMar>
            <w:vAlign w:val="center"/>
          </w:tcPr>
          <w:p>
            <w:pPr>
              <w:pStyle w:val="TableContents"/>
              <w:spacing w:before="0" w:after="0"/>
              <w:ind w:left="0" w:right="0" w:hanging="0"/>
              <w:rPr/>
            </w:pPr>
            <w:r>
              <w:rPr/>
              <w:t>​</w:t>
            </w:r>
          </w:p>
        </w:tc>
        <w:tc>
          <w:tcPr>
            <w:tcW w:w="667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7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6676" w:type="dxa"/>
            <w:tcBorders/>
            <w:shd w:fill="auto" w:val="clear"/>
            <w:tcMar>
              <w:bottom w:w="0" w:type="dxa"/>
            </w:tcMar>
            <w:vAlign w:val="center"/>
          </w:tcPr>
          <w:p>
            <w:pPr>
              <w:pStyle w:val="TableContents"/>
              <w:spacing w:before="0" w:after="0"/>
              <w:ind w:left="0" w:right="0" w:hanging="0"/>
              <w:rPr/>
            </w:pPr>
            <w:r>
              <w:rPr/>
              <w:t> </w:t>
            </w:r>
          </w:p>
        </w:tc>
      </w:tr>
      <w:tr>
        <w:trPr/>
        <w:tc>
          <w:tcPr>
            <w:tcW w:w="87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101.LAB</w:t>
            </w:r>
          </w:p>
        </w:tc>
        <w:tc>
          <w:tcPr>
            <w:tcW w:w="266" w:type="dxa"/>
            <w:tcBorders/>
            <w:shd w:fill="auto" w:val="clear"/>
            <w:tcMar>
              <w:bottom w:w="0" w:type="dxa"/>
            </w:tcMar>
            <w:vAlign w:val="center"/>
          </w:tcPr>
          <w:p>
            <w:pPr>
              <w:pStyle w:val="TableContents"/>
              <w:spacing w:before="0" w:after="0"/>
              <w:ind w:left="0" w:right="0" w:hanging="0"/>
              <w:rPr/>
            </w:pPr>
            <w:r>
              <w:rPr/>
              <w:t>​</w:t>
            </w:r>
          </w:p>
        </w:tc>
        <w:tc>
          <w:tcPr>
            <w:tcW w:w="667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71" w:type="dxa"/>
            <w:tcBorders/>
            <w:shd w:fill="auto" w:val="clear"/>
            <w:tcMar>
              <w:bottom w:w="0" w:type="dxa"/>
            </w:tcMar>
            <w:vAlign w:val="center"/>
          </w:tcPr>
          <w:p>
            <w:pPr>
              <w:pStyle w:val="TableContents"/>
              <w:spacing w:before="0" w:after="0"/>
              <w:ind w:left="0" w:right="0" w:hanging="0"/>
              <w:rPr/>
            </w:pPr>
            <w:r>
              <w:rPr/>
              <w:t> </w:t>
            </w:r>
          </w:p>
        </w:tc>
        <w:tc>
          <w:tcPr>
            <w:tcW w:w="266" w:type="dxa"/>
            <w:tcBorders/>
            <w:shd w:fill="auto" w:val="clear"/>
            <w:tcMar>
              <w:bottom w:w="0" w:type="dxa"/>
            </w:tcMar>
            <w:vAlign w:val="center"/>
          </w:tcPr>
          <w:p>
            <w:pPr>
              <w:pStyle w:val="TableContents"/>
              <w:spacing w:before="0" w:after="0"/>
              <w:ind w:left="0" w:right="0" w:hanging="0"/>
              <w:rPr/>
            </w:pPr>
            <w:r>
              <w:rPr/>
              <w:t>​</w:t>
            </w:r>
          </w:p>
        </w:tc>
        <w:tc>
          <w:tcPr>
            <w:tcW w:w="6676" w:type="dxa"/>
            <w:tcBorders/>
            <w:shd w:fill="auto" w:val="clear"/>
            <w:tcMar>
              <w:bottom w:w="0" w:type="dxa"/>
            </w:tcMar>
            <w:vAlign w:val="center"/>
          </w:tcPr>
          <w:p>
            <w:pPr>
              <w:pStyle w:val="TableContents"/>
              <w:spacing w:before="0" w:after="0"/>
              <w:ind w:left="0" w:right="0" w:hanging="0"/>
              <w:rPr/>
            </w:pPr>
            <w:r>
              <w:rPr/>
              <w:t> </w:t>
            </w:r>
          </w:p>
        </w:tc>
      </w:tr>
      <w:tr>
        <w:trPr/>
        <w:tc>
          <w:tcPr>
            <w:tcW w:w="87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101.PRE</w:t>
            </w:r>
          </w:p>
        </w:tc>
        <w:tc>
          <w:tcPr>
            <w:tcW w:w="266" w:type="dxa"/>
            <w:tcBorders/>
            <w:shd w:fill="auto" w:val="clear"/>
            <w:tcMar>
              <w:bottom w:w="0" w:type="dxa"/>
            </w:tcMar>
            <w:vAlign w:val="center"/>
          </w:tcPr>
          <w:p>
            <w:pPr>
              <w:pStyle w:val="TableContents"/>
              <w:spacing w:before="0" w:after="0"/>
              <w:ind w:left="0" w:right="0" w:hanging="0"/>
              <w:rPr/>
            </w:pPr>
            <w:r>
              <w:rPr/>
              <w:t>​</w:t>
            </w:r>
          </w:p>
        </w:tc>
        <w:tc>
          <w:tcPr>
            <w:tcW w:w="667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71" w:type="dxa"/>
            <w:tcBorders/>
            <w:shd w:fill="auto" w:val="clear"/>
            <w:tcMar>
              <w:bottom w:w="0" w:type="dxa"/>
            </w:tcMar>
            <w:vAlign w:val="center"/>
          </w:tcPr>
          <w:p>
            <w:pPr>
              <w:pStyle w:val="TableContents"/>
              <w:spacing w:before="0" w:after="0"/>
              <w:ind w:left="0" w:right="0" w:hanging="0"/>
              <w:rPr/>
            </w:pPr>
            <w:r>
              <w:rPr/>
              <w:t>​</w:t>
            </w:r>
          </w:p>
        </w:tc>
        <w:tc>
          <w:tcPr>
            <w:tcW w:w="266" w:type="dxa"/>
            <w:tcBorders/>
            <w:shd w:fill="auto" w:val="clear"/>
            <w:tcMar>
              <w:bottom w:w="0" w:type="dxa"/>
            </w:tcMar>
            <w:vAlign w:val="center"/>
          </w:tcPr>
          <w:p>
            <w:pPr>
              <w:pStyle w:val="TableContents"/>
              <w:spacing w:before="0" w:after="0"/>
              <w:ind w:left="0" w:right="0" w:hanging="0"/>
              <w:rPr/>
            </w:pPr>
            <w:r>
              <w:rPr/>
              <w:t>​</w:t>
            </w:r>
          </w:p>
        </w:tc>
        <w:tc>
          <w:tcPr>
            <w:tcW w:w="6676" w:type="dxa"/>
            <w:tcBorders/>
            <w:shd w:fill="auto" w:val="clear"/>
            <w:tcMar>
              <w:bottom w:w="0" w:type="dxa"/>
            </w:tcMar>
            <w:vAlign w:val="center"/>
          </w:tcPr>
          <w:p>
            <w:pPr>
              <w:pStyle w:val="TableContents"/>
              <w:spacing w:before="0" w:after="0"/>
              <w:ind w:left="0" w:right="0" w:hanging="0"/>
              <w:rPr/>
            </w:pPr>
            <w:r>
              <w:rPr/>
              <w:t>​</w:t>
            </w:r>
          </w:p>
        </w:tc>
      </w:tr>
      <w:tr>
        <w:trPr/>
        <w:tc>
          <w:tcPr>
            <w:tcW w:w="871"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w:t>
            </w:r>
          </w:p>
        </w:tc>
        <w:tc>
          <w:tcPr>
            <w:tcW w:w="266" w:type="dxa"/>
            <w:tcBorders/>
            <w:shd w:fill="auto" w:val="clear"/>
            <w:tcMar>
              <w:bottom w:w="0" w:type="dxa"/>
            </w:tcMar>
            <w:vAlign w:val="center"/>
          </w:tcPr>
          <w:p>
            <w:pPr>
              <w:pStyle w:val="TableContents"/>
              <w:spacing w:before="0" w:after="0"/>
              <w:ind w:left="0" w:right="0" w:hanging="0"/>
              <w:rPr/>
            </w:pPr>
            <w:r>
              <w:rPr/>
              <w:t>​</w:t>
            </w:r>
          </w:p>
        </w:tc>
        <w:tc>
          <w:tcPr>
            <w:tcW w:w="667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Cover Page Interactive Data File (embedded within the Inline XBRL documents)</w:t>
            </w:r>
          </w:p>
        </w:tc>
      </w:tr>
    </w:tbl>
    <w:p>
      <w:pPr>
        <w:pStyle w:val="TextBody"/>
        <w:spacing w:before="0" w:after="0"/>
        <w:ind w:left="0" w:right="0" w:hanging="0"/>
        <w:rPr/>
      </w:pPr>
      <w:r>
        <w:rPr/>
        <w:t>​</w:t>
      </w:r>
    </w:p>
    <w:tbl>
      <w:tblPr>
        <w:tblW w:w="1592" w:type="dxa"/>
        <w:jc w:val="left"/>
        <w:tblInd w:w="0" w:type="dxa"/>
        <w:tblCellMar>
          <w:top w:w="0" w:type="dxa"/>
          <w:left w:w="0" w:type="dxa"/>
          <w:bottom w:w="0" w:type="dxa"/>
          <w:right w:w="0" w:type="dxa"/>
        </w:tblCellMar>
      </w:tblPr>
      <w:tblGrid>
        <w:gridCol w:w="226"/>
        <w:gridCol w:w="1366"/>
      </w:tblGrid>
      <w:tr>
        <w:trPr/>
        <w:tc>
          <w:tcPr>
            <w:tcW w:w="22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136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Filed herewith.</w:t>
            </w:r>
          </w:p>
        </w:tc>
      </w:tr>
    </w:tbl>
    <w:tbl>
      <w:tblPr>
        <w:tblW w:w="2087" w:type="dxa"/>
        <w:jc w:val="left"/>
        <w:tblInd w:w="0" w:type="dxa"/>
        <w:tblCellMar>
          <w:top w:w="0" w:type="dxa"/>
          <w:left w:w="0" w:type="dxa"/>
          <w:bottom w:w="0" w:type="dxa"/>
          <w:right w:w="0" w:type="dxa"/>
        </w:tblCellMar>
      </w:tblPr>
      <w:tblGrid>
        <w:gridCol w:w="331"/>
        <w:gridCol w:w="1756"/>
      </w:tblGrid>
      <w:tr>
        <w:trPr/>
        <w:tc>
          <w:tcPr>
            <w:tcW w:w="331"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175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Furnished herewith.</w:t>
            </w:r>
          </w:p>
        </w:tc>
      </w:tr>
    </w:tbl>
    <w:tbl>
      <w:tblPr>
        <w:tblW w:w="5267" w:type="dxa"/>
        <w:jc w:val="left"/>
        <w:tblInd w:w="0" w:type="dxa"/>
        <w:tblCellMar>
          <w:top w:w="0" w:type="dxa"/>
          <w:left w:w="0" w:type="dxa"/>
          <w:bottom w:w="0" w:type="dxa"/>
          <w:right w:w="0" w:type="dxa"/>
        </w:tblCellMar>
      </w:tblPr>
      <w:tblGrid>
        <w:gridCol w:w="241"/>
        <w:gridCol w:w="5026"/>
      </w:tblGrid>
      <w:tr>
        <w:trPr/>
        <w:tc>
          <w:tcPr>
            <w:tcW w:w="241" w:type="dxa"/>
            <w:tcBorders/>
            <w:shd w:fill="auto" w:val="clear"/>
            <w:vAlign w:val="center"/>
          </w:tcPr>
          <w:p>
            <w:pPr>
              <w:pStyle w:val="TableContents"/>
              <w:spacing w:before="0" w:after="0"/>
              <w:rPr/>
            </w:pPr>
            <w:r>
              <w:rPr/>
              <w:t>†</w:t>
            </w:r>
          </w:p>
        </w:tc>
        <w:tc>
          <w:tcPr>
            <w:tcW w:w="502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Management contract or compensatory plan or arrangement.</w:t>
            </w:r>
          </w:p>
        </w:tc>
      </w:tr>
    </w:tbl>
    <w:p>
      <w:pPr>
        <w:pStyle w:val="TextBody"/>
        <w:pBdr/>
        <w:spacing w:before="0" w:after="0"/>
        <w:ind w:left="0" w:right="0" w:hanging="432"/>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71" w:name="SIGNATURES_236392"/>
      <w:bookmarkStart w:id="72" w:name="_3bcf04d1_4cf2_43a4_afa6_27be42f15de5"/>
      <w:bookmarkEnd w:id="71"/>
      <w:bookmarkEnd w:id="72"/>
      <w:r>
        <w:rPr>
          <w:rFonts w:ascii="Times New Roman;Times;serif" w:hAnsi="Times New Roman;Times;serif"/>
          <w:b/>
          <w:sz w:val="20"/>
        </w:rPr>
        <w:t>SIGNATURES</w:t>
      </w:r>
    </w:p>
    <w:p>
      <w:pPr>
        <w:pStyle w:val="TextBody"/>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Section 13 or 15(d) of the Securities Act of 1934, the registrant has duly caused this Amendment No. 1 to Annual Report on Form 10-K/A to be signed on its behalf by the undersigned, thereunto duly authorized, in the City of New York of New York on the 1</w:t>
      </w:r>
      <w:r>
        <w:rPr>
          <w:rFonts w:ascii="Times New Roman;Times;serif" w:hAnsi="Times New Roman;Times;serif"/>
          <w:sz w:val="15"/>
        </w:rPr>
        <w:t xml:space="preserve">st </w:t>
      </w:r>
      <w:r>
        <w:rPr>
          <w:rFonts w:ascii="Times New Roman;Times;serif" w:hAnsi="Times New Roman;Times;serif"/>
          <w:sz w:val="20"/>
        </w:rPr>
        <w:t>day of May, 2023.</w:t>
      </w:r>
    </w:p>
    <w:tbl>
      <w:tblPr>
        <w:tblW w:w="2863" w:type="dxa"/>
        <w:jc w:val="left"/>
        <w:tblInd w:w="0" w:type="dxa"/>
        <w:tblCellMar>
          <w:top w:w="0" w:type="dxa"/>
          <w:left w:w="0" w:type="dxa"/>
          <w:bottom w:w="0" w:type="dxa"/>
          <w:right w:w="0" w:type="dxa"/>
        </w:tblCellMar>
      </w:tblPr>
      <w:tblGrid>
        <w:gridCol w:w="161"/>
        <w:gridCol w:w="631"/>
        <w:gridCol w:w="2071"/>
      </w:tblGrid>
      <w:tr>
        <w:trPr/>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631" w:type="dxa"/>
            <w:tcBorders/>
            <w:shd w:fill="auto" w:val="clear"/>
            <w:vAlign w:val="center"/>
          </w:tcPr>
          <w:p>
            <w:pPr>
              <w:pStyle w:val="TableContents"/>
              <w:spacing w:before="0" w:after="283"/>
              <w:ind w:left="0" w:right="0" w:hanging="0"/>
              <w:rPr>
                <w:sz w:val="4"/>
                <w:szCs w:val="4"/>
              </w:rPr>
            </w:pPr>
            <w:r>
              <w:rPr>
                <w:sz w:val="4"/>
                <w:szCs w:val="4"/>
              </w:rPr>
            </w:r>
          </w:p>
        </w:tc>
        <w:tc>
          <w:tcPr>
            <w:tcW w:w="2071" w:type="dxa"/>
            <w:tcBorders/>
            <w:shd w:fill="auto" w:val="clear"/>
            <w:vAlign w:val="center"/>
          </w:tcPr>
          <w:p>
            <w:pPr>
              <w:pStyle w:val="TableContents"/>
              <w:spacing w:before="0" w:after="283"/>
              <w:ind w:left="0" w:right="0" w:hanging="0"/>
              <w:rPr>
                <w:sz w:val="4"/>
                <w:szCs w:val="4"/>
              </w:rPr>
            </w:pPr>
            <w:r>
              <w:rPr>
                <w:sz w:val="4"/>
                <w:szCs w:val="4"/>
              </w:rPr>
            </w:r>
          </w:p>
        </w:tc>
      </w:tr>
      <w:tr>
        <w:trPr/>
        <w:tc>
          <w:tcPr>
            <w:tcW w:w="161" w:type="dxa"/>
            <w:tcBorders/>
            <w:shd w:fill="auto" w:val="clear"/>
            <w:vAlign w:val="center"/>
          </w:tcPr>
          <w:p>
            <w:pPr>
              <w:pStyle w:val="TableContents"/>
              <w:spacing w:before="0" w:after="0"/>
              <w:ind w:left="0" w:right="0" w:hanging="0"/>
              <w:rPr/>
            </w:pPr>
            <w:r>
              <w:rPr/>
              <w:t> </w:t>
            </w:r>
          </w:p>
        </w:tc>
        <w:tc>
          <w:tcPr>
            <w:tcW w:w="2702" w:type="dxa"/>
            <w:gridSpan w:val="2"/>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XWELL, INC.</w:t>
            </w:r>
          </w:p>
        </w:tc>
      </w:tr>
      <w:tr>
        <w:trPr/>
        <w:tc>
          <w:tcPr>
            <w:tcW w:w="161"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rPr/>
            </w:pPr>
            <w:r>
              <w:rPr/>
              <w:t> </w:t>
            </w:r>
          </w:p>
        </w:tc>
        <w:tc>
          <w:tcPr>
            <w:tcW w:w="2071" w:type="dxa"/>
            <w:tcBorders/>
            <w:shd w:fill="auto" w:val="clear"/>
            <w:vAlign w:val="center"/>
          </w:tcPr>
          <w:p>
            <w:pPr>
              <w:pStyle w:val="TableContents"/>
              <w:spacing w:before="0" w:after="0"/>
              <w:ind w:left="0" w:right="0" w:hanging="0"/>
              <w:rPr/>
            </w:pPr>
            <w:r>
              <w:rPr/>
              <w:t> </w:t>
            </w:r>
          </w:p>
        </w:tc>
      </w:tr>
      <w:tr>
        <w:trPr/>
        <w:tc>
          <w:tcPr>
            <w:tcW w:w="161"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2071"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Scott R Milford</w:t>
            </w:r>
          </w:p>
        </w:tc>
      </w:tr>
      <w:tr>
        <w:trPr/>
        <w:tc>
          <w:tcPr>
            <w:tcW w:w="161"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w:t>
            </w:r>
          </w:p>
        </w:tc>
        <w:tc>
          <w:tcPr>
            <w:tcW w:w="20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Scott R Milford</w:t>
            </w:r>
          </w:p>
        </w:tc>
      </w:tr>
      <w:tr>
        <w:trPr/>
        <w:tc>
          <w:tcPr>
            <w:tcW w:w="161"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20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w:t>
            </w:r>
          </w:p>
        </w:tc>
      </w:tr>
    </w:tbl>
    <w:p>
      <w:pPr>
        <w:pStyle w:val="TextBody"/>
        <w:spacing w:before="0" w:after="0"/>
        <w:ind w:left="0" w:right="0" w:hanging="0"/>
        <w:rPr/>
      </w:pPr>
      <w:r>
        <w:rPr/>
        <w:t>​</w:t>
      </w:r>
    </w:p>
    <w:p>
      <w:pPr>
        <w:pStyle w:val="TextBody"/>
        <w:spacing w:before="0" w:after="240"/>
        <w:ind w:left="0" w:right="0" w:hanging="0"/>
        <w:jc w:val="both"/>
        <w:rPr/>
      </w:pPr>
      <w:r>
        <w:rPr/>
        <w:t>​</w:t>
      </w:r>
    </w:p>
    <w:p>
      <w:pPr>
        <w:pStyle w:val="TextBody"/>
        <w:spacing w:before="0" w:after="0"/>
        <w:ind w:left="0" w:right="0" w:hanging="0"/>
        <w:rPr/>
      </w:pPr>
      <w:r>
        <w:rPr/>
        <w:t>​</w:t>
      </w:r>
    </w:p>
    <w:p>
      <w:pPr>
        <w:pStyle w:val="TextBody"/>
        <w:spacing w:before="0" w:after="240"/>
        <w:ind w:left="0" w:right="0" w:hanging="0"/>
        <w:jc w:val="both"/>
        <w:rPr/>
      </w:pPr>
      <w:r>
        <w:rPr/>
        <w:t>​</w:t>
      </w:r>
    </w:p>
    <w:p>
      <w:pPr>
        <w:pStyle w:val="TextBody"/>
        <w:spacing w:before="0" w:after="240"/>
        <w:ind w:left="0" w:right="0" w:hanging="0"/>
        <w:jc w:val="both"/>
        <w:rPr/>
      </w:pPr>
      <w:r>
        <w:rPr/>
        <w:t>​</w:t>
      </w:r>
    </w:p>
    <w:p>
      <w:pPr>
        <w:pStyle w:val="TextBody"/>
        <w:pBdr/>
        <w:spacing w:before="0" w:after="0"/>
        <w:ind w:left="0" w:right="0" w:hanging="36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r>
        <w:br w:type="page"/>
      </w:r>
    </w:p>
    <w:p>
      <w:pPr>
        <w:pStyle w:val="TextBody"/>
        <w:spacing w:before="0" w:after="0"/>
        <w:ind w:left="0" w:right="0" w:hanging="0"/>
        <w:jc w:val="right"/>
        <w:rPr>
          <w:rFonts w:ascii="Times New Roman;Times;serif" w:hAnsi="Times New Roman;Times;serif"/>
          <w:b/>
          <w:sz w:val="20"/>
        </w:rPr>
      </w:pPr>
      <w:bookmarkStart w:id="73" w:name="xwel-20221231xex31d1.htm"/>
      <w:bookmarkStart w:id="74" w:name="ksxwel20221231xex31d1"/>
      <w:bookmarkEnd w:id="73"/>
      <w:bookmarkEnd w:id="74"/>
      <w:r>
        <w:rPr>
          <w:rFonts w:ascii="Times New Roman;Times;serif" w:hAnsi="Times New Roman;Times;serif"/>
          <w:b/>
          <w:sz w:val="20"/>
        </w:rPr>
        <w:t>Exhibit 31.1</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THE SARBANES-OXLEY ACT OF 2002</w:t>
      </w:r>
    </w:p>
    <w:p>
      <w:pPr>
        <w:pStyle w:val="TextBody"/>
        <w:spacing w:before="0" w:after="0"/>
        <w:ind w:left="0" w:right="0" w:firstLine="55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 Scott R. Milford, certify that:</w:t>
      </w:r>
    </w:p>
    <w:p>
      <w:pPr>
        <w:pStyle w:val="TextBody"/>
        <w:spacing w:before="0" w:after="0"/>
        <w:ind w:left="0" w:right="0" w:firstLine="72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1. I have reviewed this Amendment No. 1 to Annual Report on Form 10-K/A of XWELL, Inc.;</w:t>
      </w:r>
    </w:p>
    <w:p>
      <w:pPr>
        <w:pStyle w:val="TextBody"/>
        <w:spacing w:before="0" w:after="0"/>
        <w:ind w:left="0" w:right="0" w:firstLine="72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firstLine="72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Dated: May 1, 2023</w:t>
      </w:r>
    </w:p>
    <w:p>
      <w:pPr>
        <w:pStyle w:val="TextBody"/>
        <w:spacing w:before="0" w:after="0"/>
        <w:ind w:left="0" w:right="0" w:firstLine="720"/>
        <w:jc w:val="both"/>
        <w:rPr/>
      </w:pPr>
      <w:r>
        <w:rPr/>
        <w:t>​</w:t>
      </w:r>
    </w:p>
    <w:tbl>
      <w:tblPr>
        <w:tblW w:w="2637" w:type="dxa"/>
        <w:jc w:val="left"/>
        <w:tblInd w:w="0" w:type="dxa"/>
        <w:tblCellMar>
          <w:top w:w="0" w:type="dxa"/>
          <w:left w:w="0" w:type="dxa"/>
          <w:bottom w:w="0" w:type="dxa"/>
          <w:right w:w="0" w:type="dxa"/>
        </w:tblCellMar>
      </w:tblPr>
      <w:tblGrid>
        <w:gridCol w:w="161"/>
        <w:gridCol w:w="2476"/>
      </w:tblGrid>
      <w:tr>
        <w:trPr/>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2476" w:type="dxa"/>
            <w:tcBorders/>
            <w:shd w:fill="auto" w:val="clear"/>
            <w:vAlign w:val="center"/>
          </w:tcPr>
          <w:p>
            <w:pPr>
              <w:pStyle w:val="TableContents"/>
              <w:spacing w:before="0" w:after="283"/>
              <w:ind w:left="0" w:right="0" w:hanging="0"/>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both"/>
              <w:rPr/>
            </w:pPr>
            <w:r>
              <w:rPr/>
              <w:t> </w:t>
            </w:r>
          </w:p>
        </w:tc>
        <w:tc>
          <w:tcPr>
            <w:tcW w:w="2476"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Scott R Milford</w:t>
            </w:r>
          </w:p>
        </w:tc>
      </w:tr>
      <w:tr>
        <w:trPr/>
        <w:tc>
          <w:tcPr>
            <w:tcW w:w="161" w:type="dxa"/>
            <w:tcBorders/>
            <w:shd w:fill="auto" w:val="clear"/>
            <w:vAlign w:val="center"/>
          </w:tcPr>
          <w:p>
            <w:pPr>
              <w:pStyle w:val="TableContents"/>
              <w:spacing w:before="0" w:after="0"/>
              <w:ind w:left="0" w:right="0" w:hanging="0"/>
              <w:jc w:val="both"/>
              <w:rPr/>
            </w:pPr>
            <w:r>
              <w:rPr/>
              <w:t> </w:t>
            </w:r>
          </w:p>
        </w:tc>
        <w:tc>
          <w:tcPr>
            <w:tcW w:w="247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Scott R Milford</w:t>
            </w:r>
          </w:p>
        </w:tc>
      </w:tr>
      <w:tr>
        <w:trPr/>
        <w:tc>
          <w:tcPr>
            <w:tcW w:w="161" w:type="dxa"/>
            <w:tcBorders/>
            <w:shd w:fill="auto" w:val="clear"/>
            <w:vAlign w:val="center"/>
          </w:tcPr>
          <w:p>
            <w:pPr>
              <w:pStyle w:val="TableContents"/>
              <w:spacing w:before="0" w:after="0"/>
              <w:ind w:left="0" w:right="0" w:hanging="0"/>
              <w:jc w:val="both"/>
              <w:rPr/>
            </w:pPr>
            <w:r>
              <w:rPr/>
              <w:t> </w:t>
            </w:r>
          </w:p>
        </w:tc>
        <w:tc>
          <w:tcPr>
            <w:tcW w:w="247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w:t>
            </w:r>
          </w:p>
        </w:tc>
      </w:tr>
      <w:tr>
        <w:trPr/>
        <w:tc>
          <w:tcPr>
            <w:tcW w:w="161" w:type="dxa"/>
            <w:tcBorders/>
            <w:shd w:fill="auto" w:val="clear"/>
            <w:vAlign w:val="center"/>
          </w:tcPr>
          <w:p>
            <w:pPr>
              <w:pStyle w:val="TableContents"/>
              <w:spacing w:before="0" w:after="0"/>
              <w:ind w:left="0" w:right="0" w:hanging="0"/>
              <w:jc w:val="both"/>
              <w:rPr/>
            </w:pPr>
            <w:r>
              <w:rPr/>
              <w:t> </w:t>
            </w:r>
          </w:p>
        </w:tc>
        <w:tc>
          <w:tcPr>
            <w:tcW w:w="247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75" w:name="xwel-20221231xex31d2.htm"/>
      <w:bookmarkStart w:id="76" w:name="ksxwel20221231xex31d2"/>
      <w:bookmarkEnd w:id="75"/>
      <w:bookmarkEnd w:id="76"/>
      <w:r>
        <w:rPr>
          <w:rFonts w:ascii="Times New Roman;Times;serif" w:hAnsi="Times New Roman;Times;serif"/>
          <w:b/>
          <w:sz w:val="20"/>
        </w:rPr>
        <w:t>Exhibit 31.2</w:t>
      </w:r>
    </w:p>
    <w:p>
      <w:pPr>
        <w:pStyle w:val="TextBody"/>
        <w:spacing w:before="0" w:after="0"/>
        <w:ind w:left="0" w:right="0" w:hanging="0"/>
        <w:jc w:val="right"/>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THE SARBANES-OXLEY ACT OF 2002</w:t>
      </w:r>
    </w:p>
    <w:p>
      <w:pPr>
        <w:pStyle w:val="TextBody"/>
        <w:spacing w:before="0" w:after="0"/>
        <w:ind w:left="0" w:right="0" w:hanging="0"/>
        <w:jc w:val="center"/>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I, Omar A. Haynes, certify that:</w:t>
      </w:r>
    </w:p>
    <w:p>
      <w:pPr>
        <w:pStyle w:val="TextBody"/>
        <w:spacing w:before="0" w:after="0"/>
        <w:ind w:left="0" w:right="0" w:firstLine="550"/>
        <w:jc w:val="both"/>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1. I have reviewed this Amendment No. 1 to Annual Report on Form 10-K/A of XWELL, Inc.;</w:t>
      </w:r>
    </w:p>
    <w:p>
      <w:pPr>
        <w:pStyle w:val="TextBody"/>
        <w:spacing w:before="0" w:after="0"/>
        <w:ind w:left="0" w:right="0" w:firstLine="72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firstLine="720"/>
        <w:jc w:val="both"/>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Dated: May 1, 2023</w:t>
      </w:r>
    </w:p>
    <w:p>
      <w:pPr>
        <w:pStyle w:val="TextBody"/>
        <w:spacing w:before="0" w:after="0"/>
        <w:ind w:left="0" w:right="0" w:hanging="0"/>
        <w:jc w:val="both"/>
        <w:rPr/>
      </w:pPr>
      <w:r>
        <w:rPr/>
        <w:t>​</w:t>
      </w:r>
    </w:p>
    <w:tbl>
      <w:tblPr>
        <w:tblW w:w="5307" w:type="dxa"/>
        <w:jc w:val="left"/>
        <w:tblInd w:w="0" w:type="dxa"/>
        <w:tblCellMar>
          <w:top w:w="0" w:type="dxa"/>
          <w:left w:w="0" w:type="dxa"/>
          <w:bottom w:w="0" w:type="dxa"/>
          <w:right w:w="0" w:type="dxa"/>
        </w:tblCellMar>
      </w:tblPr>
      <w:tblGrid>
        <w:gridCol w:w="161"/>
        <w:gridCol w:w="5146"/>
      </w:tblGrid>
      <w:tr>
        <w:trPr/>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5146" w:type="dxa"/>
            <w:tcBorders/>
            <w:shd w:fill="auto" w:val="clear"/>
            <w:vAlign w:val="center"/>
          </w:tcPr>
          <w:p>
            <w:pPr>
              <w:pStyle w:val="TableContents"/>
              <w:spacing w:before="0" w:after="283"/>
              <w:ind w:left="0" w:right="0" w:hanging="0"/>
              <w:rPr>
                <w:sz w:val="4"/>
                <w:szCs w:val="4"/>
              </w:rPr>
            </w:pPr>
            <w:r>
              <w:rPr>
                <w:sz w:val="4"/>
                <w:szCs w:val="4"/>
              </w:rPr>
            </w:r>
          </w:p>
        </w:tc>
      </w:tr>
      <w:tr>
        <w:trPr/>
        <w:tc>
          <w:tcPr>
            <w:tcW w:w="161" w:type="dxa"/>
            <w:tcBorders/>
            <w:shd w:fill="auto" w:val="clear"/>
            <w:vAlign w:val="center"/>
          </w:tcPr>
          <w:p>
            <w:pPr>
              <w:pStyle w:val="TableContents"/>
              <w:spacing w:before="0" w:after="0"/>
              <w:ind w:left="0" w:right="0" w:hanging="0"/>
              <w:jc w:val="both"/>
              <w:rPr/>
            </w:pPr>
            <w:r>
              <w:rPr/>
              <w:t> </w:t>
            </w:r>
          </w:p>
        </w:tc>
        <w:tc>
          <w:tcPr>
            <w:tcW w:w="5146" w:type="dxa"/>
            <w:tcBorders>
              <w:bottom w:val="single" w:sz="8"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 Omar A. Haynes</w:t>
            </w:r>
          </w:p>
        </w:tc>
      </w:tr>
      <w:tr>
        <w:trPr/>
        <w:tc>
          <w:tcPr>
            <w:tcW w:w="161" w:type="dxa"/>
            <w:tcBorders/>
            <w:shd w:fill="auto" w:val="clear"/>
            <w:vAlign w:val="center"/>
          </w:tcPr>
          <w:p>
            <w:pPr>
              <w:pStyle w:val="TableContents"/>
              <w:spacing w:before="0" w:after="0"/>
              <w:ind w:left="0" w:right="0" w:hanging="0"/>
              <w:jc w:val="both"/>
              <w:rPr/>
            </w:pPr>
            <w:r>
              <w:rPr/>
              <w:t> </w:t>
            </w:r>
          </w:p>
        </w:tc>
        <w:tc>
          <w:tcPr>
            <w:tcW w:w="51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Omar A. Haynes</w:t>
            </w:r>
          </w:p>
        </w:tc>
      </w:tr>
      <w:tr>
        <w:trPr/>
        <w:tc>
          <w:tcPr>
            <w:tcW w:w="161" w:type="dxa"/>
            <w:tcBorders/>
            <w:shd w:fill="auto" w:val="clear"/>
            <w:vAlign w:val="center"/>
          </w:tcPr>
          <w:p>
            <w:pPr>
              <w:pStyle w:val="TableContents"/>
              <w:spacing w:before="0" w:after="0"/>
              <w:ind w:left="0" w:right="0" w:hanging="0"/>
              <w:jc w:val="both"/>
              <w:rPr/>
            </w:pPr>
            <w:r>
              <w:rPr/>
              <w:t>​</w:t>
            </w:r>
          </w:p>
        </w:tc>
        <w:tc>
          <w:tcPr>
            <w:tcW w:w="51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Interim Chief Financial Officer</w:t>
            </w:r>
          </w:p>
        </w:tc>
      </w:tr>
      <w:tr>
        <w:trPr/>
        <w:tc>
          <w:tcPr>
            <w:tcW w:w="161" w:type="dxa"/>
            <w:tcBorders/>
            <w:shd w:fill="auto" w:val="clear"/>
            <w:vAlign w:val="center"/>
          </w:tcPr>
          <w:p>
            <w:pPr>
              <w:pStyle w:val="TableContents"/>
              <w:spacing w:before="0" w:after="0"/>
              <w:ind w:left="0" w:right="0" w:hanging="0"/>
              <w:jc w:val="both"/>
              <w:rPr/>
            </w:pPr>
            <w:r>
              <w:rPr/>
              <w:t> </w:t>
            </w:r>
          </w:p>
        </w:tc>
        <w:tc>
          <w:tcPr>
            <w:tcW w:w="51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(Principal Financial Officer and Principal Accounting Officer)</w:t>
            </w:r>
          </w:p>
        </w:tc>
      </w:tr>
    </w:tbl>
    <w:p>
      <w:pPr>
        <w:pStyle w:val="TextBody"/>
        <w:spacing w:before="0" w:after="0"/>
        <w:ind w:left="0" w:right="0" w:hanging="0"/>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Courier New">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10428/000114420416117230/v446257_ex2-1.htm" TargetMode="External"/><Relationship Id="rId3" Type="http://schemas.openxmlformats.org/officeDocument/2006/relationships/hyperlink" Target="https://www.sec.gov/Archives/edgar/data/1410428/000114420416123414/v448507_ex2-1.htm" TargetMode="External"/><Relationship Id="rId4" Type="http://schemas.openxmlformats.org/officeDocument/2006/relationships/hyperlink" Target="https://www.sec.gov/Archives/edgar/data/1410428/000114420416129472/v451220_ex2-1.htm" TargetMode="External"/><Relationship Id="rId5" Type="http://schemas.openxmlformats.org/officeDocument/2006/relationships/hyperlink" Target="https://www.sec.gov/Archives/edgar/data/1410428/000110465922110803/tm2228726d1_ex3-1.htm" TargetMode="External"/><Relationship Id="rId6" Type="http://schemas.openxmlformats.org/officeDocument/2006/relationships/hyperlink" Target="https://www.sec.gov/Archives/edgar/data/1410428/000110465922110803/tm2228726d1_ex3-2.htm" TargetMode="External"/><Relationship Id="rId7" Type="http://schemas.openxmlformats.org/officeDocument/2006/relationships/hyperlink" Target="https://www.sec.gov/Archives/edgar/data/1410428/000110465922110803/tm2228726d1_ex3-3.htm" TargetMode="External"/><Relationship Id="rId8" Type="http://schemas.openxmlformats.org/officeDocument/2006/relationships/hyperlink" Target="https://www.sec.gov/Archives/edgar/data/1410428/000114420416089189/v434655_ex4-1.htm" TargetMode="External"/><Relationship Id="rId9" Type="http://schemas.openxmlformats.org/officeDocument/2006/relationships/hyperlink" Target="https://www.sec.gov/Archives/edgar/data/1410428/000114420419015650/tv516755_ex10-1.htm" TargetMode="External"/><Relationship Id="rId10" Type="http://schemas.openxmlformats.org/officeDocument/2006/relationships/hyperlink" Target="https://www.sec.gov/Archives/edgar/data/1410428/000114420416129474/v449051_s4a.htm" TargetMode="External"/><Relationship Id="rId11" Type="http://schemas.openxmlformats.org/officeDocument/2006/relationships/hyperlink" Target="https://www.sec.gov/Archives/edgar/data/1410428/000114420418028911/tv492938_ex4-1.htm" TargetMode="External"/><Relationship Id="rId12" Type="http://schemas.openxmlformats.org/officeDocument/2006/relationships/hyperlink" Target="https://www.sec.gov/Archives/edgar/data/1410428/000114420419032532/tv524367_ex4-1.htm" TargetMode="External"/><Relationship Id="rId13" Type="http://schemas.openxmlformats.org/officeDocument/2006/relationships/hyperlink" Target="https://www.sec.gov/Archives/edgar/data/1410428/000114420419033939/tv524856_ex4-3.htm" TargetMode="External"/><Relationship Id="rId14" Type="http://schemas.openxmlformats.org/officeDocument/2006/relationships/hyperlink" Target="https://www.sec.gov/Archives/edgar/data/1410428/000110465920003636/tm203197d1_ex4-1.htm" TargetMode="External"/><Relationship Id="rId15" Type="http://schemas.openxmlformats.org/officeDocument/2006/relationships/hyperlink" Target="https://www.sec.gov/Archives/edgar/data/1410428/000110465920029962/tm2011914d1_ex4-1.htm" TargetMode="External"/><Relationship Id="rId16" Type="http://schemas.openxmlformats.org/officeDocument/2006/relationships/hyperlink" Target="https://www.sec.gov/Archives/edgar/data/1410428/000114420419033939/tv524856_ex4-1.htm" TargetMode="External"/><Relationship Id="rId17" Type="http://schemas.openxmlformats.org/officeDocument/2006/relationships/hyperlink" Target="https://www.sec.gov/Archives/edgar/data/1410428/000114420419033939/tv524856_ex4-2.htm" TargetMode="External"/><Relationship Id="rId18" Type="http://schemas.openxmlformats.org/officeDocument/2006/relationships/hyperlink" Target="https://www.sec.gov/Archives/edgar/data/1410428/000110465920035631/tm2013177d1_ex4-1.htm" TargetMode="External"/><Relationship Id="rId19" Type="http://schemas.openxmlformats.org/officeDocument/2006/relationships/hyperlink" Target="https://www.sec.gov/Archives/edgar/data/1410428/000110465920038562/tm2013765d1_ex4-1.htm" TargetMode="External"/><Relationship Id="rId20" Type="http://schemas.openxmlformats.org/officeDocument/2006/relationships/hyperlink" Target="https://www.sec.gov/Archives/edgar/data/1410428/000110465920039953/tm2014049d1_ex4-1.htm" TargetMode="External"/><Relationship Id="rId21" Type="http://schemas.openxmlformats.org/officeDocument/2006/relationships/hyperlink" Target="https://www.sec.gov/Archives/edgar/data/1410428/000110465920043879/tm2015133d1_ex4-1.htm" TargetMode="External"/><Relationship Id="rId22" Type="http://schemas.openxmlformats.org/officeDocument/2006/relationships/hyperlink" Target="https://www.sec.gov/Archives/edgar/data/0001410428/000110465920048780/tm205324d1_ex4-22.htm" TargetMode="External"/><Relationship Id="rId23" Type="http://schemas.openxmlformats.org/officeDocument/2006/relationships/hyperlink" Target="https://www.sec.gov/Archives/edgar/data/1410428/000110465920048297/tm2016230-1_ex41.htm" TargetMode="External"/><Relationship Id="rId24" Type="http://schemas.openxmlformats.org/officeDocument/2006/relationships/hyperlink" Target="https://www.sec.gov/Archives/edgar/data/1410428/000110465920051103/tm2016889d1_ex4-1.htm" TargetMode="External"/><Relationship Id="rId25" Type="http://schemas.openxmlformats.org/officeDocument/2006/relationships/hyperlink" Target="https://www.sec.gov/Archives/edgar/data/1410428/000110465920074007/tm2022774d1_ex4-1.htm" TargetMode="External"/><Relationship Id="rId26" Type="http://schemas.openxmlformats.org/officeDocument/2006/relationships/hyperlink" Target="https://www.sec.gov/Archives/edgar/data/1410428/000110465920074007/tm2022774d1_ex4-2.htm" TargetMode="External"/><Relationship Id="rId27" Type="http://schemas.openxmlformats.org/officeDocument/2006/relationships/hyperlink" Target="https://www.sec.gov/Archives/edgar/data/1410428/000110465920100178/tm2029683d2_ex4-1.htm" TargetMode="External"/><Relationship Id="rId28" Type="http://schemas.openxmlformats.org/officeDocument/2006/relationships/hyperlink" Target="https://www.sec.gov/Archives/edgar/data/1410428/000110465920100178/tm2029683d2_ex4-2.htm" TargetMode="External"/><Relationship Id="rId29" Type="http://schemas.openxmlformats.org/officeDocument/2006/relationships/hyperlink" Target="https://www.sec.gov/Archives/edgar/data/1410428/000110465920100178/tm2029683d2_ex4-3.htm" TargetMode="External"/><Relationship Id="rId30" Type="http://schemas.openxmlformats.org/officeDocument/2006/relationships/hyperlink" Target="https://www.sec.gov/Archives/edgar/data/1410428/000110465920138085/tm2039005d1_ex4-1.htm" TargetMode="External"/><Relationship Id="rId31" Type="http://schemas.openxmlformats.org/officeDocument/2006/relationships/hyperlink" Target="https://www.sec.gov/Archives/edgar/data/1410428/000110465920138085/tm2039005d1_ex4-2.htm" TargetMode="External"/><Relationship Id="rId32" Type="http://schemas.openxmlformats.org/officeDocument/2006/relationships/hyperlink" Target="https://www.sec.gov/Archives/edgar/data/1410428/000114420415056596/v420716_def14a.htm" TargetMode="External"/><Relationship Id="rId33" Type="http://schemas.openxmlformats.org/officeDocument/2006/relationships/hyperlink" Target="https://www.sec.gov/Archives/edgar/data/1410428/000119312510069268/dex45.htm" TargetMode="External"/><Relationship Id="rId34" Type="http://schemas.openxmlformats.org/officeDocument/2006/relationships/hyperlink" Target="https://www.sec.gov/Archives/edgar/data/1410428/000114420412041064/v319421_ex99-2.htm" TargetMode="External"/><Relationship Id="rId35" Type="http://schemas.openxmlformats.org/officeDocument/2006/relationships/hyperlink" Target="https://www.sec.gov/Archives/edgar/data/1410428/000114420412041064/v319421_ex99-3.htm" TargetMode="External"/><Relationship Id="rId36" Type="http://schemas.openxmlformats.org/officeDocument/2006/relationships/hyperlink" Target="https://www.sec.gov/Archives/edgar/data/1410428/000114420413016671/v333989_ex10-24.htm" TargetMode="External"/><Relationship Id="rId37" Type="http://schemas.openxmlformats.org/officeDocument/2006/relationships/hyperlink" Target="https://www.sec.gov/Archives/edgar/data/1410428/000114420416136736/v454026_ex10-1.htm" TargetMode="External"/><Relationship Id="rId38" Type="http://schemas.openxmlformats.org/officeDocument/2006/relationships/hyperlink" Target="https://www.sec.gov/Archives/edgar/data/1410428/000114420418028911/tv492938_ex10-9.htm" TargetMode="External"/><Relationship Id="rId39" Type="http://schemas.openxmlformats.org/officeDocument/2006/relationships/hyperlink" Target="https://www.sec.gov/Archives/edgar/data/1410428/000114420419033939/tv524856_ex10-5.htm" TargetMode="External"/><Relationship Id="rId40" Type="http://schemas.openxmlformats.org/officeDocument/2006/relationships/hyperlink" Target="https://www.sec.gov/Archives/edgar/data/1410428/000114420419017496/tv516017_ex10-28.htm" TargetMode="External"/><Relationship Id="rId41" Type="http://schemas.openxmlformats.org/officeDocument/2006/relationships/hyperlink" Target="https://www.sec.gov/Archives/edgar/data/1410428/000110465919064328/tm1919635d1_ex108.htm" TargetMode="External"/><Relationship Id="rId42" Type="http://schemas.openxmlformats.org/officeDocument/2006/relationships/hyperlink" Target="https://www.sec.gov/Archives/edgar/data/1410428/000114420419033939/tv524856_ex10-1.htm" TargetMode="External"/><Relationship Id="rId43" Type="http://schemas.openxmlformats.org/officeDocument/2006/relationships/hyperlink" Target="https://www.sec.gov/Archives/edgar/data/1410428/000114420419033939/tv524856_ex10-2.htm" TargetMode="External"/><Relationship Id="rId44" Type="http://schemas.openxmlformats.org/officeDocument/2006/relationships/hyperlink" Target="https://www.sec.gov/Archives/edgar/data/1410428/000114420419047032/tv530541_ex10-1.htm" TargetMode="External"/><Relationship Id="rId45" Type="http://schemas.openxmlformats.org/officeDocument/2006/relationships/hyperlink" Target="https://www.sec.gov/Archives/edgar/data/1410428/000110465920035631/tm2013177d1_ex10-1.htm" TargetMode="External"/><Relationship Id="rId46" Type="http://schemas.openxmlformats.org/officeDocument/2006/relationships/hyperlink" Target="https://www.sec.gov/Archives/edgar/data/1410428/000110465920035631/tm2013177d1_ex10-2.htm" TargetMode="External"/><Relationship Id="rId47" Type="http://schemas.openxmlformats.org/officeDocument/2006/relationships/hyperlink" Target="https://www.sec.gov/Archives/edgar/data/1410428/000110465920035631/tm2013177d1_ex10-3.htm" TargetMode="External"/><Relationship Id="rId48" Type="http://schemas.openxmlformats.org/officeDocument/2006/relationships/hyperlink" Target="https://www.sec.gov/Archives/edgar/data/1410428/000110465920038562/tm2013765d1_ex10-1.htm" TargetMode="External"/><Relationship Id="rId49" Type="http://schemas.openxmlformats.org/officeDocument/2006/relationships/hyperlink" Target="https://www.sec.gov/Archives/edgar/data/1410428/000110465920039953/tm2014049d1_ex10-1.htm" TargetMode="External"/><Relationship Id="rId50" Type="http://schemas.openxmlformats.org/officeDocument/2006/relationships/hyperlink" Target="https://www.sec.gov/Archives/edgar/data/1410428/000110465920043879/tm2015133d1_ex10-1.htm" TargetMode="External"/><Relationship Id="rId51" Type="http://schemas.openxmlformats.org/officeDocument/2006/relationships/hyperlink" Target="https://www.sec.gov/Archives/edgar/data/1410428/000155837021003840/xspa-20201231ex103530ae1.htm" TargetMode="External"/><Relationship Id="rId52" Type="http://schemas.openxmlformats.org/officeDocument/2006/relationships/hyperlink" Target="https://www.sec.gov/Archives/edgar/data/1410428/000155837021003840/xspa-20201231ex1036b4f7e.htm" TargetMode="External"/><Relationship Id="rId53" Type="http://schemas.openxmlformats.org/officeDocument/2006/relationships/hyperlink" Target="https://www.sec.gov/Archives/edgar/data/1410428/000110465920069761/tm2021831d1_ex10-1.htm" TargetMode="External"/><Relationship Id="rId54" Type="http://schemas.openxmlformats.org/officeDocument/2006/relationships/hyperlink" Target="https://www.sec.gov/Archives/edgar/data/1410428/000110465920074007/tm2022774d1_ex10-1.htm" TargetMode="External"/><Relationship Id="rId55" Type="http://schemas.openxmlformats.org/officeDocument/2006/relationships/hyperlink" Target="https://www.sec.gov/Archives/edgar/data/1410428/000110465920100178/tm2029683d2_ex10-1.htm" TargetMode="External"/><Relationship Id="rId56" Type="http://schemas.openxmlformats.org/officeDocument/2006/relationships/hyperlink" Target="https://www.sec.gov/Archives/edgar/data/1410428/000110465920109366/tm2031943d1_ex10-1.htm" TargetMode="External"/><Relationship Id="rId57" Type="http://schemas.openxmlformats.org/officeDocument/2006/relationships/hyperlink" Target="https://www.sec.gov/Archives/edgar/data/1410428/000110465920120037/tm2034656d1_ex10-1.htm" TargetMode="External"/><Relationship Id="rId58" Type="http://schemas.openxmlformats.org/officeDocument/2006/relationships/hyperlink" Target="https://www.sec.gov/Archives/edgar/data/1410428/000110465920138085/tm2039005d1_ex10-1.htm" TargetMode="External"/><Relationship Id="rId59" Type="http://schemas.openxmlformats.org/officeDocument/2006/relationships/hyperlink" Target="https://www.sec.gov/Archives/edgar/data/1410428/000155837021005390/tmb-20201231xex10d45.htm" TargetMode="External"/><Relationship Id="rId60" Type="http://schemas.openxmlformats.org/officeDocument/2006/relationships/hyperlink" Target="https://www.sec.gov/Archives/edgar/data/1410428/000155837022017847/xwel-20220930xex10d2.htm" TargetMode="External"/><Relationship Id="rId61" Type="http://schemas.openxmlformats.org/officeDocument/2006/relationships/hyperlink" Target="https://www.sec.gov/Archives/edgar/data/1410428/000110465922041088/tm2210786d1_ex10-1.htm" TargetMode="External"/><Relationship Id="rId62" Type="http://schemas.openxmlformats.org/officeDocument/2006/relationships/hyperlink" Target="https://www.sec.gov/Archives/edgar/data/1410428/000155837022004897/xspa-20211231xex10d48.htm" TargetMode="External"/><Relationship Id="rId63" Type="http://schemas.openxmlformats.org/officeDocument/2006/relationships/hyperlink" Target="https://www.sec.gov/Archives/edgar/data/1410428/000110465922111225/tm2228862d1_ex10-1.htm" TargetMode="External"/><Relationship Id="rId64" Type="http://schemas.openxmlformats.org/officeDocument/2006/relationships/hyperlink" Target="https://www.sec.gov/Archives/edgar/data/1410428/000155837023006084/xwel-20221231xex23d1.htm" TargetMode="External"/><Relationship Id="rId65" Type="http://schemas.openxmlformats.org/officeDocument/2006/relationships/hyperlink" Target="https://www.sec.gov/Archives/edgar/data/1410428/000155837023006084/xwel-20221231xex23d2.htm" TargetMode="External"/><Relationship Id="rId66" Type="http://schemas.openxmlformats.org/officeDocument/2006/relationships/hyperlink" Target="https://www.sec.gov/Archives/edgar/data/1410428/000155837023006084/xwel-20221231xex32.htm" TargetMode="External"/><Relationship Id="rId67" Type="http://schemas.openxmlformats.org/officeDocument/2006/relationships/fontTable" Target="fontTable.xml"/><Relationship Id="rId6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11914</Words>
  <CharactersWithSpaces>76204</CharactersWithSpaces>
  <Paragraphs>2228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