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2980" w:space="260"/>
            <w:col w:w="8180"/>
          </w:cols>
          <w:pgMar w:left="240" w:top="702" w:right="239" w:bottom="1440" w:gutter="0" w:footer="0" w:header="0"/>
          <w:type w:val="continuous"/>
        </w:sectPr>
      </w:pPr>
    </w:p>
    <w:p>
      <w:pPr>
        <w:spacing w:after="0" w:line="3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XpresSpa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176530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-3440430</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-3071495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-2566035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-2197100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-1828165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-910590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-541655</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-173355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194945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2489835</wp:posOffset>
            </wp:positionH>
            <wp:positionV relativeFrom="page">
              <wp:posOffset>586105</wp:posOffset>
            </wp:positionV>
            <wp:extent cx="259016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590165" cy="38608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August 27,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You are cordially invited to attend the 2018 annual meeting of stockholders of XpresSpa Group, Inc. to be held at 11:00 A.M. EST on Tuesday, September 18, 2018 at the offices of Mintz, Levin, Cohn, Ferris, Glovsky &amp; Popeo, P.C., located at 666 Third Avenue, New York, New York, 10017.</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Details regarding the meeting, the business to be conducted at the meeting, and information about XpresSpa Group, Inc. that you should consider when you vote your shares are described in this proxy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we will ask stockholders to consider the following proposals: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Edward Jankowski, Bruce T. Bernstein, Donald E. Stout, Salvatore Giardina and Richard K. Abbe to our Board of Directors;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CohnReznick LLP as our independent registered public accounting firm for the fiscal year ending December 31, 2018;</w:t>
      </w:r>
    </w:p>
    <w:p>
      <w:pPr>
        <w:spacing w:after="0" w:line="248"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underlying convertible notes and warrants issued by us pursuant to the terms of that certain Securities Purchase Agreement, dated May 15, 2018, by and among 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w:t>
      </w:r>
    </w:p>
    <w:p>
      <w:pPr>
        <w:spacing w:after="0" w:line="18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XpresSpa Group, Inc. Amended and Restated Certificate of Incorporation to effect a reverse stock split of our issued and outstanding shares of common stock, at a ratio of between 5-for-1 and 25-for-1;</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this proxy statement,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clauses (2) through (5).</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 be transacted as may properly come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annual meeting.</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at the annual meeting, the holders of our Series D Preferred Stock may re-elect Andrew R. Heyer to the Board of Directors. The Board of Directors makes no recommendation with respect to this proposal.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hope you will be able to attend the annual meeting. Whether you plan to attend the annual meeting or not, it is important that you cast your vote either in person or by proxy. You may vote over the Internet as well as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187" w:lineRule="exact"/>
        <w:rPr>
          <w:sz w:val="20"/>
          <w:szCs w:val="20"/>
          <w:color w:val="auto"/>
        </w:rPr>
      </w:pPr>
    </w:p>
    <w:p>
      <w:pPr>
        <w:jc w:val="center"/>
        <w:ind w:right="1660"/>
        <w:spacing w:after="0"/>
        <w:rPr>
          <w:sz w:val="20"/>
          <w:szCs w:val="20"/>
          <w:color w:val="auto"/>
        </w:rPr>
      </w:pPr>
      <w:r>
        <w:rPr>
          <w:rFonts w:ascii="Arial" w:cs="Arial" w:eastAsia="Arial" w:hAnsi="Arial"/>
          <w:sz w:val="18"/>
          <w:szCs w:val="18"/>
          <w:color w:val="auto"/>
        </w:rPr>
        <w:t>Thank you for your continued support of XpresSpa Group, Inc. We look forward to seeing you at the annual meeting.</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14605</wp:posOffset>
            </wp:positionV>
            <wp:extent cx="150939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93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Edward Jankowski</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2489835</wp:posOffset>
            </wp:positionH>
            <wp:positionV relativeFrom="page">
              <wp:posOffset>586105</wp:posOffset>
            </wp:positionV>
            <wp:extent cx="259016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590165" cy="38608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August 27,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2018 ANNUAL MEETING OF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TIME: 11:00 a.m., local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PLACE: Mintz, Levin, Cohn, Ferris, Glovsky &amp; Popeo, P.C., located at 666 Third Avenue, New York, New York, 10017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Edward Jankowski, Bruce T. Bernstein, Donald E. Stout, Salvatore Giardina and Richard K. Abbe to our Board of Directors;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of CohnReznick LLP as our independent registered public accounting firm for the fiscal year ending December 31, 2018;</w:t>
      </w:r>
    </w:p>
    <w:p>
      <w:pPr>
        <w:spacing w:after="0" w:line="248"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underlying convertible notes and warrants issued by us pursuant to the terms of that certain Securities Purchase Agreement, dated May 15, 2018, by and among 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w:t>
      </w:r>
    </w:p>
    <w:p>
      <w:pPr>
        <w:spacing w:after="0" w:line="18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XpresSpa Group, Inc. Amended and Restated Certificate of Incorporation to effect a reverse stock split of our issued and outstanding shares of common stock, at a ratio of between 5-for-1 and 25-for-1;</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this proxy statement,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clauses (2) through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WHO MAY VOTE: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You may vote if you were the record owner of XpresSpa Group, Inc. common stock or Series D Preferred Stock at the close of business on July 23, 2018. A list of stockholders of record will be available at the annual meeting and, during the 10 days prior to the annual meeting, at our principal executive offices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w:t>
      </w:r>
    </w:p>
    <w:p>
      <w:pPr>
        <w:spacing w:after="0" w:line="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 annual meeting or not, we urge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submit your proxy by the Internet or mail in order to ensure the presence of a quorum. </w:t>
      </w:r>
      <w:r>
        <w:rPr>
          <w:rFonts w:ascii="Arial" w:cs="Arial" w:eastAsia="Arial" w:hAnsi="Arial"/>
          <w:sz w:val="18"/>
          <w:szCs w:val="18"/>
          <w:color w:val="auto"/>
        </w:rPr>
        <w:t>You may change or revoke your proxy at any time before it</w:t>
      </w:r>
      <w:r>
        <w:rPr>
          <w:rFonts w:ascii="Arial" w:cs="Arial" w:eastAsia="Arial" w:hAnsi="Arial"/>
          <w:sz w:val="18"/>
          <w:szCs w:val="18"/>
          <w:b w:val="1"/>
          <w:bCs w:val="1"/>
          <w:color w:val="auto"/>
        </w:rPr>
        <w:t xml:space="preserve"> </w:t>
      </w:r>
      <w:r>
        <w:rPr>
          <w:rFonts w:ascii="Arial" w:cs="Arial" w:eastAsia="Arial" w:hAnsi="Arial"/>
          <w:sz w:val="18"/>
          <w:szCs w:val="18"/>
          <w:color w:val="auto"/>
        </w:rPr>
        <w:t>is voted at the meeting.</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14605</wp:posOffset>
            </wp:positionV>
            <wp:extent cx="1509395"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93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Edward Jankowski</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20" w:type="dxa"/>
            <w:vAlign w:val="bottom"/>
            <w:gridSpan w:val="6"/>
          </w:tcPr>
          <w:p>
            <w:pPr>
              <w:jc w:val="center"/>
              <w:ind w:right="388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20"/>
            <w:shd w:val="clear" w:color="auto" w:fill="CCEEFF"/>
          </w:tcPr>
          <w:p>
            <w:pPr>
              <w:spacing w:after="0" w:line="136" w:lineRule="exact"/>
              <w:rPr>
                <w:rFonts w:ascii="Arial" w:cs="Arial" w:eastAsia="Arial" w:hAnsi="Arial"/>
                <w:sz w:val="15"/>
                <w:szCs w:val="15"/>
                <w:color w:val="0000EE"/>
              </w:rPr>
            </w:pPr>
            <w:hyperlink w:anchor="page7">
              <w:r>
                <w:rPr>
                  <w:rFonts w:ascii="Arial" w:cs="Arial" w:eastAsia="Arial" w:hAnsi="Arial"/>
                  <w:sz w:val="15"/>
                  <w:szCs w:val="15"/>
                  <w:color w:val="0000EE"/>
                </w:rPr>
                <w:t>Important Information About the Annual Meeting and Voting</w:t>
              </w:r>
            </w:hyperlink>
          </w:p>
        </w:tc>
        <w:tc>
          <w:tcPr>
            <w:tcW w:w="500" w:type="dxa"/>
            <w:vAlign w:val="bottom"/>
            <w:gridSpan w:val="4"/>
            <w:shd w:val="clear" w:color="auto" w:fill="CCEEFF"/>
          </w:tcPr>
          <w:p>
            <w:pPr>
              <w:jc w:val="center"/>
              <w:ind w:left="210"/>
              <w:spacing w:after="0" w:line="142" w:lineRule="exact"/>
              <w:rPr>
                <w:rFonts w:ascii="Arial" w:cs="Arial" w:eastAsia="Arial" w:hAnsi="Arial"/>
                <w:sz w:val="16"/>
                <w:szCs w:val="16"/>
                <w:color w:val="0000EE"/>
                <w:w w:val="89"/>
              </w:rPr>
            </w:pPr>
            <w:hyperlink w:anchor="page7">
              <w:r>
                <w:rPr>
                  <w:rFonts w:ascii="Arial" w:cs="Arial" w:eastAsia="Arial" w:hAnsi="Arial"/>
                  <w:sz w:val="16"/>
                  <w:szCs w:val="16"/>
                  <w:color w:val="0000EE"/>
                  <w:w w:val="89"/>
                </w:rPr>
                <w:t>7</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600" w:type="dxa"/>
            <w:vAlign w:val="bottom"/>
            <w:gridSpan w:val="20"/>
          </w:tcPr>
          <w:p>
            <w:pPr>
              <w:spacing w:after="0" w:line="170" w:lineRule="exact"/>
              <w:rPr>
                <w:rFonts w:ascii="Arial" w:cs="Arial" w:eastAsia="Arial" w:hAnsi="Arial"/>
                <w:sz w:val="18"/>
                <w:szCs w:val="18"/>
                <w:color w:val="0000EE"/>
              </w:rPr>
            </w:pPr>
            <w:hyperlink w:anchor="page14">
              <w:r>
                <w:rPr>
                  <w:rFonts w:ascii="Arial" w:cs="Arial" w:eastAsia="Arial" w:hAnsi="Arial"/>
                  <w:sz w:val="18"/>
                  <w:szCs w:val="18"/>
                  <w:color w:val="0000EE"/>
                </w:rPr>
                <w:t>Security Ownership of Certain Beneficial Owners and Management</w:t>
              </w:r>
            </w:hyperlink>
          </w:p>
        </w:tc>
        <w:tc>
          <w:tcPr>
            <w:tcW w:w="500" w:type="dxa"/>
            <w:vAlign w:val="bottom"/>
            <w:gridSpan w:val="4"/>
          </w:tcPr>
          <w:p>
            <w:pPr>
              <w:jc w:val="center"/>
              <w:ind w:left="230"/>
              <w:spacing w:after="0" w:line="170"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20" w:type="dxa"/>
            <w:vAlign w:val="bottom"/>
            <w:gridSpan w:val="7"/>
            <w:shd w:val="clear" w:color="auto" w:fill="CCEEFF"/>
          </w:tcPr>
          <w:p>
            <w:pPr>
              <w:spacing w:after="0" w:line="17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 and Corporate Governance</w:t>
              </w:r>
            </w:hyperlink>
          </w:p>
        </w:tc>
        <w:tc>
          <w:tcPr>
            <w:tcW w:w="7680" w:type="dxa"/>
            <w:vAlign w:val="bottom"/>
            <w:gridSpan w:val="13"/>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0"/>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 and Director Compensation</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80" w:type="dxa"/>
            <w:vAlign w:val="bottom"/>
            <w:gridSpan w:val="2"/>
            <w:shd w:val="clear" w:color="auto" w:fill="CCEEFF"/>
          </w:tcPr>
          <w:p>
            <w:pPr>
              <w:spacing w:after="0" w:line="17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Report of Audit Committee</w:t>
              </w:r>
            </w:hyperlink>
          </w:p>
        </w:tc>
        <w:tc>
          <w:tcPr>
            <w:tcW w:w="8620" w:type="dxa"/>
            <w:vAlign w:val="bottom"/>
            <w:gridSpan w:val="18"/>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0"/>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Section 16(a) Beneficial Ownership Reporting Compliance</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40" w:type="dxa"/>
            <w:vAlign w:val="bottom"/>
            <w:gridSpan w:val="10"/>
            <w:shd w:val="clear" w:color="auto" w:fill="CCEEFF"/>
          </w:tcPr>
          <w:p>
            <w:pPr>
              <w:spacing w:after="0" w:line="17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Certain Relationships and Related Person Transactions</w:t>
              </w:r>
            </w:hyperlink>
          </w:p>
        </w:tc>
        <w:tc>
          <w:tcPr>
            <w:tcW w:w="6660" w:type="dxa"/>
            <w:vAlign w:val="bottom"/>
            <w:gridSpan w:val="10"/>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40" w:type="dxa"/>
            <w:vAlign w:val="bottom"/>
            <w:gridSpan w:val="10"/>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Proposal 1: Election of Directors</w:t>
              </w:r>
            </w:hyperlink>
          </w:p>
        </w:tc>
        <w:tc>
          <w:tcPr>
            <w:tcW w:w="6660" w:type="dxa"/>
            <w:vAlign w:val="bottom"/>
            <w:gridSpan w:val="10"/>
          </w:tcPr>
          <w:p>
            <w:pPr>
              <w:spacing w:after="0"/>
              <w:rPr>
                <w:sz w:val="15"/>
                <w:szCs w:val="15"/>
                <w:color w:val="auto"/>
              </w:rPr>
            </w:pPr>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Proposal 2: Ratification of Appointment of Independent Registered Public Accounting Firm</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0" w:type="dxa"/>
            <w:vAlign w:val="bottom"/>
            <w:gridSpan w:val="17"/>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Proposal 3: Issuance of Shares of Common Stock in Financing Transaction</w:t>
              </w:r>
            </w:hyperlink>
          </w:p>
        </w:tc>
        <w:tc>
          <w:tcPr>
            <w:tcW w:w="4000" w:type="dxa"/>
            <w:vAlign w:val="bottom"/>
            <w:gridSpan w:val="3"/>
          </w:tcPr>
          <w:p>
            <w:pPr>
              <w:spacing w:after="0"/>
              <w:rPr>
                <w:sz w:val="15"/>
                <w:szCs w:val="15"/>
                <w:color w:val="auto"/>
              </w:rPr>
            </w:pPr>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Proposal 4: Reverse Stock Split</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0"/>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Proposal 5: Advisory Vote on Executive Compensation</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14"/>
            <w:shd w:val="clear" w:color="auto" w:fill="CCEEFF"/>
          </w:tcPr>
          <w:p>
            <w:pPr>
              <w:spacing w:after="0" w:line="17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Proposal 6: Approval of the Adjournment of the Annual Meeting</w:t>
              </w:r>
            </w:hyperlink>
          </w:p>
        </w:tc>
        <w:tc>
          <w:tcPr>
            <w:tcW w:w="5920" w:type="dxa"/>
            <w:vAlign w:val="bottom"/>
            <w:gridSpan w:val="6"/>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0"/>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Preferred Stockholder Proposal: Election of Directors by Holders of Series D Preferred Stock</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20" w:type="dxa"/>
            <w:vAlign w:val="bottom"/>
            <w:gridSpan w:val="3"/>
            <w:shd w:val="clear" w:color="auto" w:fill="CCEEFF"/>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Code of Conduct and Ethics</w:t>
              </w:r>
            </w:hyperlink>
          </w:p>
        </w:tc>
        <w:tc>
          <w:tcPr>
            <w:tcW w:w="8580" w:type="dxa"/>
            <w:vAlign w:val="bottom"/>
            <w:gridSpan w:val="17"/>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20" w:type="dxa"/>
            <w:vAlign w:val="bottom"/>
            <w:gridSpan w:val="3"/>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Matters</w:t>
              </w:r>
            </w:hyperlink>
          </w:p>
        </w:tc>
        <w:tc>
          <w:tcPr>
            <w:tcW w:w="8580" w:type="dxa"/>
            <w:vAlign w:val="bottom"/>
            <w:gridSpan w:val="17"/>
          </w:tcPr>
          <w:p>
            <w:pPr>
              <w:spacing w:after="0"/>
              <w:rPr>
                <w:sz w:val="15"/>
                <w:szCs w:val="15"/>
                <w:color w:val="auto"/>
              </w:rPr>
            </w:pPr>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60" w:type="dxa"/>
            <w:vAlign w:val="bottom"/>
            <w:gridSpan w:val="9"/>
            <w:shd w:val="clear" w:color="auto" w:fill="CCEEFF"/>
          </w:tcPr>
          <w:p>
            <w:pPr>
              <w:spacing w:after="0" w:line="17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Stockholders Proposals and Nominations for Director</w:t>
              </w:r>
            </w:hyperlink>
          </w:p>
        </w:tc>
        <w:tc>
          <w:tcPr>
            <w:tcW w:w="6740" w:type="dxa"/>
            <w:vAlign w:val="bottom"/>
            <w:gridSpan w:val="11"/>
            <w:shd w:val="clear" w:color="auto" w:fill="CCEEFF"/>
          </w:tcPr>
          <w:p>
            <w:pPr>
              <w:spacing w:after="0"/>
              <w:rPr>
                <w:sz w:val="17"/>
                <w:szCs w:val="17"/>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top w:val="single" w:sz="8" w:color="0000EE"/>
            </w:tcBorders>
            <w:gridSpan w:val="9"/>
          </w:tcPr>
          <w:p>
            <w:pPr>
              <w:spacing w:after="0"/>
              <w:rPr>
                <w:sz w:val="20"/>
                <w:szCs w:val="20"/>
                <w:color w:val="auto"/>
              </w:rPr>
            </w:pPr>
            <w:r>
              <w:rPr>
                <w:rFonts w:ascii="Arial" w:cs="Arial" w:eastAsia="Arial" w:hAnsi="Arial"/>
                <w:sz w:val="18"/>
                <w:szCs w:val="18"/>
                <w:b w:val="1"/>
                <w:bCs w:val="1"/>
                <w:color w:val="auto"/>
              </w:rPr>
              <w:t>Appendix</w:t>
            </w:r>
          </w:p>
        </w:tc>
        <w:tc>
          <w:tcPr>
            <w:tcW w:w="6740" w:type="dxa"/>
            <w:vAlign w:val="bottom"/>
            <w:tcBorders>
              <w:top w:val="single" w:sz="8" w:color="CCEEFF"/>
            </w:tcBorders>
            <w:gridSpan w:val="11"/>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gridSpan w:val="6"/>
            <w:shd w:val="clear" w:color="auto" w:fill="CCEEFF"/>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Appendix A — Forms of Proxy Card</w:t>
              </w:r>
            </w:hyperlink>
          </w:p>
        </w:tc>
        <w:tc>
          <w:tcPr>
            <w:tcW w:w="7940" w:type="dxa"/>
            <w:vAlign w:val="bottom"/>
            <w:gridSpan w:val="14"/>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20" w:type="dxa"/>
            <w:vAlign w:val="bottom"/>
            <w:gridSpan w:val="19"/>
          </w:tcPr>
          <w:p>
            <w:pPr>
              <w:spacing w:after="0" w:line="17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Appendix B – Form of Certificate of Amendment to Amended and Restated Certificate of Incorporation to Effect Reverse Stock Split</w:t>
              </w:r>
            </w:hyperlink>
          </w:p>
        </w:tc>
        <w:tc>
          <w:tcPr>
            <w:tcW w:w="980" w:type="dxa"/>
            <w:vAlign w:val="bottom"/>
          </w:tcPr>
          <w:p>
            <w:pPr>
              <w:spacing w:after="0"/>
              <w:rPr>
                <w:sz w:val="15"/>
                <w:szCs w:val="15"/>
                <w:color w:val="auto"/>
              </w:rPr>
            </w:pPr>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6600" w:type="dxa"/>
            <w:vAlign w:val="bottom"/>
            <w:tcBorders>
              <w:top w:val="single" w:sz="8" w:color="0000EE"/>
              <w:bottom w:val="single" w:sz="8" w:color="auto"/>
            </w:tcBorders>
            <w:gridSpan w:val="17"/>
          </w:tcPr>
          <w:p>
            <w:pPr>
              <w:jc w:val="right"/>
              <w:ind w:right="86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0000EE"/>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PRELIMINARY COPIES FILED PURSUANT TO RULE 14a-6(a)</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THE XPRESSPA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 TO BE HELD ON SEPTEMBER 18, 2018</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local time, on Tuesday, September 18, 2018, at the offices of Mintz, Levin, Cohn, Ferris, Glovsky and Popeo, P.C., 666 Third Avenue, New York, NY 10017.</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proxy statement, we refer to XpresSpa Group, Inc. as “</w:t>
      </w:r>
      <w:r>
        <w:rPr>
          <w:rFonts w:ascii="Arial" w:cs="Arial" w:eastAsia="Arial" w:hAnsi="Arial"/>
          <w:sz w:val="18"/>
          <w:szCs w:val="18"/>
          <w:b w:val="1"/>
          <w:bCs w:val="1"/>
          <w:color w:val="auto"/>
        </w:rPr>
        <w:t>XpresSpa</w:t>
      </w:r>
      <w:r>
        <w:rPr>
          <w:rFonts w:ascii="Arial" w:cs="Arial" w:eastAsia="Arial" w:hAnsi="Arial"/>
          <w:sz w:val="18"/>
          <w:szCs w:val="18"/>
          <w:color w:val="auto"/>
        </w:rPr>
        <w:t>,” “</w:t>
      </w:r>
      <w:r>
        <w:rPr>
          <w:rFonts w:ascii="Arial" w:cs="Arial" w:eastAsia="Arial" w:hAnsi="Arial"/>
          <w:sz w:val="18"/>
          <w:szCs w:val="18"/>
          <w:b w:val="1"/>
          <w:bCs w:val="1"/>
          <w:color w:val="auto"/>
        </w:rPr>
        <w:t>the 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or about August 9, 2018, we began sending this proxy statement, the attached Notice of Annual Meeting of Stockholders and the enclosed proxy card to all stockholders entitled to vote at the annual meeting.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MEETING TO BE HELD ON SEPTEMBER 18, 2018</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This proxy statement and our 2017 annual report to stockholders are available for viewing, printing and downloading at </w:t>
      </w:r>
      <w:r>
        <w:rPr>
          <w:rFonts w:ascii="Arial" w:cs="Arial" w:eastAsia="Arial" w:hAnsi="Arial"/>
          <w:sz w:val="16"/>
          <w:szCs w:val="16"/>
          <w:b w:val="1"/>
          <w:bCs w:val="1"/>
          <w:i w:val="1"/>
          <w:iCs w:val="1"/>
          <w:color w:val="auto"/>
        </w:rPr>
        <w:t xml:space="preserve">www.proxyvote.com. </w:t>
      </w:r>
      <w:r>
        <w:rPr>
          <w:rFonts w:ascii="Arial" w:cs="Arial" w:eastAsia="Arial" w:hAnsi="Arial"/>
          <w:sz w:val="16"/>
          <w:szCs w:val="16"/>
          <w:b w:val="1"/>
          <w:bCs w:val="1"/>
          <w:color w:val="auto"/>
        </w:rPr>
        <w:t>To view these materials please have your 16-digit control number(s) available that appears on your Notice or proxy card. On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this website, you can also elect to receive future distributions of our proxy statements and annual reports to stockholders by electronic delivery.</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b w:val="1"/>
          <w:bCs w:val="1"/>
          <w:color w:val="auto"/>
        </w:rPr>
        <w:t xml:space="preserve">Additionally, you can find a copy of our Annual Report on Form 10-K, as amended, which includes our financial statements for the fiscal year ended December 31, 2017, on the website of the Securities and Exchange Commission, or the SEC,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or in the “SEC Filings” section of the “Investors” section of our website at </w:t>
      </w:r>
      <w:r>
        <w:rPr>
          <w:rFonts w:ascii="Arial" w:cs="Arial" w:eastAsia="Arial" w:hAnsi="Arial"/>
          <w:sz w:val="16"/>
          <w:szCs w:val="16"/>
          <w:b w:val="1"/>
          <w:bCs w:val="1"/>
          <w:i w:val="1"/>
          <w:iCs w:val="1"/>
          <w:color w:val="auto"/>
        </w:rPr>
        <w:t>www.xpresspa.com.</w:t>
      </w:r>
      <w:r>
        <w:rPr>
          <w:rFonts w:ascii="Arial" w:cs="Arial" w:eastAsia="Arial" w:hAnsi="Arial"/>
          <w:sz w:val="16"/>
          <w:szCs w:val="16"/>
          <w:b w:val="1"/>
          <w:bCs w:val="1"/>
          <w:color w:val="auto"/>
        </w:rPr>
        <w:t xml:space="preserve"> You may also obtain a printed copy of our Annual Report on Form 10-K, including our financial statements, free of charge, from us by sending a written request to: XpresSpa Group, Inc., 780 Third Avenue, 12</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 New</w:t>
      </w:r>
    </w:p>
    <w:p>
      <w:pPr>
        <w:spacing w:after="0" w:line="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color w:val="auto"/>
        </w:rPr>
        <w:t>York, New York 10017, Attention: Corporate Secretary. Exhibits will be provided upon written request and payment of an appropriate processing fee.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252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of XpresSpa Group, Inc. is soliciting your proxy to vote at the annual meeting of stockholders to be held at the offices of Mintz, Levin, Cohn, Ferris, Glovsky and Popeo, P.C., on September 18, 2018, at 11:00 a.m. local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made available to you on the Internet or have sent you this proxy statement, the Notice of Annual Meeting of Stockholders, the proxy card and a copy of our Annual Report on Form 10-K for the fiscal year ended December 31, 2017 because you owned shares of our common stock on the record date. We intend to commence distribution of the Important Notice Regarding the Availability of Proxy Materials, which we refer to throughout this proxy statement as the Notice, and, if applicable, the proxy materials to stockholders on or about August 9,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permitted by the rules of the U.S. Securities and Exchange Commission, or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seeking approval for the issuance of shares of common stock in connection with the financing transaction?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15, 2018, we entered into a securities purchase agreement pursuant to which we agreed to sell up to (i) an aggregate principal amount of $4,438,000 in 5% Secured Convertible Notes due 2019, which includes $88,000 to be issued to Palladium Capital Advisors as Placement Agent (the “Notes”), convertible into shares of our common stock, par value $0.01 per share, at a conversion price of $0.62 per share, (ii) Class A Warrants to purchase 7,157,259 shares of common stock at an exercise price of $0.62 per share and (iii) Class B Warrants to purchase 3,578,630 shares of common stock at an exercise price of $0.62 per share (the “Financing Transaction”). The Notes bear interest at a rate of 5% per annum. The Notes are senior secured obligations of ours and are secured by certain of our personal property. Unless earlier converted or redeemed, the Notes will mature in November 2019.</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the Financing Transaction. For more information, see “Proposal 3: Issuance of Shares of Common Stock in Financing Transaction” contained elsewhere in this proxy statement.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16, 2018, we received a notification letter from Nasdaq informing us that for the last 30 consecutive business days, the bid price of our securities had closed below $1.00 per share as required by Nasdaq Listing Rule 5550(a)(2). This notice has no immediate effect on our Nasdaq listing and we had 180 calendar days, or until September 12, 2018, to regain compliance. As of August 27, 2018, we had not regained compliance since the closing bid price of our securities was not at least $1.00 per share for a minimum of ten consecutive business days. To cure the deficiency, we propose to conduct the reverse stock split of our common stock for which we are seeking stockholder approval in Proposal 4 of this proxy statement. On July 25, 2018, the closing price of our common stock as reported on Nasdaq was $0.27 per share.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“Proposal 4: Reverse Stock Split” contained elsewhere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stockholders who owned our common stock or Series D Preferred Stock at the close of business on July 23, 2018 are entitled to vote at the annual meeting. On this record date, there were 27,114,662 shares of our common stock outstanding and entitled to vote and 420,541 shares of our Series D Preferred Stock outstanding and entitled to vote, on an as-converted basis, such that holders of our Series D Preferred Stock are entitled to an aggregate of 3,364,328 votes. Our common stock and our Series D Preferred Stock are our only classes of voting stock.</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 or</w:t>
      </w:r>
      <w:r>
        <w:rPr>
          <w:rFonts w:ascii="Arial" w:cs="Arial" w:eastAsia="Arial" w:hAnsi="Arial"/>
          <w:sz w:val="18"/>
          <w:szCs w:val="18"/>
          <w:color w:val="auto"/>
        </w:rPr>
        <w:t xml:space="preserve"> </w:t>
      </w:r>
      <w:r>
        <w:rPr>
          <w:rFonts w:ascii="Arial" w:cs="Arial" w:eastAsia="Arial" w:hAnsi="Arial"/>
          <w:sz w:val="18"/>
          <w:szCs w:val="18"/>
          <w:i w:val="1"/>
          <w:iCs w:val="1"/>
          <w:color w:val="auto"/>
        </w:rPr>
        <w:t>Revoke My Proxy?</w:t>
      </w:r>
      <w:r>
        <w:rPr>
          <w:rFonts w:ascii="Arial" w:cs="Arial" w:eastAsia="Arial" w:hAnsi="Arial"/>
          <w:sz w:val="18"/>
          <w:szCs w:val="18"/>
          <w:color w:val="auto"/>
        </w:rPr>
        <w:t>”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share of our common stock that you own entitles you to one vote. Each share of our Series D Preferred Stock that you own entitles you to the number of votes equal to the number of shares of common stock into which your shares of Series D Preferred Stock could have been converted on the record date. This number is obtained by dividing the stated value of your Series D Preferred Stock ($48.00) by the conversion price in effect on the record date ($6.00).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against or abstain with respect to each of the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174" w:lineRule="exact"/>
        <w:rPr>
          <w:sz w:val="20"/>
          <w:szCs w:val="20"/>
          <w:color w:val="auto"/>
        </w:rPr>
      </w:pPr>
    </w:p>
    <w:p>
      <w:pPr>
        <w:ind w:left="980" w:right="20" w:hanging="324"/>
        <w:spacing w:after="0" w:line="28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the Internet or by telephone. </w:t>
      </w:r>
      <w:r>
        <w:rPr>
          <w:rFonts w:ascii="Arial" w:cs="Arial" w:eastAsia="Arial" w:hAnsi="Arial"/>
          <w:sz w:val="18"/>
          <w:szCs w:val="18"/>
          <w:color w:val="auto"/>
        </w:rPr>
        <w:t>Follow the instructions included in the Notice or, if you received printed materials, in the proxy card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by Internet or telephone.</w:t>
      </w:r>
    </w:p>
    <w:p>
      <w:pPr>
        <w:spacing w:after="0" w:line="161"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a proxy card by mail, you can vote by mail by completing, signing, dating and returning the proxy card as instructed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card. If you sign the proxy card but do not specify how you want your shares voted, they will be voted in accordance with the Board of Directors’ recommendations as noted below.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980" w:right="20" w:hanging="324"/>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a completed proxy card in person or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voting facilities for stockholders of record will be available 24 hours a day and will close at 11:59 p.m. Eastern Time on September 17, 2018.</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22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225" w:lineRule="exact"/>
        <w:rPr>
          <w:rFonts w:ascii="Arial" w:cs="Arial" w:eastAsia="Arial" w:hAnsi="Arial"/>
          <w:sz w:val="18"/>
          <w:szCs w:val="18"/>
          <w:color w:val="auto"/>
        </w:rPr>
      </w:pPr>
    </w:p>
    <w:p>
      <w:pPr>
        <w:ind w:left="980" w:right="20" w:hanging="324"/>
        <w:spacing w:after="0" w:line="28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CohnReznick LLP as our independent registered public accounting firm for our fiscal year ending December 31, 2018;</w:t>
      </w:r>
    </w:p>
    <w:p>
      <w:pPr>
        <w:spacing w:after="0" w:line="16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for purposes of complying with Nasdaq Listing Rule 5635(d), of the issuance of shares of our common stock underlying convertible notes and warrants issued by us pursuant to the terms of that certain Securities Purchase Agreement, dated May 15, 2018, by and among 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w:t>
      </w:r>
    </w:p>
    <w:p>
      <w:pPr>
        <w:spacing w:after="0" w:line="183"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to our Amended and Restated Certificate of Incorporation to effect a reverse stock split of our common stock, par value $0.01 per share, at a ratio of between 5-for-1 and 25-for-1;</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this proxy statement; and</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proposals referred to above.</w:t>
      </w:r>
    </w:p>
    <w:p>
      <w:pPr>
        <w:spacing w:after="0" w:line="161" w:lineRule="exact"/>
        <w:rPr>
          <w:rFonts w:ascii="Arial" w:cs="Arial" w:eastAsia="Arial" w:hAnsi="Arial"/>
          <w:sz w:val="18"/>
          <w:szCs w:val="18"/>
          <w:color w:val="auto"/>
        </w:rPr>
      </w:pPr>
    </w:p>
    <w:p>
      <w:pPr>
        <w:ind w:left="980" w:right="20" w:hanging="324"/>
        <w:spacing w:after="0" w:line="28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holders of Series D Preferred Stock, </w:t>
      </w:r>
      <w:r>
        <w:rPr>
          <w:rFonts w:ascii="Arial" w:cs="Arial" w:eastAsia="Arial" w:hAnsi="Arial"/>
          <w:sz w:val="18"/>
          <w:szCs w:val="18"/>
          <w:b w:val="1"/>
          <w:bCs w:val="1"/>
          <w:color w:val="auto"/>
        </w:rPr>
        <w:t>“NO RECOMMENDATION”</w:t>
      </w:r>
      <w:r>
        <w:rPr>
          <w:rFonts w:ascii="Arial" w:cs="Arial" w:eastAsia="Arial" w:hAnsi="Arial"/>
          <w:sz w:val="18"/>
          <w:szCs w:val="18"/>
          <w:color w:val="auto"/>
        </w:rPr>
        <w:t xml:space="preserve"> on whether to vote in favor of or withhold your vote on the re-election of Andrew R. Heyer.</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or Revoke My Proxy?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170"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notifying the Corporate Secretary of XpresSpa Group, Inc. in writing before the annual meeting that you have revoked your proxy; or</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most current vote, whether by the Internet or proxy card is the one that will be counted.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6"/>
          <w:szCs w:val="16"/>
          <w:i w:val="1"/>
          <w:iCs w:val="1"/>
          <w:color w:val="auto"/>
        </w:rPr>
        <w:t>How Do I Vote?</w:t>
      </w:r>
      <w:r>
        <w:rPr>
          <w:rFonts w:ascii="Arial" w:cs="Arial" w:eastAsia="Arial" w:hAnsi="Arial"/>
          <w:sz w:val="16"/>
          <w:szCs w:val="16"/>
          <w:color w:val="auto"/>
        </w:rPr>
        <w:t>” for each account to ensure that all of your shares are voted.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3 and 5.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7680" w:type="dxa"/>
            <w:vAlign w:val="bottom"/>
          </w:tcPr>
          <w:p>
            <w:pPr>
              <w:ind w:left="380"/>
              <w:spacing w:after="0"/>
              <w:rPr>
                <w:sz w:val="20"/>
                <w:szCs w:val="20"/>
                <w:color w:val="auto"/>
              </w:rPr>
            </w:pPr>
            <w:r>
              <w:rPr>
                <w:rFonts w:ascii="Arial" w:cs="Arial" w:eastAsia="Arial" w:hAnsi="Arial"/>
                <w:sz w:val="18"/>
                <w:szCs w:val="18"/>
                <w:color w:val="auto"/>
                <w:w w:val="92"/>
              </w:rPr>
              <w:t>The nominees for director who receive the most votes (also known as a “plurality” of the votes cast)</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3"/>
              </w:rPr>
              <w:t>will be elected. You may vote either FOR all of the nominees, WITHHOLD your vote from all of the</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3"/>
              </w:rPr>
              <w:t>nominees or WITHHOLD your vote from any one or more of the nominees. Votes that are withheld</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5"/>
              </w:rPr>
              <w:t>will not be included in the vote tally for the election of the directors. Brokerage firms do not have</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3"/>
              </w:rPr>
              <w:t>authority to vote customers’ unvoted shares held by the firms in street name for the election of the</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1"/>
              </w:rPr>
              <w:t>directors. As a result, any shares not voted by a customer will be treated as a broker non-vote. Such</w:t>
            </w:r>
          </w:p>
        </w:tc>
      </w:tr>
      <w:tr>
        <w:trPr>
          <w:trHeight w:val="230"/>
        </w:trPr>
        <w:tc>
          <w:tcPr>
            <w:tcW w:w="3740" w:type="dxa"/>
            <w:vAlign w:val="bottom"/>
          </w:tcPr>
          <w:p>
            <w:pPr>
              <w:spacing w:after="0"/>
              <w:rPr>
                <w:sz w:val="20"/>
                <w:szCs w:val="20"/>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broker non-votes will have no effect on the results of this vote.</w:t>
            </w:r>
          </w:p>
        </w:tc>
      </w:tr>
      <w:tr>
        <w:trPr>
          <w:trHeight w:val="414"/>
        </w:trPr>
        <w:tc>
          <w:tcPr>
            <w:tcW w:w="3740" w:type="dxa"/>
            <w:vAlign w:val="bottom"/>
          </w:tcPr>
          <w:p>
            <w:pPr>
              <w:spacing w:after="0"/>
              <w:rPr>
                <w:sz w:val="20"/>
                <w:szCs w:val="20"/>
                <w:color w:val="auto"/>
              </w:rPr>
            </w:pPr>
            <w:r>
              <w:rPr>
                <w:rFonts w:ascii="Arial" w:cs="Arial" w:eastAsia="Arial" w:hAnsi="Arial"/>
                <w:sz w:val="18"/>
                <w:szCs w:val="18"/>
                <w:b w:val="1"/>
                <w:bCs w:val="1"/>
                <w:color w:val="auto"/>
                <w:w w:val="99"/>
              </w:rPr>
              <w:t>Proposal 2: Ratify Selection of Independent</w:t>
            </w:r>
          </w:p>
        </w:tc>
        <w:tc>
          <w:tcPr>
            <w:tcW w:w="7680" w:type="dxa"/>
            <w:vAlign w:val="bottom"/>
          </w:tcPr>
          <w:p>
            <w:pPr>
              <w:ind w:left="380"/>
              <w:spacing w:after="0"/>
              <w:rPr>
                <w:sz w:val="20"/>
                <w:szCs w:val="20"/>
                <w:color w:val="auto"/>
              </w:rPr>
            </w:pPr>
            <w:r>
              <w:rPr>
                <w:rFonts w:ascii="Arial" w:cs="Arial" w:eastAsia="Arial" w:hAnsi="Arial"/>
                <w:sz w:val="18"/>
                <w:szCs w:val="18"/>
                <w:color w:val="auto"/>
                <w:w w:val="99"/>
              </w:rPr>
              <w:t>The affirmative vote of the holders of a majority of the shares of common stock and Series D</w:t>
            </w:r>
          </w:p>
        </w:tc>
      </w:tr>
      <w:tr>
        <w:trPr>
          <w:trHeight w:val="220"/>
        </w:trPr>
        <w:tc>
          <w:tcPr>
            <w:tcW w:w="3740" w:type="dxa"/>
            <w:vAlign w:val="bottom"/>
          </w:tcPr>
          <w:p>
            <w:pPr>
              <w:spacing w:after="0"/>
              <w:rPr>
                <w:sz w:val="20"/>
                <w:szCs w:val="20"/>
                <w:color w:val="auto"/>
              </w:rPr>
            </w:pPr>
            <w:r>
              <w:rPr>
                <w:rFonts w:ascii="Arial" w:cs="Arial" w:eastAsia="Arial" w:hAnsi="Arial"/>
                <w:sz w:val="18"/>
                <w:szCs w:val="18"/>
                <w:b w:val="1"/>
                <w:bCs w:val="1"/>
                <w:color w:val="auto"/>
              </w:rPr>
              <w:t>Registered Public Accounting Firm</w:t>
            </w:r>
          </w:p>
        </w:tc>
        <w:tc>
          <w:tcPr>
            <w:tcW w:w="7680" w:type="dxa"/>
            <w:vAlign w:val="bottom"/>
          </w:tcPr>
          <w:p>
            <w:pPr>
              <w:ind w:left="380"/>
              <w:spacing w:after="0"/>
              <w:rPr>
                <w:sz w:val="20"/>
                <w:szCs w:val="20"/>
                <w:color w:val="auto"/>
              </w:rPr>
            </w:pPr>
            <w:r>
              <w:rPr>
                <w:rFonts w:ascii="Arial" w:cs="Arial" w:eastAsia="Arial" w:hAnsi="Arial"/>
                <w:sz w:val="18"/>
                <w:szCs w:val="18"/>
                <w:color w:val="auto"/>
                <w:w w:val="92"/>
              </w:rPr>
              <w:t>Preferred Stock voting on an as-converted basis present and entitled to vote on the matter either in</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2"/>
              </w:rPr>
              <w:t>person or by proxy at the annual meeting is required to ratify the appointment of CohnReznick LLP</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2"/>
              </w:rPr>
              <w:t>as our independent registered public accounting firm for the fiscal year ending December 31, 2018.</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4"/>
              </w:rPr>
              <w:t>Abstentions will be treated as votes against this proposal. Brokerage firms have authority to vote</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4"/>
              </w:rPr>
              <w:t>customers’ unvoted shares held by the firms in street name on this proposal. If a broker does not</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2"/>
              </w:rPr>
              <w:t>exercise this authority, such broker non-votes will have no effect on the results of this vote. We are</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3"/>
              </w:rPr>
              <w:t>not required to obtain the approval of our stockholders to select our independent registered public</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2"/>
              </w:rPr>
              <w:t>accounting firm. However, if our stockholders do not ratify the selection of CohnReznick LLP as our</w:t>
            </w:r>
          </w:p>
        </w:tc>
      </w:tr>
      <w:tr>
        <w:trPr>
          <w:trHeight w:val="216"/>
        </w:trPr>
        <w:tc>
          <w:tcPr>
            <w:tcW w:w="3740" w:type="dxa"/>
            <w:vAlign w:val="bottom"/>
          </w:tcPr>
          <w:p>
            <w:pPr>
              <w:spacing w:after="0"/>
              <w:rPr>
                <w:sz w:val="18"/>
                <w:szCs w:val="18"/>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w w:val="99"/>
              </w:rPr>
              <w:t>independent registered public accounting firm for 2018, our Audit Committee of our Board of</w:t>
            </w:r>
          </w:p>
        </w:tc>
      </w:tr>
      <w:tr>
        <w:trPr>
          <w:trHeight w:val="230"/>
        </w:trPr>
        <w:tc>
          <w:tcPr>
            <w:tcW w:w="3740" w:type="dxa"/>
            <w:vAlign w:val="bottom"/>
          </w:tcPr>
          <w:p>
            <w:pPr>
              <w:spacing w:after="0"/>
              <w:rPr>
                <w:sz w:val="20"/>
                <w:szCs w:val="20"/>
                <w:color w:val="auto"/>
              </w:rPr>
            </w:pPr>
          </w:p>
        </w:tc>
        <w:tc>
          <w:tcPr>
            <w:tcW w:w="7680" w:type="dxa"/>
            <w:vAlign w:val="bottom"/>
          </w:tcPr>
          <w:p>
            <w:pPr>
              <w:ind w:left="380"/>
              <w:spacing w:after="0"/>
              <w:rPr>
                <w:sz w:val="20"/>
                <w:szCs w:val="20"/>
                <w:color w:val="auto"/>
              </w:rPr>
            </w:pPr>
            <w:r>
              <w:rPr>
                <w:rFonts w:ascii="Arial" w:cs="Arial" w:eastAsia="Arial" w:hAnsi="Arial"/>
                <w:sz w:val="18"/>
                <w:szCs w:val="18"/>
                <w:color w:val="auto"/>
              </w:rPr>
              <w:t>Directors will reconsider its selection.</w:t>
            </w:r>
          </w:p>
        </w:tc>
      </w:tr>
      <w:tr>
        <w:trPr>
          <w:trHeight w:val="675"/>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908" w:right="239" w:bottom="1440" w:gutter="0" w:footer="0" w:header="0"/>
        </w:sectPr>
      </w:pPr>
    </w:p>
    <w:bookmarkStart w:id="10" w:name="page11"/>
    <w:bookmarkEnd w:id="10"/>
    <w:p>
      <w:pPr>
        <w:spacing w:after="0"/>
        <w:tabs>
          <w:tab w:leader="none" w:pos="4100" w:val="left"/>
        </w:tabs>
        <w:rPr>
          <w:sz w:val="20"/>
          <w:szCs w:val="20"/>
          <w:color w:val="auto"/>
        </w:rPr>
      </w:pPr>
      <w:r>
        <w:rPr>
          <w:rFonts w:ascii="Arial" w:cs="Arial" w:eastAsia="Arial" w:hAnsi="Arial"/>
          <w:sz w:val="18"/>
          <w:szCs w:val="18"/>
          <w:b w:val="1"/>
          <w:bCs w:val="1"/>
          <w:color w:val="auto"/>
        </w:rPr>
        <w:t>Proposal 3: Issuance of Shares of Common Stock in</w:t>
      </w:r>
      <w:r>
        <w:rPr>
          <w:sz w:val="20"/>
          <w:szCs w:val="20"/>
          <w:color w:val="auto"/>
        </w:rPr>
        <w:tab/>
      </w:r>
      <w:r>
        <w:rPr>
          <w:rFonts w:ascii="Arial" w:cs="Arial" w:eastAsia="Arial" w:hAnsi="Arial"/>
          <w:sz w:val="16"/>
          <w:szCs w:val="16"/>
          <w:color w:val="auto"/>
        </w:rPr>
        <w:t>The affirmative vote of the holders of a majority of the total votes cast in person or by proxy at the</w:t>
      </w:r>
    </w:p>
    <w:p>
      <w:pPr>
        <w:spacing w:after="0" w:line="27"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Financing Transaction</w:t>
      </w:r>
      <w:r>
        <w:rPr>
          <w:sz w:val="20"/>
          <w:szCs w:val="20"/>
          <w:color w:val="auto"/>
        </w:rPr>
        <w:tab/>
      </w:r>
      <w:r>
        <w:rPr>
          <w:rFonts w:ascii="Arial" w:cs="Arial" w:eastAsia="Arial" w:hAnsi="Arial"/>
          <w:sz w:val="18"/>
          <w:szCs w:val="18"/>
          <w:color w:val="auto"/>
        </w:rPr>
        <w:t>annual meeting is required to approve, in accordance with Nasdaq Listing Rule 5635(d), the</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issuance, under the terms of that certain Securities Purchase Agreement dated May 15, 2018, by and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among XpresSpa Group, Inc. and the investors thereto, and related documents, of shares of our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common stock underlying convertible notes and warrants issued by us (including upon the operation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“full-ratchet”  anti-dilution  provisions  contained  in  such  convertible  notes  and  warrants).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Abstentions will be treated as votes against this proposal. Brokerage firms do not have authority to</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vote customers’ unvoted shares held by the firms in street name on this proposal. As a result, any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shares not voted by a customer will be treated as a broker non-vote. Such broker non-votes will have</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no effect on the results of this vote.</w:t>
      </w:r>
    </w:p>
    <w:p>
      <w:pPr>
        <w:spacing w:after="0" w:line="207"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Proposal 4: Reverse Stock Split</w:t>
      </w:r>
      <w:r>
        <w:rPr>
          <w:sz w:val="20"/>
          <w:szCs w:val="20"/>
          <w:color w:val="auto"/>
        </w:rPr>
        <w:tab/>
      </w:r>
      <w:r>
        <w:rPr>
          <w:rFonts w:ascii="Arial" w:cs="Arial" w:eastAsia="Arial" w:hAnsi="Arial"/>
          <w:sz w:val="16"/>
          <w:szCs w:val="16"/>
          <w:color w:val="auto"/>
        </w:rPr>
        <w:t>The affirmative vote of the holders of a majority of the outstanding shares of our common stock and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Series D Preferred Stock voting on an as-converted basis entitled to vote on the matter either in</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person or by proxy at the annual meeting is required to approve the amendment to our Amended and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Restated Certificate of Incorporation to effect a reverse stock split of our common stock. Abstentions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will be treated as votes against this proposal. Brokerage firms have authority to vote customers’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unvoted shares held by the firms in street name on this proposal. If a broker does not exercise this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authority, such broker non-votes will have the same effect as a vote against such proposal.</w:t>
      </w:r>
    </w:p>
    <w:p>
      <w:pPr>
        <w:sectPr>
          <w:pgSz w:w="11900" w:h="16838" w:orient="portrait"/>
          <w:cols w:equalWidth="0" w:num="1">
            <w:col w:w="11420"/>
          </w:cols>
          <w:pgMar w:left="240" w:top="931" w:right="239" w:bottom="1440" w:gutter="0" w:footer="0" w:header="0"/>
        </w:sectPr>
      </w:pP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Proposal 5: Approve an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affirmative vote of the holders of a majority of the shares of common stock and Series D Preferred Stock voting on an as-converted basis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74" w:lineRule="exact"/>
        <w:rPr>
          <w:sz w:val="20"/>
          <w:szCs w:val="20"/>
          <w:color w:val="auto"/>
        </w:rPr>
      </w:pPr>
    </w:p>
    <w:p>
      <w:pPr>
        <w:sectPr>
          <w:pgSz w:w="11900" w:h="16838" w:orient="portrait"/>
          <w:cols w:equalWidth="0" w:num="2">
            <w:col w:w="3680" w:space="440"/>
            <w:col w:w="7300"/>
          </w:cols>
          <w:pgMar w:left="240" w:top="931" w:right="239" w:bottom="1440" w:gutter="0" w:footer="0" w:header="0"/>
          <w:type w:val="continuous"/>
        </w:sectPr>
      </w:pPr>
    </w:p>
    <w:p>
      <w:pPr>
        <w:spacing w:after="0" w:line="261" w:lineRule="auto"/>
        <w:rPr>
          <w:sz w:val="20"/>
          <w:szCs w:val="20"/>
          <w:color w:val="auto"/>
        </w:rPr>
      </w:pPr>
      <w:r>
        <w:rPr>
          <w:rFonts w:ascii="Arial" w:cs="Arial" w:eastAsia="Arial" w:hAnsi="Arial"/>
          <w:sz w:val="18"/>
          <w:szCs w:val="18"/>
          <w:b w:val="1"/>
          <w:bCs w:val="1"/>
          <w:color w:val="auto"/>
        </w:rPr>
        <w:t>Proposal 6: Approve an Adjournment of the Annual Meeting, if Necessary, to Solicit Additional Proxies if there are not Sufficient Votes in Favor of Proposals 2 through 5.</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Approval of the adjournment of the annual meeting, if necessary, to solicit additional proxies if there are not sufficient votes in favor of Proposals 2 through 5 requires the affirmative vote of the holders of a majority of the shares of common stock and Series D Preferred Stock present and entitled to vote either in person or by proxy at the annual meeting. A “broker non-vote” or a failure to submit a proxy or vote at the annual meeting will have no effect on the outcome of the vote for this Proposal</w:t>
      </w:r>
    </w:p>
    <w:p>
      <w:pPr>
        <w:spacing w:after="0" w:line="2" w:lineRule="exact"/>
        <w:rPr>
          <w:sz w:val="20"/>
          <w:szCs w:val="20"/>
          <w:color w:val="auto"/>
        </w:rPr>
      </w:pPr>
    </w:p>
    <w:p>
      <w:pPr>
        <w:ind w:firstLine="7"/>
        <w:spacing w:after="0" w:line="261"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the vote on this Proposal 6, an abstention will have the same effect as a vote “AGAINST” such proposal.</w:t>
      </w:r>
    </w:p>
    <w:p>
      <w:pPr>
        <w:spacing w:after="0" w:line="200" w:lineRule="exact"/>
        <w:rPr>
          <w:sz w:val="20"/>
          <w:szCs w:val="20"/>
          <w:color w:val="auto"/>
        </w:rPr>
      </w:pPr>
    </w:p>
    <w:p>
      <w:pPr>
        <w:sectPr>
          <w:pgSz w:w="11900" w:h="16838" w:orient="portrait"/>
          <w:cols w:equalWidth="0" w:num="2">
            <w:col w:w="3900" w:space="220"/>
            <w:col w:w="7300"/>
          </w:cols>
          <w:pgMar w:left="240" w:top="931" w:right="2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1" w:name="page12"/>
    <w:bookmarkEnd w:id="11"/>
    <w:p>
      <w:pPr>
        <w:spacing w:after="0" w:line="347" w:lineRule="auto"/>
        <w:rPr>
          <w:sz w:val="20"/>
          <w:szCs w:val="20"/>
          <w:color w:val="auto"/>
        </w:rPr>
      </w:pPr>
      <w:r>
        <w:rPr>
          <w:rFonts w:ascii="Arial" w:cs="Arial" w:eastAsia="Arial" w:hAnsi="Arial"/>
          <w:sz w:val="16"/>
          <w:szCs w:val="16"/>
          <w:b w:val="1"/>
          <w:bCs w:val="1"/>
          <w:color w:val="auto"/>
        </w:rPr>
        <w:t>Preferred Stockholder Proposal: Election of Director by Series D Preferred Stockholders</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auto"/>
        </w:rPr>
        <w:t>The nominee for director who receives the most votes (also known as a “plurality” of the votes cast) will be elected. You may vote either FOR the nominee or WITHHOLD your vote from the nominee.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61" w:lineRule="exact"/>
        <w:rPr>
          <w:sz w:val="20"/>
          <w:szCs w:val="20"/>
          <w:color w:val="auto"/>
        </w:rPr>
      </w:pPr>
    </w:p>
    <w:p>
      <w:pPr>
        <w:sectPr>
          <w:pgSz w:w="11900" w:h="16838" w:orient="portrait"/>
          <w:cols w:equalWidth="0" w:num="2">
            <w:col w:w="3400" w:space="720"/>
            <w:col w:w="7300"/>
          </w:cols>
          <w:pgMar w:left="240" w:top="931" w:right="239" w:bottom="1440" w:gutter="0" w:footer="0" w:header="0"/>
        </w:sectPr>
      </w:pPr>
    </w:p>
    <w:p>
      <w:pPr>
        <w:spacing w:after="0"/>
        <w:rPr>
          <w:sz w:val="20"/>
          <w:szCs w:val="20"/>
          <w:color w:val="auto"/>
        </w:rPr>
      </w:pPr>
      <w:r>
        <w:rPr>
          <w:rFonts w:ascii="Arial" w:cs="Arial" w:eastAsia="Arial" w:hAnsi="Arial"/>
          <w:sz w:val="16"/>
          <w:szCs w:val="16"/>
          <w:b w:val="1"/>
          <w:bCs w:val="1"/>
          <w:color w:val="auto"/>
        </w:rPr>
        <w:t>Is Voting Confidential?</w:t>
      </w:r>
    </w:p>
    <w:p>
      <w:pPr>
        <w:sectPr>
          <w:pgSz w:w="11900" w:h="16838" w:orient="portrait"/>
          <w:cols w:equalWidth="0" w:num="1">
            <w:col w:w="11420"/>
          </w:cols>
          <w:pgMar w:left="240" w:top="931" w:right="239" w:bottom="1440" w:gutter="0" w:footer="0" w:header="0"/>
          <w:type w:val="continuous"/>
        </w:sectPr>
      </w:pP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$15,000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presence, in person or by proxy, of the holders of a majority of the voting power of all outstanding shares of our common stock and Series D Preferred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annual meeting will be held at 11:00 a.m. on Tuesday, September 18, 2018, at the offices of Mintz, Levin, Cohn, Ferris, Glovsky and Popeo, P.C. When you arrive at Mintz, Levin, Cohn, Ferris, Glovsky and Popeo, P.C., signs will direct you to the appropriate meeting rooms. You need not attend the annual meeting in order to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2" w:name="page13"/>
    <w:bookmarkEnd w:id="12"/>
    <w:p>
      <w:pPr>
        <w:jc w:val="both"/>
        <w:ind w:firstLine="648"/>
        <w:spacing w:after="0" w:line="257" w:lineRule="auto"/>
        <w:rPr>
          <w:sz w:val="20"/>
          <w:szCs w:val="20"/>
          <w:color w:val="auto"/>
        </w:rPr>
      </w:pPr>
      <w:r>
        <w:rPr>
          <w:rFonts w:ascii="Arial" w:cs="Arial" w:eastAsia="Arial" w:hAnsi="Arial"/>
          <w:sz w:val="18"/>
          <w:szCs w:val="18"/>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your household received a single Notice or, if applicable, a single set of proxy materials this year, but you would prefer to receive your own copy, please contact XpresSpa Group’s Corporate Secretary at XpresSpa Group,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pacing w:after="0" w:line="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 and together both of you would like to receive only a single Notice or, if applicable, set of proxy materials, follow these instructions:</w:t>
      </w:r>
    </w:p>
    <w:p>
      <w:pPr>
        <w:spacing w:after="0" w:line="181" w:lineRule="exact"/>
        <w:rPr>
          <w:sz w:val="20"/>
          <w:szCs w:val="20"/>
          <w:color w:val="auto"/>
        </w:rPr>
      </w:pPr>
    </w:p>
    <w:p>
      <w:pPr>
        <w:ind w:left="700" w:hanging="341"/>
        <w:spacing w:after="0" w:line="25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1" w:lineRule="exact"/>
        <w:rPr>
          <w:rFonts w:ascii="Arial" w:cs="Arial" w:eastAsia="Arial" w:hAnsi="Arial"/>
          <w:sz w:val="18"/>
          <w:szCs w:val="18"/>
          <w:color w:val="auto"/>
        </w:rPr>
      </w:pPr>
    </w:p>
    <w:p>
      <w:pPr>
        <w:ind w:left="700" w:right="20" w:hanging="341"/>
        <w:spacing w:after="0" w:line="261"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Most stockholders can elect to view or receive copies of future proxy materials over the Internet instead of receiving paper copies in the mail.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choose this option and save the Company the cost of producing and mailing these documents by:</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instructions provided on your proxy card;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Series D Preferred Stock and common stock underlying our convertible notes as of July 10, 2018 for (a) each stockholder known by us to own beneficially more than 5% of our common stock, Series D Preferred Stock or common stock underlying our convertible notes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Series D Preferred Stock and common stock underlying our convertible notes that may be acquired by an individual or group within 60 days of July 10, 2018 pursuant to the exercise of options or warrants, the vesting of restricted stock units, or the conversion of notes into shares of common stock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Series D Preferred Stock, and/or common stock underlying our convertible notes shown to be beneficially owned by them based on information provided to us by these stockholders. Percentage of ownership is based on (i) 27,114,662 shares of common stock, (ii) 420,541 shares of Series D Preferred Stock convertible into 3,364,328 shares of common stock, and (iii) 7,157,259 shares of common stock underlying our convertible notes outstanding on July 10,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c>
          <w:tcPr>
            <w:tcW w:w="6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6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 of Shares</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of</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6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 Stock</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of Common Stock</w:t>
            </w:r>
          </w:p>
        </w:tc>
        <w:tc>
          <w:tcPr>
            <w:tcW w:w="0" w:type="dxa"/>
            <w:vAlign w:val="bottom"/>
          </w:tcPr>
          <w:p>
            <w:pPr>
              <w:spacing w:after="0"/>
              <w:rPr>
                <w:sz w:val="1"/>
                <w:szCs w:val="1"/>
                <w:color w:val="auto"/>
              </w:rPr>
            </w:pPr>
          </w:p>
        </w:tc>
      </w:tr>
      <w:tr>
        <w:trPr>
          <w:trHeight w:val="216"/>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 Stock</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Underlying Series D</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Underlying Series</w:t>
            </w:r>
          </w:p>
        </w:tc>
        <w:tc>
          <w:tcPr>
            <w:tcW w:w="0" w:type="dxa"/>
            <w:vAlign w:val="bottom"/>
          </w:tcPr>
          <w:p>
            <w:pPr>
              <w:spacing w:after="0"/>
              <w:rPr>
                <w:sz w:val="1"/>
                <w:szCs w:val="1"/>
                <w:color w:val="auto"/>
              </w:rPr>
            </w:pPr>
          </w:p>
        </w:tc>
      </w:tr>
      <w:tr>
        <w:trPr>
          <w:trHeight w:val="180"/>
        </w:trPr>
        <w:tc>
          <w:tcPr>
            <w:tcW w:w="5080" w:type="dxa"/>
            <w:vAlign w:val="bottom"/>
            <w:gridSpan w:val="2"/>
            <w:vMerge w:val="continue"/>
          </w:tcPr>
          <w:p>
            <w:pPr>
              <w:spacing w:after="0"/>
              <w:rPr>
                <w:sz w:val="15"/>
                <w:szCs w:val="15"/>
                <w:color w:val="auto"/>
              </w:rPr>
            </w:pPr>
          </w:p>
        </w:tc>
        <w:tc>
          <w:tcPr>
            <w:tcW w:w="146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142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60" w:type="dxa"/>
            <w:vAlign w:val="bottom"/>
          </w:tcPr>
          <w:p>
            <w:pPr>
              <w:spacing w:after="0"/>
              <w:rPr>
                <w:sz w:val="15"/>
                <w:szCs w:val="15"/>
                <w:color w:val="auto"/>
              </w:rPr>
            </w:pPr>
          </w:p>
        </w:tc>
        <w:tc>
          <w:tcPr>
            <w:tcW w:w="176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2"/>
              </w:rPr>
              <w:t>Preferred</w:t>
            </w:r>
          </w:p>
        </w:tc>
        <w:tc>
          <w:tcPr>
            <w:tcW w:w="164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3"/>
              </w:rPr>
              <w:t>D Preferred</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Owner</w:t>
            </w:r>
            <w:r>
              <w:rPr>
                <w:rFonts w:ascii="Arial" w:cs="Arial" w:eastAsia="Arial" w:hAnsi="Arial"/>
                <w:sz w:val="30"/>
                <w:szCs w:val="30"/>
                <w:b w:val="1"/>
                <w:bCs w:val="1"/>
                <w:color w:val="auto"/>
                <w:vertAlign w:val="superscript"/>
              </w:rPr>
              <w:t>(1)</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60" w:type="dxa"/>
            <w:vAlign w:val="bottom"/>
          </w:tcPr>
          <w:p>
            <w:pPr>
              <w:spacing w:after="0"/>
              <w:rPr>
                <w:sz w:val="23"/>
                <w:szCs w:val="23"/>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Beneficially Owned</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 Owned</w:t>
            </w: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080" w:type="dxa"/>
            <w:vAlign w:val="bottom"/>
            <w:gridSpan w:val="2"/>
          </w:tcPr>
          <w:p>
            <w:pPr>
              <w:spacing w:after="0" w:line="242" w:lineRule="exact"/>
              <w:rPr>
                <w:sz w:val="20"/>
                <w:szCs w:val="20"/>
                <w:color w:val="auto"/>
              </w:rPr>
            </w:pPr>
            <w:r>
              <w:rPr>
                <w:rFonts w:ascii="Arial" w:cs="Arial" w:eastAsia="Arial" w:hAnsi="Arial"/>
                <w:sz w:val="17"/>
                <w:szCs w:val="17"/>
                <w:color w:val="auto"/>
              </w:rPr>
              <w:t>Mistral Spa Holdings, LLC</w:t>
            </w:r>
            <w:r>
              <w:rPr>
                <w:rFonts w:ascii="Arial" w:cs="Arial" w:eastAsia="Arial" w:hAnsi="Arial"/>
                <w:sz w:val="28"/>
                <w:szCs w:val="28"/>
                <w:color w:val="auto"/>
                <w:vertAlign w:val="superscript"/>
              </w:rPr>
              <w:t>(2)</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650 Fifth Avenue, Floor 31</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3,926,806</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2,414,992</w:t>
            </w:r>
          </w:p>
        </w:tc>
        <w:tc>
          <w:tcPr>
            <w:tcW w:w="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Alpha Capital Anstalt</w:t>
            </w:r>
            <w:r>
              <w:rPr>
                <w:rFonts w:ascii="Arial" w:cs="Arial" w:eastAsia="Arial" w:hAnsi="Arial"/>
                <w:sz w:val="29"/>
                <w:szCs w:val="29"/>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3,629,032</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080" w:type="dxa"/>
            <w:vAlign w:val="bottom"/>
            <w:gridSpan w:val="2"/>
          </w:tcPr>
          <w:p>
            <w:pPr>
              <w:spacing w:after="0" w:line="242" w:lineRule="exact"/>
              <w:rPr>
                <w:sz w:val="20"/>
                <w:szCs w:val="20"/>
                <w:color w:val="auto"/>
              </w:rPr>
            </w:pPr>
            <w:r>
              <w:rPr>
                <w:rFonts w:ascii="Arial" w:cs="Arial" w:eastAsia="Arial" w:hAnsi="Arial"/>
                <w:sz w:val="17"/>
                <w:szCs w:val="17"/>
                <w:color w:val="auto"/>
              </w:rPr>
              <w:t>AWM Investment Company, Inc.</w:t>
            </w:r>
            <w:r>
              <w:rPr>
                <w:rFonts w:ascii="Arial" w:cs="Arial" w:eastAsia="Arial" w:hAnsi="Arial"/>
                <w:sz w:val="28"/>
                <w:szCs w:val="28"/>
                <w:color w:val="auto"/>
                <w:vertAlign w:val="superscript"/>
              </w:rPr>
              <w:t>(4)</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527 Madison Avenue, Suite 2600</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2,643,745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line="256" w:lineRule="exact"/>
              <w:rPr>
                <w:sz w:val="20"/>
                <w:szCs w:val="20"/>
                <w:color w:val="auto"/>
              </w:rPr>
            </w:pPr>
            <w:r>
              <w:rPr>
                <w:rFonts w:ascii="Arial" w:cs="Arial" w:eastAsia="Arial" w:hAnsi="Arial"/>
                <w:sz w:val="18"/>
                <w:szCs w:val="18"/>
                <w:color w:val="auto"/>
              </w:rPr>
              <w:t>Edward Jankowski</w:t>
            </w:r>
            <w:r>
              <w:rPr>
                <w:rFonts w:ascii="Arial" w:cs="Arial" w:eastAsia="Arial" w:hAnsi="Arial"/>
                <w:sz w:val="29"/>
                <w:szCs w:val="29"/>
                <w:color w:val="auto"/>
                <w:vertAlign w:val="superscript"/>
              </w:rPr>
              <w:t>(5)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283,962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1,426,912</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508,062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Janine Canale</w:t>
            </w:r>
            <w:r>
              <w:rPr>
                <w:rFonts w:ascii="Arial" w:cs="Arial" w:eastAsia="Arial" w:hAnsi="Arial"/>
                <w:sz w:val="29"/>
                <w:szCs w:val="29"/>
                <w:color w:val="auto"/>
                <w:vertAlign w:val="superscript"/>
              </w:rPr>
              <w:t>(8)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834,058</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393,416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189,908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264,632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(12)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tcPr>
          <w:p>
            <w:pPr>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(13)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723,292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Andrew R. Heyer</w:t>
            </w:r>
            <w:r>
              <w:rPr>
                <w:rFonts w:ascii="Arial" w:cs="Arial" w:eastAsia="Arial" w:hAnsi="Arial"/>
                <w:sz w:val="29"/>
                <w:szCs w:val="29"/>
                <w:color w:val="auto"/>
                <w:vertAlign w:val="superscript"/>
              </w:rPr>
              <w:t>(2)(14)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4,116,806</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2,414,992</w:t>
            </w:r>
          </w:p>
        </w:tc>
        <w:tc>
          <w:tcPr>
            <w:tcW w:w="22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90"/>
        </w:trPr>
        <w:tc>
          <w:tcPr>
            <w:tcW w:w="5080" w:type="dxa"/>
            <w:vAlign w:val="bottom"/>
            <w:gridSpan w:val="2"/>
          </w:tcPr>
          <w:p>
            <w:pPr>
              <w:spacing w:after="0"/>
              <w:rPr>
                <w:sz w:val="20"/>
                <w:szCs w:val="20"/>
                <w:color w:val="auto"/>
              </w:rPr>
            </w:pPr>
            <w:r>
              <w:rPr>
                <w:rFonts w:ascii="Arial" w:cs="Arial" w:eastAsia="Arial" w:hAnsi="Arial"/>
                <w:sz w:val="18"/>
                <w:szCs w:val="18"/>
                <w:color w:val="auto"/>
                <w:w w:val="99"/>
              </w:rPr>
              <w:t>All current directors and officers as a group (11 individuals)</w:t>
            </w:r>
            <w:r>
              <w:rPr>
                <w:rFonts w:ascii="Arial" w:cs="Arial" w:eastAsia="Arial" w:hAnsi="Arial"/>
                <w:sz w:val="30"/>
                <w:szCs w:val="30"/>
                <w:color w:val="auto"/>
                <w:w w:val="99"/>
                <w:vertAlign w:val="superscript"/>
              </w:rPr>
              <w:t>(16)</w:t>
            </w: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8,492,632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2,808,408</w:t>
            </w:r>
          </w:p>
        </w:tc>
        <w:tc>
          <w:tcPr>
            <w:tcW w:w="22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w:t>
        <w:tab/>
        <w:t>Less than 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328" w:hanging="328"/>
        <w:spacing w:after="0"/>
        <w:tabs>
          <w:tab w:leader="none" w:pos="328" w:val="left"/>
        </w:tabs>
        <w:numPr>
          <w:ilvl w:val="0"/>
          <w:numId w:val="15"/>
        </w:numPr>
        <w:rPr>
          <w:rFonts w:ascii="Arial" w:cs="Arial" w:eastAsia="Arial" w:hAnsi="Arial"/>
          <w:sz w:val="31"/>
          <w:szCs w:val="31"/>
          <w:color w:val="auto"/>
          <w:vertAlign w:val="superscript"/>
        </w:rPr>
      </w:pPr>
      <w:r>
        <w:rPr>
          <w:rFonts w:ascii="Arial" w:cs="Arial" w:eastAsia="Arial" w:hAnsi="Arial"/>
          <w:sz w:val="16"/>
          <w:szCs w:val="16"/>
          <w:color w:val="auto"/>
        </w:rPr>
        <w:t>Unless otherwise indicated, the business address of the individuals is c/o XpresSpa Group, Inc.,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w:t>
      </w:r>
    </w:p>
    <w:p>
      <w:pPr>
        <w:spacing w:after="0" w:line="112" w:lineRule="exact"/>
        <w:rPr>
          <w:rFonts w:ascii="Arial" w:cs="Arial" w:eastAsia="Arial" w:hAnsi="Arial"/>
          <w:sz w:val="31"/>
          <w:szCs w:val="31"/>
          <w:color w:val="auto"/>
          <w:vertAlign w:val="superscript"/>
        </w:rPr>
      </w:pPr>
    </w:p>
    <w:p>
      <w:pPr>
        <w:ind w:left="328"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2,338,690 shares of common stock and warrants to purchase 1,588,116 shares of common stock at the exercise price of $3.00 per share.</w:t>
      </w:r>
    </w:p>
    <w:p>
      <w:pPr>
        <w:spacing w:after="0" w:line="170"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The number of shares of common stock underlying Series D Preferred beneficially includes 301,874 shares of Series D Preferred stock convertible into 2,414,992 shares of common stock.</w:t>
      </w:r>
    </w:p>
    <w:p>
      <w:pPr>
        <w:spacing w:after="0" w:line="170" w:lineRule="exact"/>
        <w:rPr>
          <w:rFonts w:ascii="Arial" w:cs="Arial" w:eastAsia="Arial" w:hAnsi="Arial"/>
          <w:sz w:val="18"/>
          <w:szCs w:val="18"/>
          <w:color w:val="auto"/>
        </w:rPr>
      </w:pPr>
    </w:p>
    <w:p>
      <w:pPr>
        <w:jc w:val="both"/>
        <w:ind w:left="328"/>
        <w:spacing w:after="0" w:line="289" w:lineRule="auto"/>
        <w:rPr>
          <w:rFonts w:ascii="Arial" w:cs="Arial" w:eastAsia="Arial" w:hAnsi="Arial"/>
          <w:sz w:val="18"/>
          <w:szCs w:val="18"/>
          <w:color w:val="auto"/>
        </w:rPr>
      </w:pPr>
      <w:r>
        <w:rPr>
          <w:rFonts w:ascii="Arial" w:cs="Arial" w:eastAsia="Arial" w:hAnsi="Arial"/>
          <w:sz w:val="16"/>
          <w:szCs w:val="16"/>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Mr. Heyer’s business address is c/o Mistral Capital Management, LLC, 650 Fifth Avenue, 31st Floor, New York, NY 10019.</w:t>
      </w:r>
    </w:p>
    <w:p>
      <w:pPr>
        <w:spacing w:after="0" w:line="166"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solely upon the securities purchase agreement we entered into on May 15, 2018, Alpha Capital Anstalt has been deemed to have beneficial ownership of 3,629,032 shares of our common stock issuable upon conversion of our convertible notes. Not included are warrants to purchase 5,443,548 shares of our common stock, as the warrants are not exercisable until November 17, 2018. The address of Alpha Capital Anstalt is Lettstrasse 32, P.O. Box 1212, 9490 Vaduz, Liechtenstein.</w:t>
      </w:r>
    </w:p>
    <w:p>
      <w:pPr>
        <w:spacing w:after="0" w:line="186" w:lineRule="exact"/>
        <w:rPr>
          <w:rFonts w:ascii="Arial" w:cs="Arial" w:eastAsia="Arial" w:hAnsi="Arial"/>
          <w:sz w:val="18"/>
          <w:szCs w:val="18"/>
          <w:color w:val="auto"/>
        </w:rPr>
      </w:pPr>
    </w:p>
    <w:p>
      <w:pPr>
        <w:jc w:val="both"/>
        <w:ind w:left="328" w:hanging="328"/>
        <w:spacing w:after="0" w:line="302" w:lineRule="auto"/>
        <w:tabs>
          <w:tab w:leader="none" w:pos="3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AWM Investment Company, Inc., a Delaware corporation (“AWM”), is the investment adviser to Special Situations Cayman Fund, L.P. (“CAYMAN”), Special Situations Fund III QP, L.P. (“SSFQP”) and Special Situations Private Equity Fund, L.P. (“SSPE” and together with CAYMAN and SSFQP, the “Funds”). As the investment adviser to the Funds, AWM holds sole voting and investment power over 462,561 shares of common stock held by CAYMAN, 1,387,683 shares of common stock held by SSFQP and 793,501 shares of common stock held by SSPE.</w:t>
      </w:r>
    </w:p>
    <w:p>
      <w:pPr>
        <w:spacing w:after="0" w:line="154" w:lineRule="exact"/>
        <w:rPr>
          <w:rFonts w:ascii="Arial" w:cs="Arial" w:eastAsia="Arial" w:hAnsi="Arial"/>
          <w:sz w:val="16"/>
          <w:szCs w:val="16"/>
          <w:color w:val="auto"/>
        </w:rPr>
      </w:pPr>
    </w:p>
    <w:p>
      <w:pPr>
        <w:ind w:left="328"/>
        <w:spacing w:after="0" w:line="277" w:lineRule="auto"/>
        <w:rPr>
          <w:rFonts w:ascii="Arial" w:cs="Arial" w:eastAsia="Arial" w:hAnsi="Arial"/>
          <w:sz w:val="16"/>
          <w:szCs w:val="16"/>
          <w:color w:val="auto"/>
        </w:rPr>
      </w:pPr>
      <w:r>
        <w:rPr>
          <w:rFonts w:ascii="Arial" w:cs="Arial" w:eastAsia="Arial" w:hAnsi="Arial"/>
          <w:sz w:val="18"/>
          <w:szCs w:val="18"/>
          <w:color w:val="auto"/>
        </w:rPr>
        <w:t>Austin W. Marxe, David M. Greenhouse and Adam C. Stettner are the controlling principals of AWM. The reporting person disclaims beneficial ownership of the shares, except to the extent of its pecuniary interest therein.</w:t>
      </w:r>
    </w:p>
    <w:p>
      <w:pPr>
        <w:spacing w:after="0" w:line="170"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125,000 shares of our common stock exercisable within 60 days of July 10, 2018. Not included are options to purchase 125,000 shares of our common stock that are not exercisable within 60 days of July 10, 2018.</w:t>
      </w:r>
    </w:p>
    <w:p>
      <w:pPr>
        <w:spacing w:after="0" w:line="181"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848,333 shares of our common stock exercisable within 60 days of July 10, 2018.</w:t>
      </w:r>
    </w:p>
    <w:p>
      <w:pPr>
        <w:spacing w:after="0" w:line="170"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447,500 shares of our common stock exercisable within 60 days of July 10, 2018. Not included are options to purchase 212,500 shares of our common stock that are not exercisable within 60 days of July 10, 2018.</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included are 50,000 restricted stock units that vest on May 15, 2019.</w:t>
      </w:r>
    </w:p>
    <w:p>
      <w:pPr>
        <w:spacing w:after="0" w:line="225" w:lineRule="exact"/>
        <w:rPr>
          <w:rFonts w:ascii="Arial" w:cs="Arial" w:eastAsia="Arial" w:hAnsi="Arial"/>
          <w:sz w:val="18"/>
          <w:szCs w:val="18"/>
          <w:color w:val="auto"/>
        </w:rPr>
      </w:pPr>
    </w:p>
    <w:p>
      <w:pPr>
        <w:jc w:val="both"/>
        <w:ind w:left="328" w:hanging="328"/>
        <w:spacing w:after="0" w:line="286"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options to purchase 145,000 shares of our common stock exercisable within 60 days of July 10, 2018 and warrants to purchase 258,712 shares of common stock at the exercise price of $3.00 per share. Not included are warrants to purchase 250,000 shares of our common stock, as the warrants are not exercisable until November 17, 2018.</w:t>
      </w:r>
    </w:p>
    <w:p>
      <w:pPr>
        <w:spacing w:after="0" w:line="38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12" w:right="239" w:bottom="1440" w:gutter="0" w:footer="0" w:header="0"/>
        </w:sectPr>
      </w:pPr>
    </w:p>
    <w:bookmarkStart w:id="15" w:name="page16"/>
    <w:bookmarkEnd w:id="15"/>
    <w:p>
      <w:pPr>
        <w:ind w:left="328" w:right="20"/>
        <w:spacing w:after="0" w:line="277" w:lineRule="auto"/>
        <w:rPr>
          <w:sz w:val="20"/>
          <w:szCs w:val="20"/>
          <w:color w:val="auto"/>
        </w:rPr>
      </w:pPr>
      <w:r>
        <w:rPr>
          <w:rFonts w:ascii="Arial" w:cs="Arial" w:eastAsia="Arial" w:hAnsi="Arial"/>
          <w:sz w:val="18"/>
          <w:szCs w:val="18"/>
          <w:color w:val="auto"/>
        </w:rPr>
        <w:t>The number of shares of common stock underlying Series D Preferred beneficially includes 49,177 shares of Series D Preferred stock convertible into 393,416 shares of common stock.</w:t>
      </w:r>
    </w:p>
    <w:p>
      <w:pPr>
        <w:spacing w:after="0" w:line="170" w:lineRule="exact"/>
        <w:rPr>
          <w:sz w:val="20"/>
          <w:szCs w:val="20"/>
          <w:color w:val="auto"/>
        </w:rPr>
      </w:pPr>
    </w:p>
    <w:p>
      <w:pPr>
        <w:ind w:left="328" w:right="20" w:hanging="328"/>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167,500 shares of our common stock exercisable within 60 days of July 10, 2018.</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172,500 shares of our common stock exercisable within 60 days of July 10, 2018.</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145,000 shares of our common stock exercisable within 60 days of July 10, 2018.</w:t>
      </w:r>
    </w:p>
    <w:p>
      <w:pPr>
        <w:spacing w:after="0" w:line="170" w:lineRule="exact"/>
        <w:rPr>
          <w:rFonts w:ascii="Arial" w:cs="Arial" w:eastAsia="Arial" w:hAnsi="Arial"/>
          <w:sz w:val="18"/>
          <w:szCs w:val="18"/>
          <w:color w:val="auto"/>
        </w:rPr>
      </w:pPr>
    </w:p>
    <w:p>
      <w:pPr>
        <w:ind w:left="328" w:right="20" w:hanging="328"/>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options to purchase 125,000 shares of our common stock exercisable within 60 days of July 10, 2018 and warrants to purchase 311,750 shares of common stock at the exercise price of $3.00 per share.</w:t>
      </w:r>
    </w:p>
    <w:p>
      <w:pPr>
        <w:spacing w:after="0" w:line="146" w:lineRule="exact"/>
        <w:rPr>
          <w:rFonts w:ascii="Arial" w:cs="Arial" w:eastAsia="Arial" w:hAnsi="Arial"/>
          <w:sz w:val="17"/>
          <w:szCs w:val="17"/>
          <w:color w:val="auto"/>
        </w:rPr>
      </w:pPr>
    </w:p>
    <w:p>
      <w:pPr>
        <w:jc w:val="both"/>
        <w:ind w:left="328"/>
        <w:spacing w:after="0" w:line="273" w:lineRule="auto"/>
        <w:rPr>
          <w:rFonts w:ascii="Arial" w:cs="Arial" w:eastAsia="Arial" w:hAnsi="Arial"/>
          <w:sz w:val="17"/>
          <w:szCs w:val="17"/>
          <w:color w:val="auto"/>
        </w:rPr>
      </w:pPr>
      <w:r>
        <w:rPr>
          <w:rFonts w:ascii="Arial" w:cs="Arial" w:eastAsia="Arial" w:hAnsi="Arial"/>
          <w:sz w:val="17"/>
          <w:szCs w:val="17"/>
          <w:color w:val="auto"/>
        </w:rPr>
        <w:t>Warrants to purchase 225,750 shares of common stock are held by Iroquois Master Fund Ltd. (the "Fund") and warrants to purchase 86,000 shares are held by Iroquois Capital Investment Group (“ICIG”). Mr. Abbe is president of Iroquois Capital Management L.L.C, and managing member of ICIG, who has the authority and responsibility for the investments made on behalf of the Fund and ICIG, and, as such, may be deemed to be the beneficial owner of all shares of common stock held by the Fund and ICIG.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78" w:lineRule="exact"/>
        <w:rPr>
          <w:rFonts w:ascii="Arial" w:cs="Arial" w:eastAsia="Arial" w:hAnsi="Arial"/>
          <w:sz w:val="17"/>
          <w:szCs w:val="17"/>
          <w:color w:val="auto"/>
        </w:rPr>
      </w:pPr>
    </w:p>
    <w:p>
      <w:pPr>
        <w:ind w:left="328" w:hanging="328"/>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options to purchase 75,000 shares of our common stock exercisable within 60 days of July 10, 2018 and warrants to purchase 1,588,116 shares of common stock at the exercise price of $3.00 per share.</w:t>
      </w:r>
    </w:p>
    <w:p>
      <w:pPr>
        <w:spacing w:after="0" w:line="146" w:lineRule="exact"/>
        <w:rPr>
          <w:rFonts w:ascii="Arial" w:cs="Arial" w:eastAsia="Arial" w:hAnsi="Arial"/>
          <w:sz w:val="17"/>
          <w:szCs w:val="17"/>
          <w:color w:val="auto"/>
        </w:rPr>
      </w:pPr>
    </w:p>
    <w:p>
      <w:pPr>
        <w:ind w:left="328"/>
        <w:spacing w:after="0" w:line="277" w:lineRule="auto"/>
        <w:rPr>
          <w:rFonts w:ascii="Arial" w:cs="Arial" w:eastAsia="Arial" w:hAnsi="Arial"/>
          <w:sz w:val="17"/>
          <w:szCs w:val="17"/>
          <w:color w:val="auto"/>
        </w:rPr>
      </w:pPr>
      <w:r>
        <w:rPr>
          <w:rFonts w:ascii="Arial" w:cs="Arial" w:eastAsia="Arial" w:hAnsi="Arial"/>
          <w:sz w:val="18"/>
          <w:szCs w:val="18"/>
          <w:color w:val="auto"/>
        </w:rPr>
        <w:t>The number of shares of common stock underlying Series D Preferred beneficially includes 301,874 shares of Series D Preferred stock convertible into 2,414,992 shares of common stock.</w:t>
      </w:r>
    </w:p>
    <w:p>
      <w:pPr>
        <w:spacing w:after="0" w:line="197" w:lineRule="exact"/>
        <w:rPr>
          <w:rFonts w:ascii="Arial" w:cs="Arial" w:eastAsia="Arial" w:hAnsi="Arial"/>
          <w:sz w:val="17"/>
          <w:szCs w:val="17"/>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footnotes (5) through (14).</w:t>
      </w:r>
    </w:p>
    <w:p>
      <w:pPr>
        <w:spacing w:after="0" w:line="200" w:lineRule="exact"/>
        <w:rPr>
          <w:sz w:val="20"/>
          <w:szCs w:val="20"/>
          <w:color w:val="auto"/>
        </w:rPr>
      </w:pPr>
    </w:p>
    <w:p>
      <w:pPr>
        <w:spacing w:after="0" w:line="26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b w:val="1"/>
          <w:bCs w:val="1"/>
          <w:color w:val="auto"/>
        </w:rPr>
        <w:t>MANAGEMENT AND 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currently consists of seven (7)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Set forth below are the names of our directors and director nominees and executive officers, their ages (as of the filing date of this proxy statement), their position(s) with us,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Position(s) with the Company</w:t>
            </w:r>
          </w:p>
        </w:tc>
      </w:tr>
      <w:tr>
        <w:trPr>
          <w:trHeight w:val="195"/>
        </w:trPr>
        <w:tc>
          <w:tcPr>
            <w:tcW w:w="4240" w:type="dxa"/>
            <w:vAlign w:val="bottom"/>
          </w:tcPr>
          <w:p>
            <w:pPr>
              <w:spacing w:after="0" w:line="195" w:lineRule="exact"/>
              <w:rPr>
                <w:sz w:val="20"/>
                <w:szCs w:val="20"/>
                <w:color w:val="auto"/>
              </w:rPr>
            </w:pPr>
            <w:r>
              <w:rPr>
                <w:rFonts w:ascii="Arial" w:cs="Arial" w:eastAsia="Arial" w:hAnsi="Arial"/>
                <w:sz w:val="18"/>
                <w:szCs w:val="18"/>
                <w:color w:val="auto"/>
              </w:rPr>
              <w:t>Edward Jankowski</w:t>
            </w:r>
          </w:p>
        </w:tc>
        <w:tc>
          <w:tcPr>
            <w:tcW w:w="120" w:type="dxa"/>
            <w:vAlign w:val="bottom"/>
          </w:tcPr>
          <w:p>
            <w:pPr>
              <w:spacing w:after="0"/>
              <w:rPr>
                <w:sz w:val="16"/>
                <w:szCs w:val="16"/>
                <w:color w:val="auto"/>
              </w:rPr>
            </w:pPr>
          </w:p>
        </w:tc>
        <w:tc>
          <w:tcPr>
            <w:tcW w:w="1260" w:type="dxa"/>
            <w:vAlign w:val="bottom"/>
          </w:tcPr>
          <w:p>
            <w:pPr>
              <w:jc w:val="center"/>
              <w:spacing w:after="0" w:line="195" w:lineRule="exact"/>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Janine Canale</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57"/>
        </w:trPr>
        <w:tc>
          <w:tcPr>
            <w:tcW w:w="4240" w:type="dxa"/>
            <w:vAlign w:val="bottom"/>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(1)(2)(3)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57"/>
        </w:trPr>
        <w:tc>
          <w:tcPr>
            <w:tcW w:w="4240" w:type="dxa"/>
            <w:vAlign w:val="bottom"/>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(4)</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240" w:type="dxa"/>
            <w:vAlign w:val="bottom"/>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(1)(2)(3)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240" w:type="dxa"/>
            <w:vAlign w:val="bottom"/>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(2)</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Richard K. Abbe*</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Andrew R. Heyer*</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 Current member of Compensation Committee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 Current member of Audit Committee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 Current member of Nominating and Corporate Governance Committee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 Current member of the Board of Directors who is not a candidate for re-election at the 2018 annual meeting.</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the Company, either directly or indirectly. Based upon this review, our Board of Directors has determined that the following members of our Board of Directors are “independent directors” as defined by The Nasdaq Stock Market</w:t>
      </w:r>
      <w:r>
        <w:rPr>
          <w:rFonts w:ascii="Arial" w:cs="Arial" w:eastAsia="Arial" w:hAnsi="Arial"/>
          <w:sz w:val="17"/>
          <w:szCs w:val="17"/>
          <w:b w:val="1"/>
          <w:bCs w:val="1"/>
          <w:color w:val="auto"/>
        </w:rPr>
        <w:t>:</w:t>
      </w:r>
      <w:r>
        <w:rPr>
          <w:rFonts w:ascii="Arial" w:cs="Arial" w:eastAsia="Arial" w:hAnsi="Arial"/>
          <w:sz w:val="17"/>
          <w:szCs w:val="17"/>
          <w:color w:val="auto"/>
        </w:rPr>
        <w:t xml:space="preserve"> Bruce T. Bernstein, Donald E. Stout, Salvatore Giardina, Richard K. Abbe and Andrew R. Heyer.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Edward Jankowski </w:t>
      </w:r>
      <w:r>
        <w:rPr>
          <w:rFonts w:ascii="Arial" w:cs="Arial" w:eastAsia="Arial" w:hAnsi="Arial"/>
          <w:sz w:val="16"/>
          <w:szCs w:val="16"/>
          <w:color w:val="auto"/>
        </w:rPr>
        <w:t>has served as our Chief Executive Officer and as a member of our Board of Directors since April 19, 2018. From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to April 2018, Mr. Jankowski served as our Senior Vice President and from June 2016 to April 2018, Mr. Jankowski served as the Chief Executive Officer of our XpresSpa Holdings, LLC (“XpresSpa”) subsidiary. From 2012 to 2016, Mr. Jankowski was the Vice President and General Manager of Luxury Retail at Luxottica, where he oversaw the Ilori and Optical Shop of Aspen and Persol retail stores. From 2007 to 2012, Mr. Jankowski was Senior Vice President and General Manager for Godiva Chocolatier, responsible for the $400 million North America multi-channel business, consisting of 240 retail stores, plus wholesale, direct, and interactive business. From 2001 to 2007, Mr. Jankowski was the Chief Operating Officer of Safilo Group’s Solstice sunglasses stores, where he opened 120 stores, oversaw store operations, merchandising, finance, planning/distribution, marketing and communications, loss prevention, real estate, visual and store design/development/construction. From 1999 to 2001, Mr. Jankowski was the President of Airport Shops Division of World Duty Free Americas, a division of B.A.A., where he was a member of the Senior Executive Committee, with responsibility for the $120 million Airport Division. From 1993 to 1999, Mr. Jankowski served as the Vice President/Director of Stores for Liz Claiborne, where he was a member of the Retail Executive Committee and led execution of business strategies, sales results and store profit. Prior to his position at Liz Claiborne, Mr. Jankowski held leadership positions at Casual Corner, Atherton Industries, Woman’s World, and Ganto’s. Mr. Jankowski began his career in 1975 as an Executive Trainee for R.H. Macy’s. Mr. Jankowski currently serves on the Board of Directors of the Accessories Council, FIT Accessories Advisory and the Elizabeth Carter Beach Association. Mr. Jankowski received his B.Sc. in management and commerce marketing from Rider University.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color w:val="auto"/>
        </w:rPr>
        <w:t>We believe Mr. Jankowski’s prior experience in the retail industry and with the XpresSpa business qualifies him to serve on our Board of Directors.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Janine Canale </w:t>
      </w:r>
      <w:r>
        <w:rPr>
          <w:rFonts w:ascii="Arial" w:cs="Arial" w:eastAsia="Arial" w:hAnsi="Arial"/>
          <w:sz w:val="18"/>
          <w:szCs w:val="18"/>
          <w:color w:val="auto"/>
        </w:rPr>
        <w:t>joined us in March 2017 as the Controller of XpresSpa and has served as our Principal Accounting Officer since June 19,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Principal Financial Officer since July10, 2018. Prior to joining the Company, Ms. Canale most recently was an auditor at BDO USA, LLP from 2011 to 2017 and began her career at CohnReznick LLP from 2006 to 2011. Ms. Canale holds a B.B.A. in Accounting from Adelphi University and an M.B.A. with a concentration in Finance from Hofstra University. Ms. Canale is a Certified Public Accountant and is a member of the American Institute of Certified Public Accountants.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in February 2016 and has served as the Chairman of our Board of Directors since February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 based blood glucose monitor distributor, based in New Jersey. Mr. Bernstein holds a B.B.A. from City University of New York (Baruch).</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John Engelman </w:t>
      </w:r>
      <w:r>
        <w:rPr>
          <w:rFonts w:ascii="Arial" w:cs="Arial" w:eastAsia="Arial" w:hAnsi="Arial"/>
          <w:sz w:val="17"/>
          <w:szCs w:val="17"/>
          <w:color w:val="auto"/>
        </w:rPr>
        <w:t>has been our director since December 2010. Mr. Engelman also serves as an independent director of Hemisphere Media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publicly traded Hispanic media company that owns and operates television stations and cable networks in the United States, Puerto Rico and Latin America. Mr. Engelman is a co-founder of Classic Media, Inc. (“Classic Media”), a global family and children’s entertainment company where he served as co-president from 2001 to 2006 and 2008 to present. Classic Media currently is a wholly owned subsidiary of NBCUniversal, a Comcast Company. From 1997 to 2001, Mr. Engelman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from Harvard College.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Mr. Engelman will not be a candidate for reelection at the 2018 annual meeting.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Donald E. Stout </w:t>
      </w:r>
      <w:r>
        <w:rPr>
          <w:rFonts w:ascii="Arial" w:cs="Arial" w:eastAsia="Arial" w:hAnsi="Arial"/>
          <w:sz w:val="17"/>
          <w:szCs w:val="17"/>
          <w:color w:val="auto"/>
        </w:rPr>
        <w:t>has been our director since July 2012, and was a director of Innovate/Protect from November 2011 through the consummation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merger with us. In a career spanning over forty years, Mr. Stout has been involved in virtually all facets of intellectual property law. Mr. Stout has been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Salvatore Giardina </w:t>
      </w:r>
      <w:r>
        <w:rPr>
          <w:rFonts w:ascii="Arial" w:cs="Arial" w:eastAsia="Arial" w:hAnsi="Arial"/>
          <w:sz w:val="18"/>
          <w:szCs w:val="18"/>
          <w:color w:val="auto"/>
        </w:rPr>
        <w:t>joined our Board of Directors in May 2016. Mr. Giardina has served as Chief Financial Officer of Pragma Securities LLC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company, Pragma Weeden Holdings LLC, since 2009. From 2006 through 2008, Mr. Giardina served as S.V.P.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 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Richard K. Abbe </w:t>
      </w:r>
      <w:r>
        <w:rPr>
          <w:rFonts w:ascii="Arial" w:cs="Arial" w:eastAsia="Arial" w:hAnsi="Arial"/>
          <w:sz w:val="18"/>
          <w:szCs w:val="18"/>
          <w:color w:val="auto"/>
        </w:rPr>
        <w:t>joined our Board of Directors in March 2016. Mr. Abbe is the Co-founder and is a Principal and Managing Partner of Iroquois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Management, LLC, the Investment Advisor to Iroquois Capital LP and Iroquois Capital (offshore) Ltd. Mr. Abbe has served as Co-Chief Investment Officer of Iroquois Capital since its inception in 2003. Previously, Mr. Abbe co-founded and served as Co-Chief Investment Officer of Vertical Ventures, LLC, a merchant bank. Prior to that, he was employed by Lehman Brothers and served as Senior Managing Director at Gruntal &amp; Company, LLC, where he also served on the firm’s Board of Directors. Mr. Abbe also previously served as Founding Partner at Hampshire Securities. He currently serves on the investment committee of Hobart and William Smith Colleges Endowment Fund.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Abbe’s extensive experience in the securities industry qualifies him to serve on our Board of Directors.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Andrew R. Heyer </w:t>
      </w:r>
      <w:r>
        <w:rPr>
          <w:rFonts w:ascii="Arial" w:cs="Arial" w:eastAsia="Arial" w:hAnsi="Arial"/>
          <w:sz w:val="16"/>
          <w:szCs w:val="16"/>
          <w:color w:val="auto"/>
        </w:rPr>
        <w:t>joined our Board of Directors in December 2016. Mr. Heyer is the Chief Executive Officer and founder of Mistral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Shearman/American Express. Mr. Heyer serves as a director of Jamba, Inc. and The Hain Celestial Group, both of which are publicly traded companies. He also serves on the boards of Mistral’s portfolio companies. Mr. Heyer also serves as a member of the Executive Committee and Board of Trustees of the University of Pennsylvania and the University of Pennsylvania Health System.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Heyer’s extensive experience in the securities industry qualifies him to serve on our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Meeting Attendance</w:t>
      </w:r>
      <w:r>
        <w:rPr>
          <w:rFonts w:ascii="Arial" w:cs="Arial" w:eastAsia="Arial" w:hAnsi="Arial"/>
          <w:sz w:val="17"/>
          <w:szCs w:val="17"/>
          <w:color w:val="auto"/>
        </w:rPr>
        <w:t>. During the fiscal year ended December 31, 2017 there were 13 meetings of our Board of Directors. The various committees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Directors met a total of 8 times. No director attended fewer than 75% of the total number of meetings of the Board of Directors and of committees of the Board of Directors on which he served during fiscal 2017. The Board of Directors has adopted a policy under which each member of the Board of Directors is strongly encouraged, but not required, to attend each annual meeting of our stockholders.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5 times during fiscal 2017. This committee currently has three (3) members, Salvatore Giardina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met 2 times during fiscal 2017. This committee currently has two (2) members, Bruce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Bernstein (Chairman) and Donald E. Stout.</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conducts its decision-making process with respect to that action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2017, based on the recommendation of management, the Compensation Committee did not engage third party compensation consultants.</w:t>
      </w:r>
    </w:p>
    <w:p>
      <w:pPr>
        <w:spacing w:after="0" w:line="16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www.xpresspagroup.com/corp_governance</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met 1 time during fiscal year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has two (2) members, Bruce T. Bernstein and Donald E. Stout. The Nominating and Corporate Governance Committee’s role and responsibilities are set forth in the Nominating and Corporate Governance Committee’s written charter and include to:</w:t>
      </w:r>
    </w:p>
    <w:p>
      <w:pPr>
        <w:spacing w:after="0" w:line="181" w:lineRule="exact"/>
        <w:rPr>
          <w:sz w:val="20"/>
          <w:szCs w:val="20"/>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700" w:hanging="332"/>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and professional and personal experiences and expertise relevant to our growth strategy.</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all of 2017, Andrew Perlman served as our Chief Executive Officer and led all meetings of the Board of Directors. On February 5, 2018, the Board of Directors appointed Bruce T. Bernstein as the non-executive Chairman of the Board of Directors. On April 19, 2018, Mr. Perlman resigned as Chief Executive Officer and as a Director of the Company.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leadership structure of the Board of Directors currently consists of a Chairman of the Board who oversees the Board meetings. We separate the roles of Chairman of the Board and Chief Executive Officer in recognition of the differences between the two roles. Our Board of Directors believes this division of responsibility is an effective approach for addressing the risks we face. All of our committees of the Board of Directors are comprised of only independent directors. All Board committees are chaired by independent directors who report to the full Board of Directors whenever necessary. We believe this leadership structure helps facilitate efficient decision-making and communication among our directors and fosters efficient Board functioning at meetings.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management is primarily responsible for managing the risks we face in the ordinary course of operating our business. The Board of Directors oversees potential risks and our risk management activities by receiving operational and strategic presentations from management which include discussions of key risks to our business. The Board of Directors also periodically discusses with management important compliance and quality issues. In addition, the Board has delegated risk oversight to each of its key committees within their areas of responsibility. For example, the Audit Committee assists the Board of Directors in fulfilling its oversight of the quality and integrity of our financial statements and our compliance with legal and regulatory requirements relating to our financial statements and related disclosures. The Compensation Committee assists the Board of Directors in its risk oversight function by overseeing strategies with respect to our incentive compensation programs and key employee retention issues. We believe our Board of Directors leadership structure facilitates the division of risk management oversight responsibilities among the Board of Directors committees and enhances the Board of Directors’ efficiency in fulfilling its oversight function with respect to difference areas of our business risks and our risk mitigation practices.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the total compensation awarded to, earned or paid by the Company during the fiscal years ended December 31, 2017 and 2016 to (1) Andrew Perlman, our former Chief Executive Officer, (2) Edward Jankowski, who has served as our Chief Executive Officer since April 19, 2018 and previously served as our Senior Vice President and Chief Executive Officer of XpresSpa, and (3) Anastasia Nyrkovskaya, our Chief Financial Officer and Treasurer, who are all of our named executive officers as of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b w:val="1"/>
                <w:bCs w:val="1"/>
                <w:color w:val="auto"/>
              </w:rPr>
              <w:t>Salary</w:t>
            </w: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Incentive Pay</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r>
      <w:tr>
        <w:trPr>
          <w:trHeight w:val="270"/>
        </w:trPr>
        <w:tc>
          <w:tcPr>
            <w:tcW w:w="40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50"/>
              <w:spacing w:after="0" w:line="26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30"/>
              <w:spacing w:after="0" w:line="269"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(2)</w:t>
            </w:r>
          </w:p>
        </w:tc>
        <w:tc>
          <w:tcPr>
            <w:tcW w:w="2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r>
      <w:tr>
        <w:trPr>
          <w:trHeight w:val="250"/>
        </w:trPr>
        <w:tc>
          <w:tcPr>
            <w:tcW w:w="40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Edward Jankowski</w:t>
            </w:r>
            <w:r>
              <w:rPr>
                <w:rFonts w:ascii="Arial" w:cs="Arial" w:eastAsia="Arial" w:hAnsi="Arial"/>
                <w:sz w:val="28"/>
                <w:szCs w:val="28"/>
                <w:color w:val="auto"/>
                <w:vertAlign w:val="superscript"/>
              </w:rPr>
              <w:t>(3)</w:t>
            </w:r>
          </w:p>
        </w:tc>
        <w:tc>
          <w:tcPr>
            <w:tcW w:w="14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361,301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861,301</w:t>
            </w:r>
          </w:p>
        </w:tc>
      </w:tr>
      <w:tr>
        <w:trPr>
          <w:trHeight w:val="216"/>
        </w:trPr>
        <w:tc>
          <w:tcPr>
            <w:tcW w:w="40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(4)</w:t>
            </w:r>
          </w:p>
        </w:tc>
        <w:tc>
          <w:tcPr>
            <w:tcW w:w="14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608,562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1,183,562</w:t>
            </w:r>
          </w:p>
        </w:tc>
      </w:tr>
      <w:tr>
        <w:trPr>
          <w:trHeight w:val="216"/>
        </w:trPr>
        <w:tc>
          <w:tcPr>
            <w:tcW w:w="40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431,667</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431,667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1,235,440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2,098,774</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(5)</w:t>
            </w:r>
          </w:p>
        </w:tc>
        <w:tc>
          <w:tcPr>
            <w:tcW w:w="14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361,301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961,301</w:t>
            </w:r>
          </w:p>
        </w:tc>
      </w:tr>
      <w:tr>
        <w:trPr>
          <w:trHeight w:val="216"/>
        </w:trPr>
        <w:tc>
          <w:tcPr>
            <w:tcW w:w="40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540,505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1,207,171</w:t>
            </w:r>
          </w:p>
        </w:tc>
      </w:tr>
    </w:tbl>
    <w:p>
      <w:pPr>
        <w:spacing w:after="0" w:line="202" w:lineRule="exact"/>
        <w:rPr>
          <w:sz w:val="20"/>
          <w:szCs w:val="20"/>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represent a one-time discretionary cash bonus.</w:t>
      </w:r>
    </w:p>
    <w:p>
      <w:pPr>
        <w:spacing w:after="0" w:line="225" w:lineRule="exact"/>
        <w:rPr>
          <w:rFonts w:ascii="Arial" w:cs="Arial" w:eastAsia="Arial" w:hAnsi="Arial"/>
          <w:sz w:val="18"/>
          <w:szCs w:val="18"/>
          <w:color w:val="auto"/>
        </w:rPr>
      </w:pPr>
    </w:p>
    <w:p>
      <w:pPr>
        <w:jc w:val="both"/>
        <w:ind w:left="700" w:right="20" w:hanging="332"/>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12 to our consolidated financial statements included in our Annual Report on Form 10-K for the year ended December 31, 2017</w:t>
      </w:r>
    </w:p>
    <w:p>
      <w:pPr>
        <w:spacing w:after="0" w:line="181"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Jankowski became the Chief Executive Officer of XpresSpa in June 2016 and our Senior Vice President in December 2016. He currently serves as our Chief Executive Officer.</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19, 2018, Mr. Perlman resigned from his position as Chief Executive Officer and as a Director of the Company.</w:t>
      </w:r>
    </w:p>
    <w:p>
      <w:pPr>
        <w:spacing w:after="0" w:line="225" w:lineRule="exact"/>
        <w:rPr>
          <w:rFonts w:ascii="Arial" w:cs="Arial" w:eastAsia="Arial" w:hAnsi="Arial"/>
          <w:sz w:val="18"/>
          <w:szCs w:val="18"/>
          <w:color w:val="auto"/>
        </w:rPr>
      </w:pPr>
    </w:p>
    <w:p>
      <w:pPr>
        <w:jc w:val="both"/>
        <w:ind w:left="700" w:hanging="332"/>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19, 2018, Ms. Nyrkovskaya resigned from her position as Chief Financial Officer and agreed to remain with the Company in a reduced capacity through October 15, 2018, during which time she is expected to transition certain projects while the Company completes an ongoing search for a new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20, 2017, we entered into an employment agreement with Mr. Jankowski, which has a term of three years. Under the terms of the employment agreement, Mr. Jankowski receives an annual base salary of $375,000 and is eligible to participate in any annual bonus or other incentive compensation program that we may have adopted from time to time for our executive officers. If Mr. Jankowski has earned any bonus or non-equity based incentive compensation which remains unpaid upon termination of employment for any reason, whether by Mr. Jankowski or us other than for cause, then Mr. Jankowski shall be entitled to receive a pro- rata portion of such incentive compensation at the time it is paid.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648"/>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Mr. Jankowski, or (ii) by us without Cause, Mr. Jankowski shall be entitled to receive an amount of base salary (at the rate of base salary in effect immediately prior to such termination) equal to one times the base salary, and COBRA continuation coverage paid in full by us for up to a maximum of twelve months following the date of termination. “Cause” as used in Mr. Jankowski’s employment agreement means: (a) the willful and continued failure of Mr. Jankowski to perform substantially his duties and responsibilities for us (other than any such failure resulting from his death or disability) after a written demand by the Board of Directors for substantial performance is delivered to Mr. Jankowski by us, which specifically identifies the manner in which the Board of Directors believes that Mr. Jankowski has not substantially performed his duties and responsibilities, which willful and continued failure is not cured by Mr. Jankowski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Jankowski has engaged in fraud, dishonesty, gross negligence or misconduct which, if curable, has not been cured within thirty days after his receipt of a written notice from the Board of Directors stating with reasonable specificity the basis of such finding. “Good Reason” as used Mr. Jankowski’s employment agreement means (a) the assignment, without Mr. Jankowski’s consent, to Mr. Jankowski of duties that result in a substantial diminution of the duties that he assumed; (b) the assignment, without Mr. Jankowski’s consent, of a title that is subordinate to the title Senior Vice President; (c) a reduction in Mr. Jankowski’s base salary; (d) our requirement that Mr. Jankowski regularly report to work in a location that is more than fifty miles from our current New York office, without Mr. Jankowski’s consent; (e) a change in Mr. Jankowski’s reporting relationship other than to our Chief Executive Officer; or (f) a material breach by us of Mr. Perlman’s employment agreement, or (g) our failure to provide compensation and benefits to Mr. Jankowski as required by the employment agreement when due.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unless Mr. Jankowski is terminated for cause, all applicable equity awards held by him as of the date of termination of employment that would have vested in the one-year period immediately following such termination will vest during the following year, provided that Mr. Jankowski makes himself reasonably available and cooperates with reasonable requests from us involving facts or events relating to us that Mr. Jankowski may have knowledge 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20, 2017, we entered into a new employment agreement with Mr. Perlman that superseded his prior employment agreement. Under the terms of this new employment agreement, Mr. Perlman’s annual base salary was increased to $450,000, retroactive to January 1, 2017. The employment agreement was for a term of three (3) years, provided that the employment agreement would extend in two (2) month increments for up to one (1) year thereafter for each month that the negotiations were not concluded prior to sixth months before the end of the term. The employment agreement provided that Mr. Perlman would be eligible to participate in any annual bonus and other incentive compensation program that we may adopt from time to time for our executive officers and if Mr. Perlman had earned any bonus or non-equity based incentive compensation which remained unpaid upon termination of employment for any reason, whether by Mr. Perlman or us other than for cause, then Mr. Perlman would be entitled to receive a pro- rata portion of such incentive compensation at the time it is paid.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67" w:lineRule="auto"/>
        <w:rPr>
          <w:sz w:val="20"/>
          <w:szCs w:val="20"/>
          <w:color w:val="auto"/>
        </w:rPr>
      </w:pPr>
      <w:r>
        <w:rPr>
          <w:rFonts w:ascii="Arial" w:cs="Arial" w:eastAsia="Arial" w:hAnsi="Arial"/>
          <w:sz w:val="17"/>
          <w:szCs w:val="17"/>
          <w:color w:val="auto"/>
        </w:rPr>
        <w:t>In the event the employment agreement was terminated for (i) Good Reason by Mr. Perlman, or (ii) by us without Cause, Mr. Perlman was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Perlman’s employment agreement means: (a) the willful and continued failure of Mr. Perlman to perform substantially his duties and responsibilities for us (other than any such failure resulting from his death or disability) after a written demand by the Board of Directors for substantial performance is delivered to Mr. Perlman by us,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in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our requirement that Mr. Perlman regularly report to work in a location that is more than fifty miles from our current New York office, without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our 2012 Employee, Director and Consultant Equity Incentive Plan); or (f) a material breach by us of Mr. Perlman’s employment agreement.</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unless Mr. Perlman were terminated for cause, all applicable equity awards held by him as of the date of termination of employment that would have vested in the one-year period immediately following such termination will vest during the following year, provided that Mr. Perlman made himself reasonably available and cooperated with reasonable requests from us involving facts or events relating to us that Mr. Perlman may have knowledge of. In the event the employment agreement was terminated for good reason by Mr. Perlman, or by us without cause, and Mr. Perlman provided us with a release of claims, he would have been entitled to receive a cash severance payment in the amount of one times his then current base salary and one year of COBRA continuation coverage.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19, 2018, Andrew resigned from his position as Chief Executive Officer and as a Director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19, 2014, we entered into an employment agreement with Ms. Nyrkovskaya. Under the terms of her employment agreement,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Nyrkovskaya’s annual base salary was $315,000.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established by the Compensation Committee in its sole discretion.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January 20, 2017, we entered into an employment agreement with Ms. Nyrkovskaya that superseded her prior employment agreement. Under the terms of this new employment agreement, Ms. Nyrkovskaya was entitled to receive a base salary of $375,000 from January 1, 2017. The employment agreement was for a term of three (3) years, provided that the employment agreement would extend in two (2) month increments for up to one (1) year thereafter for each month that the negotiations were not concluded prior to sixth months before the end of the term. The employment agreement provided that Ms. Nyrkovskaya would be eligible to participate in any annual bonus and other incentive compensation program that we may adopt from time to time for our executive officers and if Ms. Nyrkovskaya had earned any bonus or non-equity based incentive compensation which remained unpaid upon termination of employment for any reason, whether by Ms. Nyrkovskaya or us other than for cause, then Ms. Nyrkovskaya would be entitled to receive a pro- rata portion of such incentive compensation at the time it is paid.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67" w:lineRule="auto"/>
        <w:rPr>
          <w:sz w:val="20"/>
          <w:szCs w:val="20"/>
          <w:color w:val="auto"/>
        </w:rPr>
      </w:pPr>
      <w:r>
        <w:rPr>
          <w:rFonts w:ascii="Arial" w:cs="Arial" w:eastAsia="Arial" w:hAnsi="Arial"/>
          <w:sz w:val="17"/>
          <w:szCs w:val="17"/>
          <w:color w:val="auto"/>
        </w:rPr>
        <w:t>In the event the employment agreement was terminated for (i) Good Reason by Ms. Nyrkovskaya, or (ii) by us without Cause, Ms. Nyrkovskaya was entitled to receive an amount of base salary at the rate of base salary in effect immediately prior to such termination equal to twelve months of base salary, and COBRA continuation coverage paid in full by us for up to a maximum of twelve months following the date of termination. In case the agreement was terminated by Ms. Nyrkovskaya without Good Reason, she would provide us with a written notice, at least ninety calendar days prior to such termination. "Cause" as used in Ms. Nyrkovskaya’s employment agreement means: (a) the willful and continued failure of Ms. Nyrkovskaya to perform substantially her duties and responsibilities for us (other than any such failure resulting from her death or disability) after a written demand by the chief executive officer for substantial performance is delivered to Ms. Nyrkovskaya by us,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in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our requirement that Ms. Nyrkovskaya regularly report to work in a location that is more than fifty miles from our current New York office, without Ms. Nyrkovskaya’s consent; (e) a material breach by us of the agreement during its term. Ms. Nyrkovskaya’s employment agreement also includes a covenant not to compete with us or solicit any material commercial relationships of ours for a period of one year after Ms. Nyrkovskaya is actually no longer employed by us</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unless Ms. Nyrkovskaya were terminated for cause, all applicable equity awards held by her as of the date of termination of employment that would have vested in the one-year period immediately following such termination will vest during the following year, provided that Ms. Nyrkovskaya made herself reasonably available and cooperated with reasonable requests from us involving facts or events relating to us that Ms. Nyrkovskaya may have knowledge of. In the event the employment agreement was terminated for good reason by Ms. Nyrkovskaya, or by us without cause, and Ms. Nyrkovskaya provided us with a release of claims, she would have been entitled to receive a cash severance payment in the amount of one times her then current base salary and one year of COBRA continuation coverage.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19, 2018, Ms. Nyrkovskaya resigned from her position as Chief Financial Officer and agreed to remain with the Company in a reduced capacity through October 15, 2018, during which time she is expected to transition certain projects while the Company completes an ongoing search for a new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Fiscal Year End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2017, to each of our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ind w:left="1320"/>
              <w:spacing w:after="0"/>
              <w:rPr>
                <w:sz w:val="20"/>
                <w:szCs w:val="20"/>
                <w:color w:val="auto"/>
              </w:rPr>
            </w:pPr>
            <w:r>
              <w:rPr>
                <w:rFonts w:ascii="Arial" w:cs="Arial" w:eastAsia="Arial" w:hAnsi="Arial"/>
                <w:sz w:val="18"/>
                <w:szCs w:val="18"/>
                <w:b w:val="1"/>
                <w:bCs w:val="1"/>
                <w:color w:val="auto"/>
              </w:rPr>
              <w:t>Options Awards</w:t>
            </w:r>
          </w:p>
        </w:tc>
        <w:tc>
          <w:tcPr>
            <w:tcW w:w="2060" w:type="dxa"/>
            <w:vAlign w:val="bottom"/>
            <w:tcBorders>
              <w:bottom w:val="single" w:sz="8" w:color="auto"/>
            </w:tcBorders>
          </w:tcPr>
          <w:p>
            <w:pPr>
              <w:spacing w:after="0"/>
              <w:rPr>
                <w:sz w:val="20"/>
                <w:szCs w:val="20"/>
                <w:color w:val="auto"/>
              </w:rPr>
            </w:pPr>
          </w:p>
        </w:tc>
      </w:tr>
      <w:tr>
        <w:trPr>
          <w:trHeight w:val="191"/>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19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20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unexercised options</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unexercised options</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2060" w:type="dxa"/>
            <w:vAlign w:val="bottom"/>
          </w:tcPr>
          <w:p>
            <w:pPr>
              <w:spacing w:after="0"/>
              <w:rPr>
                <w:sz w:val="18"/>
                <w:szCs w:val="18"/>
                <w:color w:val="auto"/>
              </w:rPr>
            </w:pPr>
          </w:p>
        </w:tc>
      </w:tr>
      <w:tr>
        <w:trPr>
          <w:trHeight w:val="234"/>
        </w:trPr>
        <w:tc>
          <w:tcPr>
            <w:tcW w:w="3560" w:type="dxa"/>
            <w:vAlign w:val="bottom"/>
            <w:gridSpan w:val="2"/>
          </w:tcPr>
          <w:p>
            <w:pPr>
              <w:ind w:left="1500"/>
              <w:spacing w:after="0"/>
              <w:rPr>
                <w:sz w:val="20"/>
                <w:szCs w:val="20"/>
                <w:color w:val="auto"/>
              </w:rPr>
            </w:pPr>
            <w:r>
              <w:rPr>
                <w:rFonts w:ascii="Arial" w:cs="Arial" w:eastAsia="Arial" w:hAnsi="Arial"/>
                <w:sz w:val="18"/>
                <w:szCs w:val="18"/>
                <w:b w:val="1"/>
                <w:bCs w:val="1"/>
                <w:color w:val="auto"/>
              </w:rPr>
              <w:t>Name</w:t>
            </w: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 exercisable</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 un-exercisable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price ($)</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Option expiration date</w:t>
            </w:r>
          </w:p>
        </w:tc>
      </w:tr>
      <w:tr>
        <w:trPr>
          <w:trHeight w:val="210"/>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Edward Jankowski</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17, 2027</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Andrew D. Perlman</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32,816</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16.50</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13, 2018</w:t>
            </w:r>
          </w:p>
        </w:tc>
      </w:tr>
      <w:tr>
        <w:trPr>
          <w:trHeight w:val="21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D. Perlman</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127,500</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26, 2022</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Andrew D. Perlman</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62,500</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31.80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11, 2023</w:t>
            </w:r>
          </w:p>
        </w:tc>
      </w:tr>
      <w:tr>
        <w:trPr>
          <w:trHeight w:val="21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D. Perlman</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466,667</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333,333</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2026</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Andrew D. Perlman</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17, 2027</w:t>
            </w:r>
          </w:p>
        </w:tc>
      </w:tr>
      <w:tr>
        <w:trPr>
          <w:trHeight w:val="21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Anastasia Nyrkovskaya</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6, 2023</w:t>
            </w:r>
          </w:p>
        </w:tc>
      </w:tr>
      <w:tr>
        <w:trPr>
          <w:trHeight w:val="21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Anastasia Nyrkovskaya</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30,000</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41.00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20, 2024</w:t>
            </w:r>
          </w:p>
        </w:tc>
      </w:tr>
      <w:tr>
        <w:trPr>
          <w:trHeight w:val="21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Anastasia Nyrkovskaya</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204,167</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145,833</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4, 2026</w:t>
            </w: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Anastasia Nyrkovskaya</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83,333</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166,667</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17, 2027</w:t>
            </w:r>
          </w:p>
        </w:tc>
      </w:tr>
      <w:tr>
        <w:trPr>
          <w:trHeight w:val="634"/>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5" w:name="page26"/>
    <w:bookmarkEnd w:id="25"/>
    <w:p>
      <w:pPr>
        <w:ind w:left="700" w:right="20" w:hanging="332"/>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$1.37, the closing price of our common stock on Nasdaq on December 29, 2017, the last day of our fiscal year.</w:t>
      </w:r>
    </w:p>
    <w:p>
      <w:pPr>
        <w:spacing w:after="0" w:line="170" w:lineRule="exact"/>
        <w:rPr>
          <w:sz w:val="20"/>
          <w:szCs w:val="20"/>
          <w:color w:val="auto"/>
        </w:rPr>
      </w:pPr>
    </w:p>
    <w:p>
      <w:pPr>
        <w:ind w:left="700" w:right="20" w:hanging="332"/>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Options vest in twelve equal quarterly increments (8.33% per quarter) over three years, subject to the participant's continuous service on the relevant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summarizes the potential payments to each of our named executive officers as of December 31, 2017 upon termination or change-in-control. The discussion assumes that such event occurred on December 29, 2017, the last business day of our fiscal year, at which time the closing price of our common stock as listed on Nasdaq was $1.37 per share. For a further discussion of these provisions see the “Narrative Disclosure to Summary Compensation Table and Grants of Plan-Based Awards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event Mr. Jankowski’s employment was terminated for (i) Good Reason by Mr. Jankowski, or (ii) by us without Cause on December 29, 2017, Mr. Jankowski would have received severance in the amount of one year of base salary, and COBRA payments totaling approximately $39,600.</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the event a change-in-control of our wholly-owned subsidiary XpresSpa had occurred on December 29, 2017, Mr. Jankowski would have been entitled to receive 2% of the amount equal to the total amount of cash and the fair market value of all non-cash consideration paid or payable to us or our stockholders in connection with the change of control, net of transaction expenses payable to third parties and less the original acquisition price of wholly-owned subsidiary XpresSpa of $45,000,000 and less any past or future capital contributions made or to be made by us or our stockholders. A change of control of our wholly-owned subsidiary XpresSpa means (A) an acquisition or series of acquisitions by a person or entity unrelated to the Company of more than fifty percent (50%) of the outstanding shares or securities entitled to vote for the election of directors or similar managing authority of wholly-owned subsidiary XpresSpa or (B) a sale or disposition of all or substantially all of wholly-owned subsidiary XpresSpa’s assets to an unrelated third party. In the event that a closing of a public spin-off or initial public offering of our wholly-owned subsidiary XpresSpa had occurred on December 29, 2017, Mr. Jankowski would have been entitled to receive deferred stock units ("DSUs"), pursuant to wholly-owned subsidiary XpresSpa’s equity incentive plan then in effect, equal to 2% of wholly-owned subsidiary XpresSpa’s outstanding shares of common stock immediately after the such public offering; which DSUs would have been settled in common stock of XpresSpa twelve (12) months after the date of such public offering, which had no intrinsic value as of December 29,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Mr. Perlman’s employment was terminated for (i) Good Reason by Mr. Perlman, or (ii) by us without Cause on December 29, 2017, Mr. Perlman would have received severance in the amount of one year of base salary, and COBRA payments totaling approximately $57,000. In addition, in the event a change-in-control had occurred on December 29, 2017, Mr. Perlman would have received severance in the amount of one year of base salary, or $450,000, and Mr. Perlman would have been entitled to receive 75% acceleration of certain unvested options, which had no intrinsic value as of December 29, 2017.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48"/>
        <w:spacing w:after="0" w:line="270" w:lineRule="auto"/>
        <w:rPr>
          <w:sz w:val="20"/>
          <w:szCs w:val="20"/>
          <w:color w:val="auto"/>
        </w:rPr>
      </w:pPr>
      <w:r>
        <w:rPr>
          <w:rFonts w:ascii="Arial" w:cs="Arial" w:eastAsia="Arial" w:hAnsi="Arial"/>
          <w:sz w:val="17"/>
          <w:szCs w:val="17"/>
          <w:color w:val="auto"/>
        </w:rPr>
        <w:t>On April 19, 2018 (the “Separation Date”), we entered into a separation agreement (the “Separation Agreement”) with Mr. Perlman related to his resignation as Chief Executive Officer and as our Director. The Separation Agreement includes a release by Mr. Perlman of claims against us and certain related parties. In connection with the entry into the Settlement Agreement, Mr. Perlman agreed that he would continue to be subject to the Non-Disclosure Agreement between Mr. Perlman and us that contains a covenant protecting our confidential information. In addition, Mr. Perlman agreed to be subject to a covenant not to compete with us for a two-year period following the Separation Date, a covenant prohibiting Mr. Perlman from soliciting or hiring our employees for a two-year period following the Separation Date, and a covenant not to disparage us or any of our businesses, services, products, affiliates or current, former or future directors and named executive officers (in their capacity as such). The Separation Agreement also includes certain affirmative covenants binding on Mr. Perlman, including, without limitation, a covenant to reasonably cooperate with us in connection with any action, suit, or proceeding, whether or not by or in the right of us and whether civil, criminal, administrative, investigative or otherwise.</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consideration of the foregoing release and covenants, we will pay Mr. Perlman, severance in an amount equal to $125,000 (the “Deferred Cash”), payable in monthly installments of $20,833.34 over the six (6) month period following the date that we achieve both of the following objectives at the end of an applicable calendar quarter as shown in the Form 10-Q or Form 10-K reporting such quarter (the “Cash Objectives”): (i) our Working Capital exceeds</w:t>
      </w:r>
    </w:p>
    <w:p>
      <w:pPr>
        <w:jc w:val="both"/>
        <w:spacing w:after="0" w:line="267" w:lineRule="auto"/>
        <w:rPr>
          <w:sz w:val="20"/>
          <w:szCs w:val="20"/>
          <w:color w:val="auto"/>
        </w:rPr>
      </w:pPr>
      <w:r>
        <w:rPr>
          <w:rFonts w:ascii="Arial" w:cs="Arial" w:eastAsia="Arial" w:hAnsi="Arial"/>
          <w:sz w:val="16"/>
          <w:szCs w:val="16"/>
          <w:color w:val="auto"/>
        </w:rPr>
        <w:t>$6,368,000, and (ii) Free Cash exceeds $6,368,000; provided that if we do not achieve the Cash Objectives prior to the second (2</w:t>
      </w:r>
      <w:r>
        <w:rPr>
          <w:rFonts w:ascii="Arial" w:cs="Arial" w:eastAsia="Arial" w:hAnsi="Arial"/>
          <w:sz w:val="26"/>
          <w:szCs w:val="26"/>
          <w:color w:val="auto"/>
          <w:vertAlign w:val="superscript"/>
        </w:rPr>
        <w:t>nd</w:t>
      </w:r>
      <w:r>
        <w:rPr>
          <w:rFonts w:ascii="Arial" w:cs="Arial" w:eastAsia="Arial" w:hAnsi="Arial"/>
          <w:sz w:val="16"/>
          <w:szCs w:val="16"/>
          <w:color w:val="auto"/>
        </w:rPr>
        <w:t>) anniversary of the Separation Date, the Deferred Cash shall be forfeited and no amounts shall be payable under the Separation Agreement. For purposes of the Separation Agreement, “Free Cash” means cash and cash equivalents as defined in our Form 10-K and calculated consistently, less (i) any cash or cash equivalents that are restricted in any way, and (ii) any cash received by us from a debt, equity or other capital raise subsequent to the Separation Date. For purposes of the Separation Agreement, “Working Capital” shall mean (i) current assets less current liabilities, prepared in accordance with GAAP and consistent with our prior filings of Form 10-K, less (ii) any cash received by us from a debt, equity or other capital raise subsequent to the Separation Date.</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in consideration of the foregoing release and covenants, an aggregate of 153,302 of Mr. Perlman’s restricted stock units that vested on May 17, 2018 (the “Current RSUs”) will be subject to a restriction on sale until the earlier of: (i) the one (1) year anniversary of the Separation Date; and (ii) the date upon which the volume weighted average price (“VWAP”) for our common stock for thirty (30) consecutive trading days exceeds $1.50 (as adjusted by us in our discretion for any stock split, subdivision, dividend or distribution).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granted to Mr. Perlman an additional 150,000 restricted stock units, which shall be fully vested as of the date of grant (the “Granted RSUs”); provided, however, that such Granted RSUs will be subject to a restriction on sale until the earlier of: (i) the one (1) year anniversary of the Separation Date; and (ii) the date upon which the VWAP for our common stock for thirty (30) consecutive trading days exceeds $1.50 (as adjusted by us in our discretion for any stock split, subdivision, dividend or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Ms. Nyrkovskaya’s employment was terminated for (i) Good Reason by Ms. Nyrkovskaya, or (ii) by us without Cause on December 29, 2017, Ms. Nyrkovskaya would have received severance in the amount of one year of base salary, or $375,000, and COBRA payments totaling approximately $57,000. In addition, upon a change-in-control, Ms. Nyrkovskaya would have been entitled to receive 75% acceleration of certain unvested options, which had no intrinsic value as of December 29, 2017.</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19, 2018, Ms. Nyrkovskaya resigned from her position as Chief Financial Officer and agreed to remain with the Company in a reduced capacity through October 15, 2018, during which time she is expected to transition certain projects while the Company completes an ongoing search for a new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2017. Directors who are employed by us are not compensated for their service on our Board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Fees Earned or</w:t>
            </w: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Option Awards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Paid in Cash</w:t>
            </w:r>
          </w:p>
        </w:tc>
        <w:tc>
          <w:tcPr>
            <w:tcW w:w="1440" w:type="dxa"/>
            <w:vAlign w:val="bottom"/>
            <w:gridSpan w:val="2"/>
            <w:vMerge w:val="continue"/>
          </w:tcPr>
          <w:p>
            <w:pPr>
              <w:spacing w:after="0"/>
              <w:rPr>
                <w:sz w:val="15"/>
                <w:szCs w:val="15"/>
                <w:color w:val="auto"/>
              </w:rPr>
            </w:pPr>
          </w:p>
        </w:tc>
        <w:tc>
          <w:tcPr>
            <w:tcW w:w="1360" w:type="dxa"/>
            <w:vAlign w:val="bottom"/>
            <w:gridSpan w:val="2"/>
          </w:tcPr>
          <w:p>
            <w:pPr>
              <w:ind w:left="44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auto"/>
            </w:tcBorders>
          </w:tcPr>
          <w:p>
            <w:pPr>
              <w:ind w:left="326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33"/>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 xml:space="preserve"> (1)</w:t>
            </w:r>
          </w:p>
        </w:tc>
        <w:tc>
          <w:tcPr>
            <w:tcW w:w="2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Bruce T. Bernstein</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125,862</w:t>
            </w:r>
          </w:p>
        </w:tc>
        <w:tc>
          <w:tcPr>
            <w:tcW w:w="0" w:type="dxa"/>
            <w:vAlign w:val="bottom"/>
          </w:tcPr>
          <w:p>
            <w:pPr>
              <w:spacing w:after="0"/>
              <w:rPr>
                <w:sz w:val="1"/>
                <w:szCs w:val="1"/>
                <w:color w:val="auto"/>
              </w:rPr>
            </w:pPr>
          </w:p>
        </w:tc>
      </w:tr>
      <w:tr>
        <w:trPr>
          <w:trHeight w:val="257"/>
        </w:trPr>
        <w:tc>
          <w:tcPr>
            <w:tcW w:w="71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66,937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116,937</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71,399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121,399</w:t>
            </w:r>
          </w:p>
        </w:tc>
        <w:tc>
          <w:tcPr>
            <w:tcW w:w="0" w:type="dxa"/>
            <w:vAlign w:val="bottom"/>
          </w:tcPr>
          <w:p>
            <w:pPr>
              <w:spacing w:after="0"/>
              <w:rPr>
                <w:sz w:val="1"/>
                <w:szCs w:val="1"/>
                <w:color w:val="auto"/>
              </w:rPr>
            </w:pPr>
          </w:p>
        </w:tc>
      </w:tr>
      <w:tr>
        <w:trPr>
          <w:trHeight w:val="257"/>
        </w:trPr>
        <w:tc>
          <w:tcPr>
            <w:tcW w:w="71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75,862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125,862</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(6)</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66,937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116,937</w:t>
            </w:r>
          </w:p>
        </w:tc>
        <w:tc>
          <w:tcPr>
            <w:tcW w:w="0" w:type="dxa"/>
            <w:vAlign w:val="bottom"/>
          </w:tcPr>
          <w:p>
            <w:pPr>
              <w:spacing w:after="0"/>
              <w:rPr>
                <w:sz w:val="1"/>
                <w:szCs w:val="1"/>
                <w:color w:val="auto"/>
              </w:rPr>
            </w:pPr>
          </w:p>
        </w:tc>
      </w:tr>
      <w:tr>
        <w:trPr>
          <w:trHeight w:val="39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Andrew R. Heyer</w:t>
            </w:r>
            <w:r>
              <w:rPr>
                <w:rFonts w:ascii="Arial" w:cs="Arial" w:eastAsia="Arial" w:hAnsi="Arial"/>
                <w:sz w:val="30"/>
                <w:szCs w:val="30"/>
                <w:color w:val="auto"/>
                <w:vertAlign w:val="superscript"/>
              </w:rPr>
              <w:t>(7)</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66,937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116,937</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60" w:right="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in accordance with FASB ASC </w:t>
      </w:r>
      <w:r>
        <w:rPr>
          <w:rFonts w:ascii="Arial" w:cs="Arial" w:eastAsia="Arial" w:hAnsi="Arial"/>
          <w:sz w:val="16"/>
          <w:szCs w:val="16"/>
          <w:i w:val="1"/>
          <w:iCs w:val="1"/>
          <w:color w:val="auto"/>
        </w:rPr>
        <w:t>Topic 718</w:t>
      </w:r>
      <w:r>
        <w:rPr>
          <w:rFonts w:ascii="Arial" w:cs="Arial" w:eastAsia="Arial" w:hAnsi="Arial"/>
          <w:sz w:val="16"/>
          <w:szCs w:val="16"/>
          <w:color w:val="auto"/>
        </w:rPr>
        <w:t>. See Notes 2 and 12 of the consolidated financial statements disclosed in the Form 10-K for the year ended December 31, 2017, for the assumptions made in the valuation of the equity awards.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Mr. Bernstein held 145,000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Mr. Engelman held 187,000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Mr. Stout held 172,500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2016, Mr. Giardina held 145,000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Mr. Abbe held 125,000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Mr. Heyer held 75,000 fully vested options.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compensate each of our non-employee directors an annual cash retainer of $50,000. On January 17, 2017, we granted options to purchase shares of our common stock to each of our non-employee directors. Mr. Bernstein and Mr. Giardina each received options to purchase 85,000 shares of our common stock, Mr. Stout received options to purchase 80,000 shares of our common stock, and Mr. Engelman, Mr. Abbe and Mr. Heyer each received options to purchase 75,000 shares of our common stock. The options feature an exercise price of $2.12 per share and vest in equal quarterly installments over a one-year period, with one-fourth vesting on the date of grant and one-fourth vesting at the end of each fiscal quarter thereafter.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aggregate information, as of December 31, 2017, with respect to all of our equity compensation plans then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 of securities remaining</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No. of securities to be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Weighted-average</w:t>
            </w:r>
          </w:p>
        </w:tc>
        <w:tc>
          <w:tcPr>
            <w:tcW w:w="80" w:type="dxa"/>
            <w:vAlign w:val="bottom"/>
          </w:tcPr>
          <w:p>
            <w:pPr>
              <w:spacing w:after="0"/>
              <w:rPr>
                <w:sz w:val="18"/>
                <w:szCs w:val="18"/>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available for future issuance</w:t>
            </w:r>
          </w:p>
        </w:tc>
      </w:tr>
      <w:tr>
        <w:trPr>
          <w:trHeight w:val="216"/>
        </w:trPr>
        <w:tc>
          <w:tcPr>
            <w:tcW w:w="478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issued upon 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price of</w:t>
            </w:r>
          </w:p>
        </w:tc>
        <w:tc>
          <w:tcPr>
            <w:tcW w:w="2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under equity compensation plans</w:t>
            </w: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outstanding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80" w:type="dxa"/>
            <w:vAlign w:val="bottom"/>
          </w:tcPr>
          <w:p>
            <w:pPr>
              <w:spacing w:after="0"/>
              <w:rPr>
                <w:sz w:val="18"/>
                <w:szCs w:val="18"/>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(excluding securities reflected in</w:t>
            </w:r>
          </w:p>
        </w:tc>
      </w:t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 and rights</w:t>
            </w: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 xml:space="preserve">warrants and rights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80" w:type="dxa"/>
            <w:vAlign w:val="bottom"/>
          </w:tcPr>
          <w:p>
            <w:pPr>
              <w:spacing w:after="0"/>
              <w:rPr>
                <w:sz w:val="20"/>
                <w:szCs w:val="20"/>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the first column)</w:t>
            </w:r>
          </w:p>
        </w:tc>
      </w:tr>
      <w:tr>
        <w:trPr>
          <w:trHeight w:val="199"/>
        </w:trPr>
        <w:tc>
          <w:tcPr>
            <w:tcW w:w="478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Total equity compensation plans approved by</w:t>
            </w: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7"/>
        </w:trPr>
        <w:tc>
          <w:tcPr>
            <w:tcW w:w="4780" w:type="dxa"/>
            <w:vAlign w:val="bottom"/>
            <w:shd w:val="clear" w:color="auto" w:fill="CCEEFF"/>
          </w:tcPr>
          <w:p>
            <w:pPr>
              <w:ind w:left="180"/>
              <w:spacing w:after="0" w:line="266"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(1)(2)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4,683,508</w:t>
            </w:r>
          </w:p>
        </w:tc>
        <w:tc>
          <w:tcPr>
            <w:tcW w:w="10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2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2,111,437</w:t>
            </w:r>
          </w:p>
        </w:tc>
      </w:tr>
    </w:tbl>
    <w:p>
      <w:pPr>
        <w:spacing w:after="0" w:line="200" w:lineRule="exact"/>
        <w:rPr>
          <w:sz w:val="20"/>
          <w:szCs w:val="20"/>
          <w:color w:val="auto"/>
        </w:rPr>
      </w:pPr>
    </w:p>
    <w:p>
      <w:pPr>
        <w:spacing w:after="0" w:line="218" w:lineRule="exact"/>
        <w:rPr>
          <w:sz w:val="20"/>
          <w:szCs w:val="20"/>
          <w:color w:val="auto"/>
        </w:rPr>
      </w:pPr>
    </w:p>
    <w:p>
      <w:pPr>
        <w:jc w:val="both"/>
        <w:ind w:left="700" w:right="20" w:hanging="332"/>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plans consist of the 2012 Plan, as amended on November 23, 2016, and the 2006 Plan. Under the amended 2012 Plan, a maximum of 7,100,000 shares of common stock may be awarded. The 2012 Plan was originally approved by our stockholders on July 19, 2012, following the merger with Innovate/Protect, replacing our then existing 2006 Plan.</w:t>
      </w:r>
    </w:p>
    <w:p>
      <w:pPr>
        <w:spacing w:after="0" w:line="181" w:lineRule="exact"/>
        <w:rPr>
          <w:rFonts w:ascii="Arial" w:cs="Arial" w:eastAsia="Arial" w:hAnsi="Arial"/>
          <w:sz w:val="18"/>
          <w:szCs w:val="18"/>
          <w:color w:val="auto"/>
        </w:rPr>
      </w:pPr>
    </w:p>
    <w:p>
      <w:pPr>
        <w:ind w:left="700" w:hanging="341"/>
        <w:spacing w:after="0" w:line="342"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numbers of securities to be issued upon exercise of outstanding equity awards are 4,615,942 and 67,566 for the 2012 Plan and the 2006 Plan, respectively. The weighted-average exercise prices of outstanding options are $5.23 and $16.30 for the 2012 Plan and the 2006 Plan,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of the Board of Directors, which consists entirely of directors who meet the independence and experience requirements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Capital Market, has furnished the following report: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Arial" w:cs="Arial" w:eastAsia="Arial" w:hAnsi="Arial"/>
          <w:sz w:val="17"/>
          <w:szCs w:val="17"/>
          <w:i w:val="1"/>
          <w:iCs w:val="1"/>
          <w:color w:val="auto"/>
        </w:rPr>
        <w:t>www.xpresspagroup.com</w:t>
      </w:r>
      <w:r>
        <w:rPr>
          <w:rFonts w:ascii="Arial" w:cs="Arial" w:eastAsia="Arial" w:hAnsi="Arial"/>
          <w:sz w:val="17"/>
          <w:szCs w:val="17"/>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CohnReznick LLP. In fulfilling its responsibilities for the financial statements for fiscal year ended December 31, 2017, the Audit Committee took the following actions:</w:t>
      </w:r>
    </w:p>
    <w:p>
      <w:pPr>
        <w:spacing w:after="0" w:line="178"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2017 with management and CohnReznick LLP, our independent registered public accounting firm;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Discussed with CohnReznick LLP the matters required to be discussed in accordance with Auditing Standard No. 16 —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Received written disclosures and the letter from CohnReznick LLP regarding its independence as required by applicable requirements of the Public Company Accounting Oversight Board regarding CohnReznick LLP communications with the Audit Committee and the Audit Committee further discussed with CohnReznick LLP their independence. The Audit Committee also considered the status of pending litigation, taxation matters and other areas of oversight relating to the financial reporting and audit process that the committee determined appropriate.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CohnReznick LLP, the Audit Committee recommended to the Board of Directors that the audited financial statements be included in our Annual Report on Form 10-K for the fiscal year ended December 31, 2017 for filing with the SEC.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of the XpresSpa Group, Inc. Audit Committee</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Bruce T. Bernstein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Salvatore Giardina</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2017, with the exception of a Form 4 which was not filed on a timely basis on behalf of each of Andrew Perlman (two transactions), Anastasia Nyrkovskaya (two transactions), Jason Charkow, our Senior Vice President, Legal and Business Affairs (two transactions), Edward Jankowski (two transactions), John Engelman (one transaction), Donald E. Stout (one transaction), Salvatore Giardina (one transaction), Richard K. Abbe (one transaction) and Andrew R. Heyer (one transaction), and two Forms 4 which were not filed on a timely basis on behalf of Bruce T. Bernstein (three transactions).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we entered into the following related party transactions: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XpresSpa entered in a credit agreement and secured promissory note (“Debt”) with Rockmore Investment Master Fund Ltd. (“Rockmore”) on April 22, 2015 that was amended on August 8, 2016. The principal amount of the debt is $6,500,000. Rockmore is an investment entity controlled by our board member, Bruce T. Bernstein. We believe the terms of the Debt were reflective of market rates as of the time of issuance. In addition, we paid $212,000 to Bruce T. Bernstein in March 2017 for legal costs incurred in conjunction with the acquisition of XpresSpa and Amiral </w:t>
      </w:r>
      <w:r>
        <w:rPr>
          <w:rFonts w:ascii="Arial" w:cs="Arial" w:eastAsia="Arial" w:hAnsi="Arial"/>
          <w:sz w:val="17"/>
          <w:szCs w:val="17"/>
          <w:color w:val="181818"/>
        </w:rPr>
        <w:t>Holdings SAS</w:t>
      </w:r>
      <w:r>
        <w:rPr>
          <w:rFonts w:ascii="Arial" w:cs="Arial" w:eastAsia="Arial" w:hAnsi="Arial"/>
          <w:sz w:val="17"/>
          <w:szCs w:val="17"/>
          <w:color w:val="auto"/>
        </w:rPr>
        <w:t xml:space="preserve"> legal proceedings prior to the completion of the acquisition, as he was indemnified by XpresSpa. These costs are included in the accounts payable, accrued expenses and other current liabilities in the consolidated balance sheet as of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we believe that Messrs. Stout, Giardina, Bernstein, Heyer and Abbe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of Directors has also determined that each member of the Audit Committee, the Compensation Committee and the Nominating and Corporate Governance Committee meets the independence requirements applicable to each such committee member prescribed by Nasdaq and the SEC. The Board of Directors has further determined that Messrs. Giardina and Bernstein are “audit committee financial experts” as defined in the rules of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1)</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26, 2018 the Board of Directors nominated Edward Jankowski, Donald E. Stout, Salvatore Giardina, Bruce T. Bernstein and Richard K. Abbe for election by the holders of common stock at the annual meeting. If they are elected, they will serve on our Board of Directors until the 2018 annual meeting of stockholders and until their respective successors have been elected and qualified.</w:t>
      </w:r>
    </w:p>
    <w:p>
      <w:pPr>
        <w:spacing w:after="0" w:line="17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Unless authority to vote for any of these nominees is withheld, the shares represented by the enclosed proxy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as directors of Edward Jankowski, Donald E. Stout, Salvatore Giardina, Bruce T. Bernstein and Richard K. Abbe. In the event that either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THE ELECTION OF EDWARD JANKOWSKI, DONALD E. STOUT, SALVATORE GIARDINA, BRUCE T. BERNSTEIN AND RICHARD K. ABBE AS DIRECTORS, AND PROXIES SOLICITED BY THE BOARD WILL BE VOTED IN FAVOR THEREOF UNLESS A STOCKHOLDER HAS INDICATED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ind w:left="500" w:right="760"/>
        <w:spacing w:after="0" w:line="282" w:lineRule="auto"/>
        <w:rPr>
          <w:sz w:val="20"/>
          <w:szCs w:val="20"/>
          <w:color w:val="auto"/>
        </w:rPr>
      </w:pPr>
      <w:r>
        <w:rPr>
          <w:rFonts w:ascii="Arial" w:cs="Arial" w:eastAsia="Arial" w:hAnsi="Arial"/>
          <w:sz w:val="18"/>
          <w:szCs w:val="18"/>
          <w:b w:val="1"/>
          <w:bCs w:val="1"/>
          <w:color w:val="auto"/>
        </w:rPr>
        <w:t>PROPOSAL 2: RATIFICATION OF APPOINTMENT OF INDEPENDENT REGISTERED PUBLIC ACCOUNTING FIRM (Notice Item 2)</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has appointed CohnReznick LLP as our independent registered public accounting firm, to audit our financial statements for the fiscal year ending December 31, 2018. The Board of Directors proposes that the stockholders ratify this appointment. CohnReznick LLP audited our financial statements for the fiscal year ended December 31, 2017. We expect that representatives of CohnReznick LLP will be present at the annual meeting, will be able to make a statement if they so desire, and will be available to respond to appropriate questions.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deciding to appoint CohnReznick LLP, the Audit Committee reviewed auditor independence issues and existing commercial relationships with CohnReznick LLP and concluded that CohnReznick LLP has no commercial relationship with the Company that would impair its independence for the fiscal year ending December 31, 2018.</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presents fees for professional audit services rendered by CohnReznick LLP for the audit of the Company’s annual financial statements for the years ended December 31, 2017 and 2016, and fees billed for other services rendered by CohnReznick LLP during those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37"/>
        </w:trPr>
        <w:tc>
          <w:tcPr>
            <w:tcW w:w="504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3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431,325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383,250</w:t>
            </w:r>
          </w:p>
        </w:tc>
      </w:tr>
      <w:tr>
        <w:trPr>
          <w:trHeight w:val="270"/>
        </w:trPr>
        <w:tc>
          <w:tcPr>
            <w:tcW w:w="5040" w:type="dxa"/>
            <w:vAlign w:val="bottom"/>
          </w:tcPr>
          <w:p>
            <w:pPr>
              <w:ind w:left="20"/>
              <w:spacing w:after="0" w:line="269" w:lineRule="exact"/>
              <w:rPr>
                <w:sz w:val="20"/>
                <w:szCs w:val="20"/>
                <w:color w:val="auto"/>
              </w:rPr>
            </w:pPr>
            <w:r>
              <w:rPr>
                <w:rFonts w:ascii="Arial" w:cs="Arial" w:eastAsia="Arial" w:hAnsi="Arial"/>
                <w:sz w:val="18"/>
                <w:szCs w:val="18"/>
                <w:color w:val="auto"/>
              </w:rPr>
              <w:t>Audit-related fees</w:t>
            </w:r>
            <w:r>
              <w:rPr>
                <w:rFonts w:ascii="Arial" w:cs="Arial" w:eastAsia="Arial" w:hAnsi="Arial"/>
                <w:sz w:val="30"/>
                <w:szCs w:val="30"/>
                <w:color w:val="auto"/>
                <w:vertAlign w:val="superscript"/>
              </w:rPr>
              <w:t>(2)</w:t>
            </w:r>
          </w:p>
        </w:tc>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700" w:hanging="332"/>
        <w:spacing w:after="0" w:line="342"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23" w:lineRule="exact"/>
        <w:rPr>
          <w:rFonts w:ascii="Arial" w:cs="Arial" w:eastAsia="Arial" w:hAnsi="Arial"/>
          <w:sz w:val="16"/>
          <w:szCs w:val="16"/>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Consistent with SEC policies and guidelines regarding auditor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2017 and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affirmative vote of the holders of a majority of the shares of common stock and Series D Preferred Stock voting on an as-converted basis present and entitled to vote on the matter either in person or by proxy at the annual meeting is required to ratify the appointment of CohnReznick LLP as our independent registered public accounting firm for the fiscal year ending December 31, 2018.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CohnReznick LLP as our independent registered public accounting firm for 2018, our Audit Committee of our Board of Directors will reconsider its selection.</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A VOTE TO RATIFY THE APPOINTMENT OF COHNREZNICK LLP AS OUR INDEPENDENT REGISTERED PUBLIC ACCOUNTING FIRM, AND PROXIES SOLICITED BY THE BOARD OF DIRECTORS WILL BE VOTED IN FAVOR OF SUCH RATIFICATION UNLESS A STOCKHOLDER INDICATES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line="256" w:lineRule="auto"/>
        <w:rPr>
          <w:sz w:val="20"/>
          <w:szCs w:val="20"/>
          <w:color w:val="auto"/>
        </w:rPr>
      </w:pPr>
      <w:r>
        <w:rPr>
          <w:rFonts w:ascii="Arial" w:cs="Arial" w:eastAsia="Arial" w:hAnsi="Arial"/>
          <w:sz w:val="18"/>
          <w:szCs w:val="18"/>
          <w:b w:val="1"/>
          <w:bCs w:val="1"/>
          <w:color w:val="auto"/>
        </w:rPr>
        <w:t>PROPOSAL 3: TO AUTHORIZE, FOR PURPOSES OF COMPLYING WITH NASDAQ LISTING RULE 5635(d), THE ISSUANCE OF SHARES OF OUR COMMON STOCK UNDERLYING CONVERTIBLE NOTES AND WARRANTS ISSUED BY US PURSUANT TO THE TERMS OF THAT CERTAIN SECURITIES PURCHASE AGREEMENT, DATED MAY 15, 2018, BY AND AMONG 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 (Notice Item 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and Description of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15, 2018, we entered into a securities purchase agreement (the “Purchase Agreement”) with certain accredited investors (the “Investors”), pursuant to which we agreed to sell (the “Offering”) up to (i) an aggregate principal amount of $4,438,000 in 5% Secured Convertible Notes due 2019 (the “Notes”), which includes $88,000 of Notes issued to Palladium Capital Advisors as Placement Agent, convertible into shares of our common stock at a conversion price of $0.62 per share, (ii) Class A Warrants to purchase 7,157,259 shares of our common stock at an exercise price of $0.62 per share (the “Class A Warrants”) and (iii) Class B Warrants to purchase 3,578,630 shares of our common stock at an exercise price of $0.62 per share (the “Class B Warrants,” and together with the Class A Warrants, the “Warrants”).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connection with the Offering, we agreed to seek approval of our stockholders of an adjustment to the conversion price of the Notes and the exercise price of the Warrants, as the case may be, below the then applicable conversion price or exercise price, as the case may be, with the recommendation of our Board of Directors that such proposal be approved. In addition, we agreed to seek approval of our stockholders to issue shares of our common stock at a price below the then applicable price floor with respect to the Notes or Warrants, as the case may be (as further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Common Stock Financing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2018, our cash balance was approximately $3.8 million. In May 2018, our Board of Directors determined that it was necessary to raise additional funds to support our continuing operations and to provide working capital for general corporate purposes.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the Offering, which yielded gross proceeds of approximately $4.4 million, was necessary in light of the Company’s cash balance and funding requirements at the time. We also believe that the anti-dilution protections contained in the Notes and Warrants were reasonable in light of market conditions and the size and type of the Offering, and that we would not have been able to complete the sale of the Notes and Warrants unless such anti-dilution provisions were offered. In addition, at the time of the Offering, our Board of Directors considered numerous other alternatives to the transaction, none of which proved to be feasible or, in the opinion of our Board of Directors, would have resulted in aggregate terms equivalent to, or more favorable than, the terms obtained in the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Notes and Warrants were issued on May 17, 2018 (the “Closing”) pursuant to the terms of the Purchase Agreement. The Purchase Agreement provides for the sale of the Notes and the Warrants at the Closing for gross proceeds of $4,350,000.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right="20" w:firstLine="648"/>
        <w:spacing w:after="0" w:line="342" w:lineRule="auto"/>
        <w:rPr>
          <w:sz w:val="20"/>
          <w:szCs w:val="20"/>
          <w:color w:val="auto"/>
        </w:rPr>
      </w:pPr>
      <w:r>
        <w:rPr>
          <w:rFonts w:ascii="Arial" w:cs="Arial" w:eastAsia="Arial" w:hAnsi="Arial"/>
          <w:sz w:val="16"/>
          <w:szCs w:val="16"/>
          <w:color w:val="auto"/>
        </w:rPr>
        <w:t>The Purchase Agreement obligates us to indemnify the Investors and various related parties for certain losses including those resulting from (i) any misrepresentation or breach of any representation or warranty made by us, (ii) any breach of any obligation of ours, and (iii) certain claims by third parties.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Purchase Agreement contains representations and warranties of us and the Investors which are typical for transactions of this type. In addition, the Purchase Agreement contains customary covenants on our part that are typical for transactions of this type, as well as the following additional covenants:</w:t>
      </w:r>
    </w:p>
    <w:p>
      <w:pPr>
        <w:jc w:val="both"/>
        <w:ind w:firstLine="8"/>
        <w:spacing w:after="0" w:line="271" w:lineRule="auto"/>
        <w:tabs>
          <w:tab w:leader="none" w:pos="2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until an Investor holds less than 10% of the Notes originally issued to such Investor, we agreed not to enter into any variable rate transactions; (ii) we agreed to offer to the Investors, until one year after the Closing, the opportunity to participate in any subsequent securities offerings by us; (iii) we agreed to use our commercially reasonable efforts to hold a stockholder meeting within 120 days of the Closing at which we will solicit the stockholders’ affirmative vote for approval of our issuance of certain shares issuable upon conversion of the Notes and the exercise of the Warrants described in the transaction documents in accordance with the applicable law and rules and regulations of Nasdaq, to which this Proposal 3 relates.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were not issued with an original issue discount and are not subject to defeasance. The Notes were issued in certificated form and not as global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our senior secured obligations and are secured by certain of our personal property, pursuant to a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will mature on November 17, 2019, the date that is eighteen months following their issuance date (the “Maturity Date”), unless earlier converted or redeemed.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the Notes will accrue at 5% per annum on the principal amount of the Notes. Interest on the Notes is payable in arrears beginning September 17, 2018 and is payable on each monthly anniversary thereafter, including at maturity when all amounts outstanding under the Notes become due and payable (each a “Payment Date”). We may elect to pay interest in cash, shares of our common stock or a combination thereof (the amount to be paid in shares of Common Stock, the “Interest Share Amount”). The Interest Share Amount will be determined by dividing the amount of interest on the subject Payment Date by the then applicable conversion price.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holder elects to convert or redeem all or any portion of a Note prior to the Maturity Date, all accrued and unpaid interest on the amount being converted or redeemed will also be payable. If we elect to redeem all or any portion of a Note prior to the Maturity Date, all accrued and unpaid interest on the amount being redeemed will also be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amounts due under the Notes are convertible at any time, in whole or in part, at the option of the holders into shares of our common stock at a conversion price which is subject to adjustment as described below. If a holder elects to convert all or any portion of a Note prior to the Maturity Date, all accrued and unpaid interest on the principal amount being converted will also be converted at the conversion price.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Notes are initially convertible into shares of our common stock at the conversion price at $0.62 per share of common stock. The conversion price is subject to adjustment for stock splits, combinations or similar events. If we fail to timely deliver common stock upon conversion of the Notes, we have agreed to pay certain liquidated damages to the converting holder.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48"/>
        <w:spacing w:after="0" w:line="270" w:lineRule="auto"/>
        <w:rPr>
          <w:sz w:val="20"/>
          <w:szCs w:val="20"/>
          <w:color w:val="auto"/>
        </w:rPr>
      </w:pPr>
      <w:r>
        <w:rPr>
          <w:rFonts w:ascii="Arial" w:cs="Arial" w:eastAsia="Arial" w:hAnsi="Arial"/>
          <w:sz w:val="17"/>
          <w:szCs w:val="17"/>
          <w:color w:val="auto"/>
        </w:rPr>
        <w:t xml:space="preserve">In addition, except in the case of issuances of certain excluded securities, the Notes are subject to “full- ratchet” anti-dilution protection in the event we issue additional common stock, options or common stock equivalents at a price per share less than the conversion price in effect. If we issue common stock, options or common stock equivalents at a price less than the conversion price of the Notes, subject to certain customary exceptions, the conversion price of the Notes will be reduced to that lower price; provided, however, that the conversion price of the Notes shall not be adjusted to be less than </w:t>
      </w:r>
      <w:r>
        <w:rPr>
          <w:rFonts w:ascii="Arial" w:cs="Arial" w:eastAsia="Arial" w:hAnsi="Arial"/>
          <w:sz w:val="17"/>
          <w:szCs w:val="17"/>
          <w:color w:val="222222"/>
        </w:rPr>
        <w:t>twenty</w:t>
      </w:r>
      <w:r>
        <w:rPr>
          <w:rFonts w:ascii="Arial" w:cs="Arial" w:eastAsia="Arial" w:hAnsi="Arial"/>
          <w:sz w:val="17"/>
          <w:szCs w:val="17"/>
          <w:color w:val="auto"/>
        </w:rPr>
        <w:t xml:space="preserve"> </w:t>
      </w:r>
      <w:r>
        <w:rPr>
          <w:rFonts w:ascii="Arial" w:cs="Arial" w:eastAsia="Arial" w:hAnsi="Arial"/>
          <w:sz w:val="17"/>
          <w:szCs w:val="17"/>
          <w:color w:val="222222"/>
        </w:rPr>
        <w:t xml:space="preserve">percent (20%) of the conversion price on the original issuance date (subject to appropriate adjustments for stock splits, stock dividends, recapitalizations, reclassifications, combinations or other similar transactions) (the “Conversion Price Floor”); provided, further, however, that the conversion price can be reduced below the Conversion Price Floor if we are not then subject to Nasdaq Listing Rule 5635(d) or if approved by Nasdaq. </w:t>
      </w:r>
      <w:r>
        <w:rPr>
          <w:rFonts w:ascii="Arial" w:cs="Arial" w:eastAsia="Arial" w:hAnsi="Arial"/>
          <w:sz w:val="17"/>
          <w:szCs w:val="17"/>
          <w:color w:val="000000"/>
        </w:rPr>
        <w:t>Therefore, the “full-ratchet”</w:t>
      </w:r>
      <w:r>
        <w:rPr>
          <w:rFonts w:ascii="Arial" w:cs="Arial" w:eastAsia="Arial" w:hAnsi="Arial"/>
          <w:sz w:val="17"/>
          <w:szCs w:val="17"/>
          <w:color w:val="222222"/>
        </w:rPr>
        <w:t xml:space="preserve"> </w:t>
      </w:r>
      <w:r>
        <w:rPr>
          <w:rFonts w:ascii="Arial" w:cs="Arial" w:eastAsia="Arial" w:hAnsi="Arial"/>
          <w:sz w:val="17"/>
          <w:szCs w:val="17"/>
          <w:color w:val="000000"/>
        </w:rPr>
        <w:t>anti-dilution provision in the Notes may result in the downward adjustment of the conversion price of the Notes. This anti-dilution provision of the Notes will not be effective until stockholder approval is obtained. If we obtain stockholder approval of this Proposal 3, the conversion price of the Notes may be adjusted upon a dilutive issuance.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Principal and Interest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agreed to make amortization payments with respect to the principal amount of each Note commencing on the fourth monthly anniversary of the original issuance date and on the same day of each month thereafter until the principal amount has been repaid in full, whether by the payment of cash or by the conversion of such principal amount into common stock pursuant to the terms thereof. On each such repayment date, we agreed to make payments to the Note holder in an amount equal to 6.67% of the initial principal amount (the “Monthly Principal Amount”)</w:t>
      </w:r>
      <w:r>
        <w:rPr>
          <w:rFonts w:ascii="Arial" w:cs="Arial" w:eastAsia="Arial" w:hAnsi="Arial"/>
          <w:sz w:val="16"/>
          <w:szCs w:val="16"/>
          <w:color w:val="222222"/>
        </w:rPr>
        <w:t>. Amounts of conversions of principal amount</w:t>
      </w:r>
      <w:r>
        <w:rPr>
          <w:rFonts w:ascii="Arial" w:cs="Arial" w:eastAsia="Arial" w:hAnsi="Arial"/>
          <w:sz w:val="16"/>
          <w:szCs w:val="16"/>
          <w:color w:val="auto"/>
        </w:rPr>
        <w:t xml:space="preserve"> </w:t>
      </w:r>
      <w:r>
        <w:rPr>
          <w:rFonts w:ascii="Arial" w:cs="Arial" w:eastAsia="Arial" w:hAnsi="Arial"/>
          <w:sz w:val="16"/>
          <w:szCs w:val="16"/>
          <w:color w:val="222222"/>
        </w:rPr>
        <w:t xml:space="preserve">and amounts paid pursuant to the prepayment and redemption provisions of the Note shall be applied first against outstanding fees and damages, then against outstanding already payable accrued interest and then to principal amounts of not yet due </w:t>
      </w:r>
      <w:r>
        <w:rPr>
          <w:rFonts w:ascii="Arial" w:cs="Arial" w:eastAsia="Arial" w:hAnsi="Arial"/>
          <w:sz w:val="16"/>
          <w:szCs w:val="16"/>
          <w:color w:val="000000"/>
        </w:rPr>
        <w:t>Monthly Principal Amounts</w:t>
      </w:r>
      <w:r>
        <w:rPr>
          <w:rFonts w:ascii="Arial" w:cs="Arial" w:eastAsia="Arial" w:hAnsi="Arial"/>
          <w:sz w:val="16"/>
          <w:szCs w:val="16"/>
          <w:color w:val="222222"/>
        </w:rPr>
        <w:t xml:space="preserve"> commencing with the last </w:t>
      </w:r>
      <w:r>
        <w:rPr>
          <w:rFonts w:ascii="Arial" w:cs="Arial" w:eastAsia="Arial" w:hAnsi="Arial"/>
          <w:sz w:val="16"/>
          <w:szCs w:val="16"/>
          <w:color w:val="000000"/>
        </w:rPr>
        <w:t>Monthly</w:t>
      </w:r>
      <w:r>
        <w:rPr>
          <w:rFonts w:ascii="Arial" w:cs="Arial" w:eastAsia="Arial" w:hAnsi="Arial"/>
          <w:sz w:val="16"/>
          <w:szCs w:val="16"/>
          <w:color w:val="222222"/>
        </w:rPr>
        <w:t xml:space="preserve"> </w:t>
      </w:r>
      <w:r>
        <w:rPr>
          <w:rFonts w:ascii="Arial" w:cs="Arial" w:eastAsia="Arial" w:hAnsi="Arial"/>
          <w:sz w:val="16"/>
          <w:szCs w:val="16"/>
          <w:color w:val="000000"/>
        </w:rPr>
        <w:t xml:space="preserve">Principal Amount </w:t>
      </w:r>
      <w:r>
        <w:rPr>
          <w:rFonts w:ascii="Arial" w:cs="Arial" w:eastAsia="Arial" w:hAnsi="Arial"/>
          <w:sz w:val="16"/>
          <w:szCs w:val="16"/>
          <w:color w:val="222222"/>
        </w:rPr>
        <w:t>next payable and thereafter to</w:t>
      </w:r>
      <w:r>
        <w:rPr>
          <w:rFonts w:ascii="Arial" w:cs="Arial" w:eastAsia="Arial" w:hAnsi="Arial"/>
          <w:sz w:val="16"/>
          <w:szCs w:val="16"/>
          <w:color w:val="000000"/>
        </w:rPr>
        <w:t xml:space="preserve"> Monthly Principal Amounts </w:t>
      </w:r>
      <w:r>
        <w:rPr>
          <w:rFonts w:ascii="Arial" w:cs="Arial" w:eastAsia="Arial" w:hAnsi="Arial"/>
          <w:sz w:val="16"/>
          <w:szCs w:val="16"/>
          <w:color w:val="222222"/>
        </w:rPr>
        <w:t>in reverse chronological order. Any principal amount, interest and any other sum</w:t>
      </w:r>
      <w:r>
        <w:rPr>
          <w:rFonts w:ascii="Arial" w:cs="Arial" w:eastAsia="Arial" w:hAnsi="Arial"/>
          <w:sz w:val="16"/>
          <w:szCs w:val="16"/>
          <w:color w:val="000000"/>
        </w:rPr>
        <w:t xml:space="preserve"> </w:t>
      </w:r>
      <w:r>
        <w:rPr>
          <w:rFonts w:ascii="Arial" w:cs="Arial" w:eastAsia="Arial" w:hAnsi="Arial"/>
          <w:sz w:val="16"/>
          <w:szCs w:val="16"/>
          <w:color w:val="222222"/>
        </w:rPr>
        <w:t>arising under the Note and the related transaction documents that remains outstanding on the Maturity Date shall be due and payable on the Maturity Date.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22222"/>
        </w:rPr>
        <w:t>We may elect to pay the Monthly Principal Amount with shares of common stock or a combination of cash and shares of common stock (the amount to be paid in shares of common stock, the “Principal Share Amount”) subject to the following conditions. The Principal Share Amount will be determined by dividing (i) the monthly principal amount by (ii) ninety percent (90%) of the VWAP of the common stock for the five (5) trading days commencing eight (8)</w:t>
      </w:r>
    </w:p>
    <w:p>
      <w:pPr>
        <w:jc w:val="both"/>
        <w:spacing w:after="0" w:line="250" w:lineRule="auto"/>
        <w:rPr>
          <w:sz w:val="20"/>
          <w:szCs w:val="20"/>
          <w:color w:val="auto"/>
        </w:rPr>
      </w:pPr>
      <w:r>
        <w:rPr>
          <w:rFonts w:ascii="Arial" w:cs="Arial" w:eastAsia="Arial" w:hAnsi="Arial"/>
          <w:sz w:val="16"/>
          <w:szCs w:val="16"/>
          <w:color w:val="222222"/>
        </w:rPr>
        <w:t>days prior to the relevant repayment date and ending on the fourth (4</w:t>
      </w:r>
      <w:r>
        <w:rPr>
          <w:rFonts w:ascii="Arial" w:cs="Arial" w:eastAsia="Arial" w:hAnsi="Arial"/>
          <w:sz w:val="26"/>
          <w:szCs w:val="26"/>
          <w:color w:val="222222"/>
          <w:vertAlign w:val="superscript"/>
        </w:rPr>
        <w:t>th</w:t>
      </w:r>
      <w:r>
        <w:rPr>
          <w:rFonts w:ascii="Arial" w:cs="Arial" w:eastAsia="Arial" w:hAnsi="Arial"/>
          <w:sz w:val="16"/>
          <w:szCs w:val="16"/>
          <w:color w:val="222222"/>
        </w:rPr>
        <w:t xml:space="preserve">) trading day preceding such repayment date; </w:t>
      </w:r>
      <w:r>
        <w:rPr>
          <w:rFonts w:ascii="Arial" w:cs="Arial" w:eastAsia="Arial" w:hAnsi="Arial"/>
          <w:sz w:val="16"/>
          <w:szCs w:val="16"/>
          <w:u w:val="single" w:color="auto"/>
          <w:color w:val="222222"/>
        </w:rPr>
        <w:t>provided</w:t>
      </w:r>
      <w:r>
        <w:rPr>
          <w:rFonts w:ascii="Arial" w:cs="Arial" w:eastAsia="Arial" w:hAnsi="Arial"/>
          <w:sz w:val="16"/>
          <w:szCs w:val="16"/>
          <w:color w:val="222222"/>
        </w:rPr>
        <w:t xml:space="preserve">, </w:t>
      </w:r>
      <w:r>
        <w:rPr>
          <w:rFonts w:ascii="Arial" w:cs="Arial" w:eastAsia="Arial" w:hAnsi="Arial"/>
          <w:sz w:val="16"/>
          <w:szCs w:val="16"/>
          <w:u w:val="single" w:color="auto"/>
          <w:color w:val="222222"/>
        </w:rPr>
        <w:t>however</w:t>
      </w:r>
      <w:r>
        <w:rPr>
          <w:rFonts w:ascii="Arial" w:cs="Arial" w:eastAsia="Arial" w:hAnsi="Arial"/>
          <w:sz w:val="16"/>
          <w:szCs w:val="16"/>
          <w:color w:val="222222"/>
        </w:rPr>
        <w:t>, that notwithstanding the foregoing, the result of such calculation shall not be less than the Conversion Price Floor; provided, further, however, that the result of such calculation can be reduced below the Conversion Price Floor if we are not then subject to Nasdaq Listing Rule 5635(d) or if approved by Nasdaq.</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22222"/>
        </w:rPr>
        <w:t>In connection with closing of an offering of our common stock, preferred stock, other equity or debt, in one or more tranches upon which we receive gross cash proceeds of $10 million or more (a “Subsequent Financing”), we must offer to the holders of the Notes t</w:t>
      </w:r>
      <w:r>
        <w:rPr>
          <w:rFonts w:ascii="Arial" w:cs="Arial" w:eastAsia="Arial" w:hAnsi="Arial"/>
          <w:sz w:val="17"/>
          <w:szCs w:val="17"/>
          <w:color w:val="000000"/>
        </w:rPr>
        <w:t>he right to receive such holder’s pro rata</w:t>
      </w:r>
      <w:r>
        <w:rPr>
          <w:rFonts w:ascii="Arial" w:cs="Arial" w:eastAsia="Arial" w:hAnsi="Arial"/>
          <w:sz w:val="17"/>
          <w:szCs w:val="17"/>
          <w:color w:val="222222"/>
        </w:rPr>
        <w:t xml:space="preserve"> </w:t>
      </w:r>
      <w:r>
        <w:rPr>
          <w:rFonts w:ascii="Arial" w:cs="Arial" w:eastAsia="Arial" w:hAnsi="Arial"/>
          <w:sz w:val="17"/>
          <w:szCs w:val="17"/>
          <w:color w:val="000000"/>
        </w:rPr>
        <w:t>portion of the net proceeds of such Subsequent Financing to be applied in satisfaction of up to 100% of such holder’s principal amount and accrued but unpaid interest designated by such holder. Commencing on September 17, 2018, we will have the option of prepaying the outstanding principal amount of the Notes, in whole or in part, by paying to each holder a sum of money in cash equal to 115% of the principal amount to be redeemed, together with accrued but unpaid interest thereon, if any, and any and all other sums due, accrued or payable.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Event of Default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any event of default or a fundamental transaction or a change of control transaction occurs, the outstanding principal amount of the Notes, liquidated damages and other amounts owing in respect thereof through the date of acceleration, shall become, at the Note holder’s election, immediately due and payable in cash at the sum of (a) the greater of (i) the outstanding principal amount of the Note divided by the conversion price on the date the Mandatory Default Amount (as defined below)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the Note and (b) all other amounts, costs, expenses and liquidated damages due in respect of the Note (the “Mandatory Default Amount”). Commencing on the Maturity Date and also five (5) days after the occurrence of any event of default interest on the Note shall accrue at an interest rate equal to the lesser of 18% per annum or the maximum rate permitted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Fundamental Transactions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prohibit us from entering into specified transactions involving a change of control, unless the successor entity assumes in writing all of our obligations under the Notes under a written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of transactions involving a change of control, the holder of a Note will have the right to receive, for each conversion share that would have been issuable upon such conversion immediately prior to the occurrence of such fundamental transaction, the number of shares of common stock of the successor or acquiring corporation or of us, if we are the surviving corporation, and any additional consideration (the “Alternate Consideration”) receivable as a result of such fundamental transaction by a holder of the number of shares of common stock for which the Note is convertible immediately prior to such fundamental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Conversion and Issuance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Note may not be converted and shares of common stock may not be issued under the Notes if, after giving effect to the conversion or issuance, the holder together with its affiliates would beneficially own in excess of 9.99% of our outstanding shares of common stock (the “Note Blocker”). The Note Blocker may be raised or lowered to any other percentage not in excess of 9.99% at the option of the selling security holder, except that any raise will only be effective upon 61-days’ prior notice to us.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prior to obtaining stockholder approval, we may not issue, upon conversion of the Notes, a number of shares of common stock which, when aggregated with any shares of common stock issued in connection with any conversion of Notes, would exceed 5,300,260 shares of common stock (the “Conversion Cap”). The Notes sold in the Offering, including shares of common stock that have previously been converted into common stock, are currently convertible into an aggregate of approximately 7,157,259 shares of common stock. The Conversion Cap shall be allocated among the holders of the Notes pro rata.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Closing Date, we issued (i) Class A Warrants to purchase 7,157,259 shares of our common stock at an exercise price of $0.62 per share and</w:t>
      </w:r>
    </w:p>
    <w:p>
      <w:pPr>
        <w:spacing w:after="0" w:line="46" w:lineRule="exact"/>
        <w:rPr>
          <w:sz w:val="20"/>
          <w:szCs w:val="20"/>
          <w:color w:val="auto"/>
        </w:rPr>
      </w:pPr>
    </w:p>
    <w:p>
      <w:pPr>
        <w:jc w:val="both"/>
        <w:ind w:firstLine="8"/>
        <w:spacing w:after="0" w:line="268" w:lineRule="auto"/>
        <w:tabs>
          <w:tab w:leader="none" w:pos="289" w:val="left"/>
        </w:tabs>
        <w:numPr>
          <w:ilvl w:val="0"/>
          <w:numId w:val="28"/>
        </w:numPr>
        <w:rPr>
          <w:rFonts w:ascii="Arial" w:cs="Arial" w:eastAsia="Arial" w:hAnsi="Arial"/>
          <w:sz w:val="17"/>
          <w:szCs w:val="17"/>
          <w:color w:val="auto"/>
        </w:rPr>
      </w:pPr>
      <w:r>
        <w:rPr>
          <w:rFonts w:ascii="Arial" w:cs="Arial" w:eastAsia="Arial" w:hAnsi="Arial"/>
          <w:sz w:val="17"/>
          <w:szCs w:val="17"/>
          <w:color w:val="auto"/>
        </w:rPr>
        <w:t>Class B Warrants to purchase 3,578,630 shares of our common Stock at an exercise price of $0.62 per share. The Class A Warrants are exercisable beginning six months from the date of issuance and have a term of five years. The Class B Warrants are exercisable beginning six months from the date of issuance and have a term of six months. We can require that the holders of the Class B Warrants exercise their Warrants if at any time after the issuance date the volume weighted average price of our common stock equals or exceeds $1.24 (subject to appropriate adjustments for stock splits, stock dividends, recapitalizations, reorganizations, reclassifications, combinations, reverse stock splits or other similar transactions after the issuance date) for not less than ten consecutive trading days (the “Mandatory Exercise Measuring Period”); (ii) the daily average dollar value of our common stock traded during the Mandatory Exercise Measuring Period equals or exceeds $100,000 (subject to appropriate adjustments for stock splits, stock dividends, recapitalizations, reorganizations, reclassifications, combinations, reverse stock splits or other similar transactions after the issuance date); and (iii) no Equity Conditions Failure (as defined in the Class B Warrant) has occurred (unless the holder has waived such Equity Conditions Failure) as of such date. The Class A Warrants and Class B Warrants each have an exercise price of $0.62 per share.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The Warrants may be exercised for cash, provided that, if there is no effective registration statement available registering the exercise of the Warrants, the Warrants may be exercised on a cashless basis. The exercise price of the Warrants is subject to adjustment for stock splits, combinations or similar events. Similar to the Notes, the Warrants require “buy-in” payments to be made by us for failure to deliver the shares of common stock issuable upon exercise.</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addition, except in the case of issuances of certain excluded securities, the Warrants are subject to “full- ratchet” anti-dilution protection in the event we issue additional common stock, options or common stock equivalents at a price per share less than the exercise price in effect. If we issue common stock, options or common stock equivalents at a price less than the exercise price of the Warrants, subject to certain customary exceptions, the exercise price of the Warrants will be reduced to that lower price and the number of shares issuable pursuant to the Warrants will be increased such that the exercise price payable pursuant to the Warrants, after taking into account the decrease in the exercise price, shall be equal to the aggregate exercise price prior to such adjustment; provided, however, that the exercise price of the Warrants shall not be adjusted to be less than </w:t>
      </w:r>
      <w:r>
        <w:rPr>
          <w:rFonts w:ascii="Arial" w:cs="Arial" w:eastAsia="Arial" w:hAnsi="Arial"/>
          <w:sz w:val="16"/>
          <w:szCs w:val="16"/>
          <w:color w:val="222222"/>
        </w:rPr>
        <w:t>twenty percent (20%) of the exercise price on the</w:t>
      </w:r>
      <w:r>
        <w:rPr>
          <w:rFonts w:ascii="Arial" w:cs="Arial" w:eastAsia="Arial" w:hAnsi="Arial"/>
          <w:sz w:val="16"/>
          <w:szCs w:val="16"/>
          <w:color w:val="auto"/>
        </w:rPr>
        <w:t xml:space="preserve"> </w:t>
      </w:r>
      <w:r>
        <w:rPr>
          <w:rFonts w:ascii="Arial" w:cs="Arial" w:eastAsia="Arial" w:hAnsi="Arial"/>
          <w:sz w:val="16"/>
          <w:szCs w:val="16"/>
          <w:color w:val="222222"/>
        </w:rPr>
        <w:t xml:space="preserve">original issuance date (subject to appropriate adjustments for stock splits, stock dividends, recapitalizations, reclassifications, combinations or other similar transactions) (the “Exercise Price Floor”); provided, further, however, that the exercise price can be reduced below the Exercise Price Floor if we are not then subject to Nasdaq Listing Rule 5635(d) or if approved by Nasdaq. </w:t>
      </w:r>
      <w:r>
        <w:rPr>
          <w:rFonts w:ascii="Arial" w:cs="Arial" w:eastAsia="Arial" w:hAnsi="Arial"/>
          <w:sz w:val="16"/>
          <w:szCs w:val="16"/>
          <w:color w:val="000000"/>
        </w:rPr>
        <w:t>Therefore, the “full-ratchet” anti-dilution provision in the Warrants may result in the</w:t>
      </w:r>
      <w:r>
        <w:rPr>
          <w:rFonts w:ascii="Arial" w:cs="Arial" w:eastAsia="Arial" w:hAnsi="Arial"/>
          <w:sz w:val="16"/>
          <w:szCs w:val="16"/>
          <w:color w:val="222222"/>
        </w:rPr>
        <w:t xml:space="preserve"> </w:t>
      </w:r>
      <w:r>
        <w:rPr>
          <w:rFonts w:ascii="Arial" w:cs="Arial" w:eastAsia="Arial" w:hAnsi="Arial"/>
          <w:sz w:val="16"/>
          <w:szCs w:val="16"/>
          <w:color w:val="000000"/>
        </w:rPr>
        <w:t>downward adjustment of the exercise price of the Warrants and result in a greater number of shares being issued pursuant to the Warrants. This anti-dilution provision of the Warrants will not be effective until stockholder approval is obtained. If we obtain stockholder approval of this Proposal 3, the exercise price of the Warrants and the number of shares to be issued upon exercise of the Warrants may be adjusted upon a dilutive issuance.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potential issuance of (x) the aggregate of 17,893,148 shares of our common stock underlying (i) the Notes (an aggregate of 7,157,259 shares of common stock), and (ii) the Warrants (10,735,889 shares of common stock) and (y) the potential additional shares of common stock issuable as (i) payment of principal or interest on the Notes, (ii) pursuant to the anti-dilution terms of the Notes and the Warrants or (iii) at a price below the applicable price floor, in each case, that are the subject of this Proposal 3, would result in an increase in the number of shares of common stock outstanding, and our stockholders will incur dilution of their percentage ownership to the extent that the investors convert their Notes or exercise their Warrants, or additional shares of common stock are issued as payment of principal or interest on the Notes, pursuant to the anti-dilution terms of the Notes or the Warrants, or at a price below the applicable price floor. Because of potential adjustments to the number of shares of common stock issuable upon conversion of the Notes and exercise of the Warrants to be issued in connection with the Offering, the exact magnitude of the dilutive effect of the Notes and Warrants cannot be conclusively determined. However, the dilutive effect may be material to our current stockholders.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Proposal to Approve Financing Transaction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Nasdaq Listing Rule 5635(d) requires us to obtain stockholder approval prior to the issuance of securities in connection with a transaction other than a public offering involving (i) the sale, issuance or potential issuance by us of our common stock (or securities convertible into or exercisable for our common stock) at a price less than the greater of book or market value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greater of book or market value of the stock. In the case of the Offering, the 20% threshold is determined based on the shares of our common stock outstanding immediately preceding the Offering, which we signed on May 15, 2018. Warrants to purchase common stock may be excluded from the calculation if they have a per share exercise price equal to or greater than the consolidated closing bid price immediately preceding execution of the binding agreements, and if they are not exercisable for at least six months. In the Offering, the initial exercise price of the Warrants (in this case, $0.62) was equal to or greater than the book or market value of our common stock on the relevant date, and the warrants are not exercisable for at least six months after issuance. Consequently, the Warrants are excluded from the 20% calculation under Nasdaq Listing Rule 5635(d). However, we are seeking stockholder approval under Nasdaq Rule 5635(d) of the “full-ratchet” anti-dilution feature of the Warrants since such provision may reduce the $0.62 per share exercise price of the Warrants and result in the issuance of shares at less than the greater of market price or book value per share. Without the “full-ratchet” anti-dilution feature, the Warrants meet the criteria of Nasdaq Listing Rule 5635(d) such that the terms of the Warrants did not require stockholder approval.</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the issuance of shares of our common stock underlying the Notes may trigger our obligation to obtain stockholder approval under Nasdaq Listing Rule 5635(d), the Note holders agreed that the total shares of our common stock that may be issued under the Notes is limited to 19.99% of the total number of shares of our common stock outstanding immediately preceding the Offering, until we obtain stockholder approval of the Offering or a waiver of Nasdaq Listing Rule 5635(d). We are permitted to issue up to 5,300,260 shares of our common stock to the Note holders without obtaining stockholder approval under Nasdaq Listing Rule 5635(d).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generally have no control over whether the Note holders convert their Notes or whether the Warrant holders exercise their Warrants (other than pursuant to the mandatory exercise feature of the Class B Warrants). Further, we cannot predict the market price of our common stock at any future date, and therefore cannot predict the applicable prices at which the Notes may be converted. For these reasons, we are unable to accurately forecast or predict with any certainty the total amount of shares that may be issued under the Notes or Warrants. Under certain circumstances, however, it is possible, that we may have to issue more than 20% of our outstanding shares of common stock to the Note and Warrant holders under the terms of the Offering. Therefore, we are seeking stockholder approval under this proposal to issue more than 20% of our outstanding shares of common stock, if necessary, to the Note and Warrant holders under the terms of the Offering.</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Future issuances of securities in connection with the Offering, if any, may cause a significant reduction in the percentage interests of our current stockholders in the voting power, any liquidation value, our book and market value, and in any future earnings. Further, the issuance or resale of common stock issued to the Note and Warrant holders could cause the market price of our common stock to decline. In addition to the foregoing, the increase in the number of issued shares of common stock in connection with the Offering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Nasdaq Listing Rules, we are not permitted (without risk of delisting) to undertake a transaction that could result in a change in control of us, as defined by Nasdaq Listing Rule 5635(b), without seeking and obtaining separate stockholder approval. We are not required to obtain stockholder approval for the Financing Transaction under Nasdaq Listing Rule 5635(b) because the Note and Warrant holders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229" w:lineRule="exact"/>
        <w:rPr>
          <w:sz w:val="20"/>
          <w:szCs w:val="20"/>
          <w:color w:val="auto"/>
        </w:rPr>
      </w:pPr>
    </w:p>
    <w:p>
      <w:pPr>
        <w:jc w:val="both"/>
        <w:ind w:firstLine="567"/>
        <w:spacing w:after="0" w:line="297" w:lineRule="auto"/>
        <w:rPr>
          <w:sz w:val="20"/>
          <w:szCs w:val="20"/>
          <w:color w:val="auto"/>
        </w:rPr>
      </w:pPr>
      <w:r>
        <w:rPr>
          <w:rFonts w:ascii="Arial" w:cs="Arial" w:eastAsia="Arial" w:hAnsi="Arial"/>
          <w:sz w:val="16"/>
          <w:szCs w:val="16"/>
          <w:color w:val="auto"/>
        </w:rPr>
        <w:t>After extensive efforts to raise capital on more favorable terms, we believed that the Offering was the only viable financing alternative available to us at the time. If our stockholders do not approve this proposal, we will not be able to issue more than 20% of our outstanding shares of common stock to the Note and Warrant holders in connection with the Offering. As a result, we may be unable to make some of the amortization payments due under the Notes in shares of our common stock or issue sufficient shares upon exercise of the Warrants which will, in lieu of those shares, require that we pay substantial cash amounts to the Note and Warrant holders. We do not anticipate having sufficient funds to make any substantial cash payments to the Note holders.</w:t>
      </w:r>
    </w:p>
    <w:p>
      <w:pPr>
        <w:spacing w:after="0" w:line="158"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Purchase Agreement, the form of Note and the forms of Warrants were filed with the Securities and Exchange Commission in connection with our Quarterly Report on Form 10-Q filed on May 15,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the Offering. The approval of Proposal 3 requires the affirmative vote of the holders of a majority of the total votes cast in person or by proxy at the annual meeting.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UNDERLYING THE CONVERTIBLE NOTES AND WARRANTS, IN AN AMOUNT EQUAL TO OR IN EXCESS OF 20% OF OUR COMMON STOCK OUTSTANDING BEFORE THE ISSUANCE OF SUCH CONVERTIBLE NOTES AND WARRANTS, IN SATISFACTION OF THE NASDAQ LISTING RULE 5635(d), INCLUDING THE APPROVAL OF THE ANTI-DILUTION PROTECTIONS CONTAINED IN SUCH CONVERTIBLE NOTES AND WARRANTS, AND PROXIES SOLICITED BY THE BOARD OF DIRECTORS WILL BE VOTED IN FAVOR OF THE PROPOSAL UNLESS A STOCKHOLDER INDICATES OTHERWISE ON THE PROXY.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PROPOSAL 4: REVERSE STOCK SPLIT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Item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At our 2018 annual meeting of stockholders, holders of our common stock are being asked to approve the proposal that our Amended and Restated Certificate of Incorporation be amended to effect a reverse stock split of the issued and outstanding shares of common stock (such split to combine a number of outstanding shares of our common stock between 5-for-1 and 25-for-1, such number consisting of only whole shares, into one (1) share of common stock). The full text of the proposed amendment to our Amended and Restated Certificate of Incorporation is attached to this proxy statement as </w:t>
      </w:r>
      <w:r>
        <w:rPr>
          <w:rFonts w:ascii="Arial" w:cs="Arial" w:eastAsia="Arial" w:hAnsi="Arial"/>
          <w:sz w:val="17"/>
          <w:szCs w:val="17"/>
          <w:u w:val="single" w:color="auto"/>
          <w:color w:val="auto"/>
        </w:rPr>
        <w:t>Appendix A</w:t>
      </w:r>
      <w:r>
        <w:rPr>
          <w:rFonts w:ascii="Arial" w:cs="Arial" w:eastAsia="Arial" w:hAnsi="Arial"/>
          <w:sz w:val="17"/>
          <w:szCs w:val="17"/>
          <w:color w:val="auto"/>
        </w:rPr>
        <w:t>. If approved by the stockholders, the reverse stock split would become effective at a time, and at a ratio, to be designated by the Board of Directors. The Board of Directors may effect only one reverse stock split as a result of this authorization. The Board of Directors’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we reserve the right not to effect the reverse stock split if the Board of Directors does not deem it to be in the best interests of us and our stockholders to effect the reverse stock split. The reverse stock split, if authorized pursuant to this resolution and if deemed by the Board of Directors to be in the best interests of us and our stockholders, will be effected, if at all, at a time that is not later than March 11, 2019.</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proposed amendment to our Amended and Restated Certificate of Incorporation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26, 2018, the Board of Directors approved the proposal authorizing the reverse stock split for the following reasons:</w:t>
      </w:r>
    </w:p>
    <w:p>
      <w:pPr>
        <w:spacing w:after="0" w:line="225"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believes that effecting the reverse stock split may be an effective means of regaining compliance with the bid price requirement for continued listing of our common stock on The Nasdaq Capital Market;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believes that a higher stock price may help generate investor interest in us, including interest among institutional investors.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Requirements for Continued Listing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is listed on The Nasdaq Capital Market under the symbol “XSPA.” One of the requirements for continued listing on The Nasdaq Capital Market is maintenance of a minimum closing bid price of $1.00. On July 25, 2018, the closing market price per share of our common stock was $0.27, as reported by the Nasdaq Capital Market, and the price has been below $1.00 for more than 30 consecutive trading days.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ind w:firstLine="648"/>
        <w:spacing w:after="0" w:line="297" w:lineRule="auto"/>
        <w:rPr>
          <w:sz w:val="20"/>
          <w:szCs w:val="20"/>
          <w:color w:val="auto"/>
        </w:rPr>
      </w:pPr>
      <w:r>
        <w:rPr>
          <w:rFonts w:ascii="Arial" w:cs="Arial" w:eastAsia="Arial" w:hAnsi="Arial"/>
          <w:sz w:val="16"/>
          <w:szCs w:val="16"/>
          <w:color w:val="auto"/>
        </w:rPr>
        <w:t>On March 16, 2018, we received a letter from Nasdaq indicating that for the last 30 consecutive business days, the bid price of our common shares closed below the minimum $1.00 per share requirement pursuant to Nasdaq Listing Rule 5550(a)(2) for continued listing on The Nasdaq Capital Market. In accordance with Nasdaq Listing Rule 5810(c)(3)(A), we have a grace period of 180 calendar days, or until September 12, 2018, to regain compliance with the minimum bid price requirement. In accordance with NASDAQ Listing Rule 5810(c)(3)(A)(ii), we expect to be granted an additional 180 day period, or until March 11, 2019, to regain compliance with the minimum $1.00 bid price per share requirement for continued listing on The NASDAQ Capital Market.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plan to regain compliance with the Nasdaq Listing Rules includes effecting the reverse stock split for which we are seeking stockholder approval in this Proposal 4. We cannot assure you that our share price will comply with the requirements for continued listing of our common shares on the Nasdaq Capital Market in the future or that we will comply with the other continued listing requirements. If our common shares lose their status on the Nasdaq Capital Market, our common shares would likely trade in the over-the-counter market.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shares were to trade on the over-the-counter market, selling our common shares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Increased Investor Interest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approving the proposal authorizing the reverse stock split, the Board of Directors considered that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170" w:lineRule="exact"/>
        <w:rPr>
          <w:sz w:val="20"/>
          <w:szCs w:val="20"/>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conduct future financings will be enhanced;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“(3) Reverse Stock Split. Effective at 5:00 p.m. (Eastern time), on the date of filing of this Certificate of Amendment of the Amended and Restated Certificate of Incorporation of the Corporation with the Secretary of State of the State of Delaware (the “Effective Time”),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 ) shares of the Corporation’s issued and 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92" w:lineRule="exact"/>
        <w:rPr>
          <w:sz w:val="20"/>
          <w:szCs w:val="20"/>
          <w:color w:val="auto"/>
        </w:rPr>
      </w:pPr>
    </w:p>
    <w:p>
      <w:pPr>
        <w:jc w:val="both"/>
        <w:ind w:firstLine="656"/>
        <w:spacing w:after="0" w:line="271" w:lineRule="auto"/>
        <w:tabs>
          <w:tab w:leader="none" w:pos="9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that would be rounded up to the next highest whole share.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“XSPA,” although it would receive a new CUSIP number.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By approving this amendment, stockholders will approve the combination of any whole number of shares of common stock between and including 5 and 25 into one (1) share. The certificate of amendment to be filed with the Secretary of State of the State of Delaware will include only that number determined by the Board of Directors to be in the best interests of the Company and its stockholders. The Board of Directors will not implement any amendment providing for a different split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certificate of amendment is approved by our stockholders, and if at such time the Board of Directors Still believes that a reverse stock split is in the best interests of the Company and its stockholders, the Board of Directors will determine the ratio of the reverse stock split to be implemented. We will file the certificate of amendment with the Secretary of State of the State of Delaware at such time as the Board of Directors has determined the appropriate effective time for the reverse stock split. The Board of Directors may delay effecting the reverse stock split, if at all, until a time that is not later than March 11, 2019,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to receive one whole share of common stock by virtue of rounding up such fractional share to the next highest whole share. The ownership of such a whole share will give the holder thereof the same voting, dividend, and other rights as are held by other holders of common stock.</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Stockholders should be aware that receipt of a whole share of common stock resulting from the rounding up of a fractional share interest to the next highest whole share may have tax consequences. Each holder should seek advice based on the holder’s particular circumstances from an independent tax advisor.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Depending on the size of the reverse stock split the Board of Directors decides to implement, the stated capital component will be reduced to an amount between $10,654 and $53,269 of its present amount, and the additional 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Par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proposed amendment to our Amended and Restated Certificate of Incorporation will not affect the par value of our common stock, which will remain at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Delaware General Corporation Law, our stockholders are not entitled to dissenters’ rights with respect to the reverse stock split, and we will not independently provide stockholders with any such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our capital stock that is for United States federal income tax purposes:</w:t>
      </w:r>
    </w:p>
    <w:p>
      <w:pPr>
        <w:spacing w:after="0" w:line="170" w:lineRule="exact"/>
        <w:rPr>
          <w:sz w:val="20"/>
          <w:szCs w:val="20"/>
          <w:color w:val="auto"/>
        </w:rPr>
      </w:pPr>
    </w:p>
    <w:p>
      <w:pPr>
        <w:ind w:left="700" w:hanging="341"/>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3" w:lineRule="exact"/>
        <w:rPr>
          <w:rFonts w:ascii="Arial" w:cs="Arial" w:eastAsia="Arial" w:hAnsi="Arial"/>
          <w:sz w:val="18"/>
          <w:szCs w:val="18"/>
          <w:color w:val="auto"/>
        </w:rPr>
      </w:pPr>
    </w:p>
    <w:p>
      <w:pPr>
        <w:ind w:left="700" w:hanging="341"/>
        <w:spacing w:after="0" w:line="250"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or the District of Columbia;</w:t>
      </w:r>
    </w:p>
    <w:p>
      <w:pPr>
        <w:ind w:left="740" w:hanging="381"/>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with income subject to United States federal income tax regardless of its source; or</w:t>
      </w:r>
    </w:p>
    <w:p>
      <w:pPr>
        <w:spacing w:after="0" w:line="9" w:lineRule="exact"/>
        <w:rPr>
          <w:rFonts w:ascii="Arial" w:cs="Arial" w:eastAsia="Arial" w:hAnsi="Arial"/>
          <w:sz w:val="18"/>
          <w:szCs w:val="18"/>
          <w:color w:val="auto"/>
        </w:rPr>
      </w:pPr>
    </w:p>
    <w:p>
      <w:pPr>
        <w:ind w:left="700" w:hanging="341"/>
        <w:spacing w:after="0" w:line="261" w:lineRule="auto"/>
        <w:tabs>
          <w:tab w:leader="none" w:pos="7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that (a) is subject to primary supervision by a United States court and for which United States persons control all substantial decisions or (b) has a valid election in effect under applicable Treasury Regulations to be treated as a United States person.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the Reverse Stock Split Generally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reverse stock split should qualify as a “recapitalization” under Section 368(a)(1)(E) of the Code. Accordingly:</w:t>
      </w:r>
    </w:p>
    <w:p>
      <w:pPr>
        <w:spacing w:after="0" w:line="279" w:lineRule="exact"/>
        <w:rPr>
          <w:sz w:val="20"/>
          <w:szCs w:val="20"/>
          <w:color w:val="auto"/>
        </w:rPr>
      </w:pPr>
    </w:p>
    <w:p>
      <w:pPr>
        <w:ind w:left="640" w:hanging="254"/>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U.S. holder will not recognize any gain or loss as a result of the reverse stock split.</w:t>
      </w:r>
    </w:p>
    <w:p>
      <w:pPr>
        <w:spacing w:after="0" w:line="279" w:lineRule="exact"/>
        <w:rPr>
          <w:rFonts w:ascii="Arial" w:cs="Arial" w:eastAsia="Arial" w:hAnsi="Arial"/>
          <w:sz w:val="18"/>
          <w:szCs w:val="18"/>
          <w:color w:val="auto"/>
        </w:rPr>
      </w:pPr>
    </w:p>
    <w:p>
      <w:pPr>
        <w:ind w:left="640" w:hanging="254"/>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U.S. holder’s aggregate tax basis in his, her or its post-reverse stock split shares will be equal to the aggregate tax basis in the pre-reverse stock split shares exchanged therefor.</w:t>
      </w:r>
    </w:p>
    <w:p>
      <w:pPr>
        <w:spacing w:after="0" w:line="224" w:lineRule="exact"/>
        <w:rPr>
          <w:rFonts w:ascii="Arial" w:cs="Arial" w:eastAsia="Arial" w:hAnsi="Arial"/>
          <w:sz w:val="18"/>
          <w:szCs w:val="18"/>
          <w:color w:val="auto"/>
        </w:rPr>
      </w:pPr>
    </w:p>
    <w:p>
      <w:pPr>
        <w:ind w:left="640" w:hanging="254"/>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U.S. holder’s holding period for the post-reverse stock split shares will include the period during which such stockholder held the pre-reverse stock split shares surrendered in the reverse stock split.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affirmative vote of the holders of a majority of the outstanding shares of our common stock and Series D Preferred Stock voting on an as-converted basis entitled to vote on the matter either in person or by proxy at the annual meeting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THE BOARD OF DIRECTORS RECOMMENDS A VOTE TO AUTHORIZE THE BOARD OF DIRECTORS IN ITS DISCRETION TO AMEND THE AMENDED AND RESTATED CERTIFICATE OF INCORPORATION TO EFFECT A REVERSE STOCK SPLIT OF THE ISSUED AND OUTSTANDING SHARES OF OUR COMMON STOCK (SUCH SPLIT TO COMBINE A NUMBER OF OUTSTANDING SHARES OF OUR COMMON STOCK BETWEEN 5 AND 25, SUCH NUMBER CONSISTING OF ONLY WHOLE SHARES, INTO ONE (1) SHARE OF OUR COMMON STOCK), AND PROXIES SOLICITED BY THE BOARD OF DIRECTORS WILL BE VOTED IN FAVOR OF THE AMENDMENT UNLESS A STOCKHOLDER INDICATES OTHERWISE ON THE PROXY.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line="275" w:lineRule="auto"/>
        <w:rPr>
          <w:sz w:val="20"/>
          <w:szCs w:val="20"/>
          <w:color w:val="auto"/>
        </w:rPr>
      </w:pPr>
      <w:r>
        <w:rPr>
          <w:rFonts w:ascii="Arial" w:cs="Arial" w:eastAsia="Arial" w:hAnsi="Arial"/>
          <w:sz w:val="18"/>
          <w:szCs w:val="18"/>
          <w:b w:val="1"/>
          <w:bCs w:val="1"/>
          <w:color w:val="auto"/>
        </w:rPr>
        <w:t>PROPOSAL 5: ADVISORY VOTE ON APPROVAL OF EXECUTIVE COMPENSATION AS DISCLOSED IN THIS PROXY STATEMENT (Notice Item 5)</w:t>
      </w:r>
    </w:p>
    <w:p>
      <w:pPr>
        <w:spacing w:after="0" w:line="3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2019 annual meeting of stockholders.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27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fixed portion of compensation, in the form of a base salary, to retain and provide a base level of compensation to our named executive officers;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long-term performance element in the form of equity, to incentivize our named executive officers to achieve superior corporate performance.</w:t>
      </w:r>
    </w:p>
    <w:p>
      <w:pPr>
        <w:spacing w:after="0" w:line="2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23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individual performance, including past and expected contribution to our corporate goals and execution of our business plan and strategy;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2018 annual meeting:</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“RESOLVED, that the compensation paid to the named executive officers of XpresSpa Group, Inc., as disclosed pursuant to the compensation disclosure rules of the Securities and Exchange Commission, the compensation tables and the related material disclosed in the proxy statement, is hereby APPROVED.”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affirmative vote of the holders of a majority of the shares of common stock and Series D Preferred Stock voting on an as-converted basis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COMPENSATION OF OUR NAMED EXECUTIVE OFFICERS, AND PROXIES SOLICITED BY THE BOARD OF DIRECTORS WILL BE VOTED IN FAVOR OF SUCH APPROVAL UNLESS A STOCKHOLDER INDICATES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PROPOSAL 6: APPROVAL OF THE ADJOURNMENT OF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NECESSARY, TO SOLICIT ADDITIONAL PROXIES IF THERE ARE NOT SUFFICIENT VOTES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FAVOR OF PROPOSALS 2 THROUGH 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6)</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if necessary, to solicit additional proxies if there are not sufficient votes in favor of Proposals 2 through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Approval of the adjournment of the annual meeting, if necessary, to solicit additional proxies if there are not sufficient votes in favor of the Proposals 2 through 5 requires the affirmative vote of the holders of a majority of the shares of common stock and Series D Preferred Stock present and entitled to vote either in person or by proxy at the annual meeting. A “broker non-vote” or a failure to submit a proxy or vote at the annual meeting will have no effect on the outcome of the vote for this Proposal 6. For purposes of the vote on this Proposal 6, an abstention will have the same effect as a vote “AGAINST” such proposal.</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A VOTE “FOR” THE ADJOURNMENT OF THE ANNUAL MEETING, IF NECESSARY, TO SOLICIT ADDITIONAL PROXIES IF THERE ARE NOT SUFFICIENT VOTES IN FAVOR OF PROPOSALS 2 THROUGH 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PREFERRED STOCKHOLDER PROPOSAL: ELECTION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26, 2018 the Board of Directors nominated Andrew R. Heyer for election by the holders of Series D Preferred Stock at the annual meeting. If he is elected, Mr. Heyer will serve on our Board of Directors until the 2019 annual meeting of stockholders and until his successor has been elected and qualified.</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Unless authority to vote for Mr. Heyer is withheld, the shares represented by the enclosed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as directors of Andrew R. Heyer. In the event that Mr. Heyer becomes unable or unwilling to serve, the shares represented by the enclosed proxy will be voted for the election of such other person as the Board of Directors may recommend in Mr. Heyer’s place. We have no reason to believe that Mr. Heyer will be unable or unwilling to serve as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BOARD OF DIRECTORS DOES NOT MAKE A RECOMMENDATION IN FAVOR OF OR AGAINST THE ELECTION OF ANDREW R. HEYER AS DIRECTOR.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www.xpresspagroup.com</w:t>
      </w:r>
      <w:r>
        <w:rPr>
          <w:rFonts w:ascii="Arial" w:cs="Arial" w:eastAsia="Arial" w:hAnsi="Arial"/>
          <w:sz w:val="16"/>
          <w:szCs w:val="16"/>
          <w:color w:val="auto"/>
        </w:rPr>
        <w:t>, and will</w:t>
      </w:r>
    </w:p>
    <w:p>
      <w:pPr>
        <w:jc w:val="both"/>
        <w:spacing w:after="0" w:line="259" w:lineRule="auto"/>
        <w:rPr>
          <w:sz w:val="20"/>
          <w:szCs w:val="20"/>
          <w:color w:val="auto"/>
        </w:rPr>
      </w:pPr>
      <w:r>
        <w:rPr>
          <w:rFonts w:ascii="Arial" w:cs="Arial" w:eastAsia="Arial" w:hAnsi="Arial"/>
          <w:sz w:val="16"/>
          <w:szCs w:val="16"/>
          <w:color w:val="auto"/>
        </w:rPr>
        <w:t>be made available to stockholders without charge, upon request, in writing to the Corporate Secretary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be considered for inclusion in the proxy statement relating to our 2019 annual meeting of stockholders, we must receive stockholder proposals (other than for director nominations) no later than April 11, 2019, which is 120 days prior to the date that is one year from this year’s mailing date. To be considered for presentation at the 2019 annual meeting, although not included in the proxy statement, proposals (including director nominations that are not requested to be included in our proxy statement) must be received no earlier than May 26, 2018, which is 75 days prior to the date that is one year from this year’s mailing date and no later than June 25, 2018, which is 45 days prior to the date that is one year from this year’s mailing date. Proposals that are not received in a timely manner will not be voted on at the 2018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Tracy Oats at Broadridge Financial Solutions, Inc., 51 Mercedes Way, Edgewood, New Jersey 11717.</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July 27,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APPENDIX A – PROXY BALLOTS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B – TEXT OF CERTIFICATE OF AMENDMENT FOR REVERSE STOCK SPLIT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x"/>
      <w:numFmt w:val="bullet"/>
      <w:start w:val="1"/>
    </w:lvl>
  </w:abstractNum>
  <w:abstractNum w:abstractNumId="3">
    <w:nsid w:val="62BBD95A"/>
    <w:multiLevelType w:val="hybridMultilevel"/>
    <w:lvl w:ilvl="0">
      <w:lvlJc w:val="left"/>
      <w:lvlText w:val="o"/>
      <w:numFmt w:val="bullet"/>
      <w:start w:val="1"/>
    </w:lvl>
    <w:lvl w:ilvl="1">
      <w:lvlJc w:val="left"/>
      <w:lvlText w:val="%2)"/>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0"/>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1)"/>
      <w:numFmt w:val="lowerRoman"/>
      <w:start w:val="2"/>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4"/>
    </w:lvl>
  </w:abstractNum>
  <w:abstractNum w:abstractNumId="32">
    <w:nsid w:val="419AC241"/>
    <w:multiLevelType w:val="hybridMultilevel"/>
    <w:lvl w:ilvl="0">
      <w:lvlJc w:val="left"/>
      <w:lvlText w:val="(%1)"/>
      <w:numFmt w:val="lowerRoman"/>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2019-12-07T10:18:24Z</dcterms:created>
  <dcterms:modified xsi:type="dcterms:W3CDTF">2019-12-07T10:18:24Z</dcterms:modified>
</cp:coreProperties>
</file>