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00" w:right="1920" w:hanging="3892"/>
        <w:spacing w:after="0" w:line="476" w:lineRule="auto"/>
        <w:tabs>
          <w:tab w:leader="none" w:pos="35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2012</w:t>
      </w:r>
    </w:p>
    <w:p>
      <w:pPr>
        <w:spacing w:after="0" w:line="3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3"/>
          </w:tcPr>
          <w:p>
            <w:pPr>
              <w:ind w:left="3860"/>
              <w:spacing w:after="0"/>
              <w:rPr>
                <w:sz w:val="20"/>
                <w:szCs w:val="20"/>
                <w:color w:val="auto"/>
              </w:rPr>
            </w:pPr>
            <w:r>
              <w:rPr>
                <w:rFonts w:ascii="Arial" w:cs="Arial" w:eastAsia="Arial" w:hAnsi="Arial"/>
                <w:sz w:val="18"/>
                <w:szCs w:val="18"/>
                <w:b w:val="1"/>
                <w:bCs w:val="1"/>
                <w:color w:val="auto"/>
              </w:rPr>
              <w:t>For the transition period from</w:t>
            </w:r>
          </w:p>
        </w:tc>
        <w:tc>
          <w:tcPr>
            <w:tcW w:w="4780" w:type="dxa"/>
            <w:vAlign w:val="bottom"/>
          </w:tcPr>
          <w:p>
            <w:pPr>
              <w:ind w:left="180"/>
              <w:spacing w:after="0"/>
              <w:rPr>
                <w:sz w:val="20"/>
                <w:szCs w:val="20"/>
                <w:color w:val="auto"/>
              </w:rPr>
            </w:pPr>
            <w:r>
              <w:rPr>
                <w:rFonts w:ascii="Arial" w:cs="Arial" w:eastAsia="Arial" w:hAnsi="Arial"/>
                <w:sz w:val="18"/>
                <w:szCs w:val="18"/>
                <w:b w:val="1"/>
                <w:bCs w:val="1"/>
                <w:color w:val="auto"/>
              </w:rPr>
              <w:t>to</w:t>
            </w:r>
          </w:p>
        </w:tc>
      </w:tr>
      <w:tr>
        <w:trPr>
          <w:trHeight w:val="432"/>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Commission file number: 001-34785</w:t>
            </w:r>
          </w:p>
        </w:tc>
      </w:tr>
      <w:tr>
        <w:trPr>
          <w:trHeight w:val="441"/>
        </w:trPr>
        <w:tc>
          <w:tcPr>
            <w:tcW w:w="6640" w:type="dxa"/>
            <w:vAlign w:val="bottom"/>
            <w:gridSpan w:val="3"/>
          </w:tcPr>
          <w:p>
            <w:pPr>
              <w:jc w:val="center"/>
              <w:ind w:left="4708"/>
              <w:spacing w:after="0"/>
              <w:rPr>
                <w:sz w:val="20"/>
                <w:szCs w:val="20"/>
                <w:color w:val="auto"/>
              </w:rPr>
            </w:pPr>
            <w:r>
              <w:rPr>
                <w:rFonts w:ascii="Arial" w:cs="Arial" w:eastAsia="Arial" w:hAnsi="Arial"/>
                <w:sz w:val="22"/>
                <w:szCs w:val="22"/>
                <w:b w:val="1"/>
                <w:bCs w:val="1"/>
                <w:color w:val="auto"/>
              </w:rPr>
              <w:t>VRINGO, INC.</w:t>
            </w:r>
          </w:p>
        </w:tc>
        <w:tc>
          <w:tcPr>
            <w:tcW w:w="4780" w:type="dxa"/>
            <w:vAlign w:val="bottom"/>
          </w:tcPr>
          <w:p>
            <w:pPr>
              <w:spacing w:after="0"/>
              <w:rPr>
                <w:sz w:val="24"/>
                <w:szCs w:val="24"/>
                <w:color w:val="auto"/>
              </w:rPr>
            </w:pPr>
          </w:p>
        </w:tc>
      </w:tr>
      <w:tr>
        <w:trPr>
          <w:trHeight w:val="234"/>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r>
      <w:tr>
        <w:trPr>
          <w:trHeight w:val="432"/>
        </w:trPr>
        <w:tc>
          <w:tcPr>
            <w:tcW w:w="664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3"/>
              </w:rPr>
              <w:t>Delaware</w:t>
            </w:r>
          </w:p>
        </w:tc>
        <w:tc>
          <w:tcPr>
            <w:tcW w:w="4780" w:type="dxa"/>
            <w:vAlign w:val="bottom"/>
          </w:tcPr>
          <w:p>
            <w:pPr>
              <w:jc w:val="right"/>
              <w:ind w:right="227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6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2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780" w:type="dxa"/>
            <w:vAlign w:val="bottom"/>
            <w:tcBorders>
              <w:top w:val="single" w:sz="8" w:color="auto"/>
            </w:tcBorders>
          </w:tcPr>
          <w:p>
            <w:pPr>
              <w:jc w:val="center"/>
              <w:ind w:right="71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664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1"/>
              </w:rPr>
              <w:t>incorporation or organization)</w:t>
            </w:r>
          </w:p>
        </w:tc>
        <w:tc>
          <w:tcPr>
            <w:tcW w:w="4780" w:type="dxa"/>
            <w:vAlign w:val="bottom"/>
          </w:tcPr>
          <w:p>
            <w:pPr>
              <w:jc w:val="center"/>
              <w:ind w:right="730"/>
              <w:spacing w:after="0"/>
              <w:rPr>
                <w:sz w:val="20"/>
                <w:szCs w:val="20"/>
                <w:color w:val="auto"/>
              </w:rPr>
            </w:pPr>
            <w:r>
              <w:rPr>
                <w:rFonts w:ascii="Arial" w:cs="Arial" w:eastAsia="Arial" w:hAnsi="Arial"/>
                <w:sz w:val="18"/>
                <w:szCs w:val="18"/>
                <w:b w:val="1"/>
                <w:bCs w:val="1"/>
                <w:color w:val="auto"/>
                <w:w w:val="92"/>
              </w:rPr>
              <w:t>Identification No.)</w:t>
            </w:r>
          </w:p>
        </w:tc>
      </w:tr>
      <w:tr>
        <w:trPr>
          <w:trHeight w:val="432"/>
        </w:trPr>
        <w:tc>
          <w:tcPr>
            <w:tcW w:w="664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1"/>
              </w:rPr>
              <w:t>44 W. 28th Street New York, New York</w:t>
            </w:r>
          </w:p>
        </w:tc>
        <w:tc>
          <w:tcPr>
            <w:tcW w:w="478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10001</w:t>
            </w:r>
          </w:p>
        </w:tc>
      </w:tr>
      <w:tr>
        <w:trPr>
          <w:trHeight w:val="228"/>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780" w:type="dxa"/>
            <w:vAlign w:val="bottom"/>
            <w:tcBorders>
              <w:top w:val="single" w:sz="8" w:color="auto"/>
            </w:tcBorders>
          </w:tcPr>
          <w:p>
            <w:pPr>
              <w:jc w:val="center"/>
              <w:ind w:right="73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525-4319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5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$0.01 per share</w:t>
            </w: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NYSE Amex</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Warrants to purchase Common Stock</w:t>
            </w: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NYSE Amex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607" w:right="239" w:bottom="1440" w:gutter="0" w:footer="0" w:header="0"/>
        </w:sectPr>
      </w:pPr>
    </w:p>
    <w:p>
      <w:pPr>
        <w:spacing w:after="0" w:line="34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920" w:space="720"/>
            <w:col w:w="4540" w:space="720"/>
            <w:col w:w="2360" w:space="720"/>
            <w:col w:w="440"/>
          </w:cols>
          <w:pgMar w:left="240" w:top="607"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920" w:space="720"/>
            <w:col w:w="160" w:space="100"/>
            <w:col w:w="4280" w:space="720"/>
            <w:col w:w="2360" w:space="720"/>
            <w:col w:w="440"/>
          </w:cols>
          <w:pgMar w:left="240" w:top="607" w:right="239" w:bottom="1440" w:gutter="0" w:footer="0" w:header="0"/>
          <w:type w:val="continuous"/>
        </w:sectPr>
      </w:pPr>
    </w:p>
    <w:p>
      <w:pPr>
        <w:spacing w:after="0" w:line="16" w:lineRule="exact"/>
        <w:rPr>
          <w:sz w:val="24"/>
          <w:szCs w:val="24"/>
          <w:color w:val="auto"/>
        </w:r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92"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20" w:space="180"/>
            <w:col w:w="2420"/>
          </w:cols>
          <w:pgMar w:left="240" w:top="607" w:right="2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As of May 15, 2012, 14,060,424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672465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40" w:type="dxa"/>
            <w:vAlign w:val="bottom"/>
          </w:tcPr>
          <w:p>
            <w:pPr>
              <w:jc w:val="center"/>
              <w:ind w:right="550"/>
              <w:spacing w:after="0"/>
              <w:rPr>
                <w:sz w:val="20"/>
                <w:szCs w:val="20"/>
                <w:color w:val="auto"/>
              </w:rPr>
            </w:pPr>
            <w:r>
              <w:rPr>
                <w:rFonts w:ascii="Arial" w:cs="Arial" w:eastAsia="Arial" w:hAnsi="Arial"/>
                <w:sz w:val="18"/>
                <w:szCs w:val="18"/>
                <w:b w:val="1"/>
                <w:bCs w:val="1"/>
                <w:color w:val="auto"/>
              </w:rPr>
              <w:t>VRINGO, INC.</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40" w:type="dxa"/>
            <w:vAlign w:val="bottom"/>
          </w:tcPr>
          <w:p>
            <w:pPr>
              <w:jc w:val="center"/>
              <w:ind w:right="55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96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640" w:type="dxa"/>
            <w:vAlign w:val="bottom"/>
            <w:shd w:val="clear" w:color="auto" w:fill="CCFFCC"/>
          </w:tcPr>
          <w:p>
            <w:pPr>
              <w:ind w:left="580"/>
              <w:spacing w:after="0"/>
              <w:rPr>
                <w:sz w:val="20"/>
                <w:szCs w:val="20"/>
                <w:color w:val="auto"/>
              </w:rPr>
            </w:pPr>
            <w:r>
              <w:rPr>
                <w:rFonts w:ascii="Arial" w:cs="Arial" w:eastAsia="Arial" w:hAnsi="Arial"/>
                <w:sz w:val="18"/>
                <w:szCs w:val="18"/>
                <w:color w:val="auto"/>
              </w:rPr>
              <w:t>Financial Statements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tcPr>
          <w:p>
            <w:pPr>
              <w:ind w:left="5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640" w:type="dxa"/>
            <w:vAlign w:val="bottom"/>
            <w:shd w:val="clear" w:color="auto" w:fill="CCFFCC"/>
          </w:tcPr>
          <w:p>
            <w:pPr>
              <w:ind w:left="58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tcPr>
          <w:p>
            <w:pPr>
              <w:ind w:left="580"/>
              <w:spacing w:after="0"/>
              <w:rPr>
                <w:sz w:val="20"/>
                <w:szCs w:val="20"/>
                <w:color w:val="auto"/>
              </w:rPr>
            </w:pPr>
            <w:r>
              <w:rPr>
                <w:rFonts w:ascii="Arial" w:cs="Arial" w:eastAsia="Arial" w:hAnsi="Arial"/>
                <w:sz w:val="18"/>
                <w:szCs w:val="18"/>
                <w:color w:val="auto"/>
              </w:rPr>
              <w:t>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40" w:type="dxa"/>
            <w:vAlign w:val="bottom"/>
            <w:gridSpan w:val="2"/>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2"/>
          </w:tcPr>
          <w:p>
            <w:pPr>
              <w:spacing w:after="0"/>
              <w:rPr>
                <w:sz w:val="20"/>
                <w:szCs w:val="20"/>
                <w:color w:val="auto"/>
              </w:rPr>
            </w:pPr>
            <w:r>
              <w:rPr>
                <w:rFonts w:ascii="Arial" w:cs="Arial" w:eastAsia="Arial" w:hAnsi="Arial"/>
                <w:sz w:val="18"/>
                <w:szCs w:val="18"/>
                <w:color w:val="auto"/>
              </w:rPr>
              <w:t>PART II. 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96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tcPr>
          <w:p>
            <w:pPr>
              <w:ind w:left="58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640" w:type="dxa"/>
            <w:vAlign w:val="bottom"/>
            <w:shd w:val="clear" w:color="auto" w:fill="CCFFCC"/>
          </w:tcPr>
          <w:p>
            <w:pPr>
              <w:ind w:left="58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tcPr>
          <w:p>
            <w:pPr>
              <w:ind w:left="58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640" w:type="dxa"/>
            <w:vAlign w:val="bottom"/>
            <w:shd w:val="clear" w:color="auto" w:fill="CCFFCC"/>
          </w:tcPr>
          <w:p>
            <w:pPr>
              <w:ind w:left="580"/>
              <w:spacing w:after="0"/>
              <w:rPr>
                <w:sz w:val="20"/>
                <w:szCs w:val="20"/>
                <w:color w:val="auto"/>
              </w:rPr>
            </w:pPr>
            <w:r>
              <w:rPr>
                <w:rFonts w:ascii="Arial" w:cs="Arial" w:eastAsia="Arial" w:hAnsi="Arial"/>
                <w:sz w:val="18"/>
                <w:szCs w:val="18"/>
                <w:color w:val="auto"/>
              </w:rPr>
              <w:t>Defaults Upon Senior Securities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tcPr>
          <w:p>
            <w:pPr>
              <w:ind w:left="580"/>
              <w:spacing w:after="0"/>
              <w:rPr>
                <w:sz w:val="20"/>
                <w:szCs w:val="20"/>
                <w:color w:val="auto"/>
              </w:rPr>
            </w:pPr>
            <w:r>
              <w:rPr>
                <w:rFonts w:ascii="Arial" w:cs="Arial" w:eastAsia="Arial" w:hAnsi="Arial"/>
                <w:sz w:val="18"/>
                <w:szCs w:val="18"/>
                <w:color w:val="auto"/>
              </w:rPr>
              <w:t>Mine Safety Disclosures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640" w:type="dxa"/>
            <w:vAlign w:val="bottom"/>
            <w:shd w:val="clear" w:color="auto" w:fill="CCFFCC"/>
          </w:tcPr>
          <w:p>
            <w:pPr>
              <w:ind w:left="58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6.</w:t>
            </w:r>
          </w:p>
        </w:tc>
        <w:tc>
          <w:tcPr>
            <w:tcW w:w="9640" w:type="dxa"/>
            <w:vAlign w:val="bottom"/>
          </w:tcPr>
          <w:p>
            <w:pPr>
              <w:ind w:left="580"/>
              <w:spacing w:after="0"/>
              <w:rPr>
                <w:sz w:val="20"/>
                <w:szCs w:val="20"/>
                <w:color w:val="auto"/>
              </w:rPr>
            </w:pPr>
            <w:r>
              <w:rPr>
                <w:rFonts w:ascii="Arial" w:cs="Arial" w:eastAsia="Arial" w:hAnsi="Arial"/>
                <w:sz w:val="18"/>
                <w:szCs w:val="18"/>
                <w:color w:val="auto"/>
              </w:rPr>
              <w:t>Exhibits</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640" w:type="dxa"/>
            <w:vAlign w:val="bottom"/>
            <w:tcBorders>
              <w:bottom w:val="single" w:sz="8" w:color="auto"/>
            </w:tcBorders>
          </w:tcPr>
          <w:p>
            <w:pPr>
              <w:jc w:val="center"/>
              <w:ind w:right="570"/>
              <w:spacing w:after="0"/>
              <w:rPr>
                <w:sz w:val="20"/>
                <w:szCs w:val="20"/>
                <w:color w:val="auto"/>
              </w:rPr>
            </w:pPr>
            <w:r>
              <w:rPr>
                <w:rFonts w:ascii="Arial" w:cs="Arial" w:eastAsia="Arial" w:hAnsi="Arial"/>
                <w:sz w:val="18"/>
                <w:szCs w:val="18"/>
                <w:color w:val="auto"/>
                <w:w w:val="99"/>
              </w:rPr>
              <w:t>2</w:t>
            </w: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80" w:type="dxa"/>
            <w:vAlign w:val="bottom"/>
          </w:tcPr>
          <w:p>
            <w:pPr>
              <w:jc w:val="center"/>
              <w:ind w:left="1870"/>
              <w:spacing w:after="0"/>
              <w:rPr>
                <w:sz w:val="20"/>
                <w:szCs w:val="20"/>
                <w:color w:val="auto"/>
              </w:rPr>
            </w:pPr>
            <w:r>
              <w:rPr>
                <w:rFonts w:ascii="Arial" w:cs="Arial" w:eastAsia="Arial" w:hAnsi="Arial"/>
                <w:sz w:val="18"/>
                <w:szCs w:val="18"/>
                <w:b w:val="1"/>
                <w:bCs w:val="1"/>
                <w:color w:val="auto"/>
              </w:rPr>
              <w:t>Part I — FINANCIAL INFORMATION</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80" w:type="dxa"/>
            <w:vAlign w:val="bottom"/>
          </w:tcPr>
          <w:p>
            <w:pPr>
              <w:jc w:val="center"/>
              <w:ind w:left="1870"/>
              <w:spacing w:after="0"/>
              <w:rPr>
                <w:sz w:val="20"/>
                <w:szCs w:val="20"/>
                <w:color w:val="auto"/>
              </w:rPr>
            </w:pPr>
            <w:r>
              <w:rPr>
                <w:rFonts w:ascii="Arial" w:cs="Arial" w:eastAsia="Arial" w:hAnsi="Arial"/>
                <w:sz w:val="18"/>
                <w:szCs w:val="18"/>
                <w:b w:val="1"/>
                <w:bCs w:val="1"/>
                <w:color w:val="auto"/>
                <w:w w:val="91"/>
              </w:rPr>
              <w:t>Vringo, Inc. and Subsidiary</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8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(a Development Stage Company)</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8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CONSOLIDATED BALANCE SHEETS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80" w:type="dxa"/>
            <w:vAlign w:val="bottom"/>
          </w:tcPr>
          <w:p>
            <w:pPr>
              <w:jc w:val="center"/>
              <w:ind w:left="1850"/>
              <w:spacing w:after="0"/>
              <w:rPr>
                <w:sz w:val="20"/>
                <w:szCs w:val="20"/>
                <w:color w:val="auto"/>
              </w:rPr>
            </w:pPr>
            <w:r>
              <w:rPr>
                <w:rFonts w:ascii="Arial" w:cs="Arial" w:eastAsia="Arial" w:hAnsi="Arial"/>
                <w:sz w:val="18"/>
                <w:szCs w:val="18"/>
                <w:b w:val="1"/>
                <w:bCs w:val="1"/>
                <w:color w:val="auto"/>
                <w:w w:val="93"/>
              </w:rPr>
              <w:t>(Unaudited)</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80" w:type="dxa"/>
            <w:vAlign w:val="bottom"/>
          </w:tcPr>
          <w:p>
            <w:pPr>
              <w:jc w:val="center"/>
              <w:ind w:left="18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March 31,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bottom w:val="single" w:sz="8" w:color="CCFFCC"/>
            </w:tcBorders>
          </w:tcPr>
          <w:p>
            <w:pPr>
              <w:spacing w:after="0"/>
              <w:rPr>
                <w:sz w:val="18"/>
                <w:szCs w:val="18"/>
                <w:color w:val="auto"/>
              </w:rPr>
            </w:pPr>
          </w:p>
        </w:tc>
        <w:tc>
          <w:tcPr>
            <w:tcW w:w="7680" w:type="dxa"/>
            <w:vAlign w:val="bottom"/>
            <w:tcBorders>
              <w:bottom w:val="single" w:sz="8" w:color="CCFFCC"/>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20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3,630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Accounts receivable</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152</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Borders>
              <w:top w:val="single" w:sz="8" w:color="CCFFCC"/>
            </w:tcBorders>
            <w:shd w:val="clear" w:color="auto" w:fill="CCFFCC"/>
          </w:tcPr>
          <w:p>
            <w:pPr>
              <w:spacing w:after="0"/>
              <w:rPr>
                <w:sz w:val="18"/>
                <w:szCs w:val="18"/>
                <w:color w:val="auto"/>
              </w:rPr>
            </w:pPr>
          </w:p>
        </w:tc>
        <w:tc>
          <w:tcPr>
            <w:tcW w:w="768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3,926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Borders>
              <w:top w:val="single" w:sz="8" w:color="CCFFCC"/>
            </w:tcBorders>
            <w:shd w:val="clear" w:color="auto" w:fill="CCFFCC"/>
          </w:tcPr>
          <w:p>
            <w:pPr>
              <w:spacing w:after="0"/>
              <w:rPr>
                <w:sz w:val="18"/>
                <w:szCs w:val="18"/>
                <w:color w:val="auto"/>
              </w:rPr>
            </w:pPr>
          </w:p>
        </w:tc>
        <w:tc>
          <w:tcPr>
            <w:tcW w:w="768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Long-term deposit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60" w:type="dxa"/>
            <w:vAlign w:val="bottom"/>
            <w:tcBorders>
              <w:top w:val="single" w:sz="8" w:color="CCFFCC"/>
            </w:tcBorders>
            <w:gridSpan w:val="2"/>
            <w:shd w:val="clear" w:color="auto" w:fill="CCFFCC"/>
          </w:tcPr>
          <w:p>
            <w:pPr>
              <w:spacing w:after="0" w:line="182" w:lineRule="exact"/>
              <w:rPr>
                <w:sz w:val="20"/>
                <w:szCs w:val="20"/>
                <w:color w:val="auto"/>
              </w:rPr>
            </w:pPr>
            <w:r>
              <w:rPr>
                <w:rFonts w:ascii="Arial" w:cs="Arial" w:eastAsia="Arial" w:hAnsi="Arial"/>
                <w:sz w:val="18"/>
                <w:szCs w:val="18"/>
                <w:b w:val="1"/>
                <w:bCs w:val="1"/>
                <w:color w:val="auto"/>
                <w:w w:val="91"/>
              </w:rPr>
              <w:t>Property and equipment</w:t>
            </w:r>
            <w:r>
              <w:rPr>
                <w:rFonts w:ascii="Arial" w:cs="Arial" w:eastAsia="Arial" w:hAnsi="Arial"/>
                <w:sz w:val="18"/>
                <w:szCs w:val="18"/>
                <w:color w:val="auto"/>
                <w:w w:val="91"/>
              </w:rPr>
              <w:t>, at cost, net of $470 and $454 accumulated depreciation and amortization, as of March 31,</w:t>
            </w:r>
          </w:p>
        </w:tc>
        <w:tc>
          <w:tcPr>
            <w:tcW w:w="1280" w:type="dxa"/>
            <w:vAlign w:val="bottom"/>
            <w:tcBorders>
              <w:top w:val="single" w:sz="8" w:color="auto"/>
            </w:tcBorders>
            <w:shd w:val="clear" w:color="auto" w:fill="CCFFCC"/>
          </w:tcPr>
          <w:p>
            <w:pPr>
              <w:spacing w:after="0"/>
              <w:rPr>
                <w:sz w:val="15"/>
                <w:szCs w:val="15"/>
                <w:color w:val="auto"/>
              </w:rPr>
            </w:pPr>
          </w:p>
        </w:tc>
        <w:tc>
          <w:tcPr>
            <w:tcW w:w="200" w:type="dxa"/>
            <w:vAlign w:val="bottom"/>
            <w:tcBorders>
              <w:top w:val="single" w:sz="8" w:color="CCFFCC"/>
            </w:tcBorders>
            <w:shd w:val="clear" w:color="auto" w:fill="CCFFCC"/>
          </w:tcPr>
          <w:p>
            <w:pPr>
              <w:spacing w:after="0"/>
              <w:rPr>
                <w:sz w:val="15"/>
                <w:szCs w:val="15"/>
                <w:color w:val="auto"/>
              </w:rPr>
            </w:pPr>
          </w:p>
        </w:tc>
        <w:tc>
          <w:tcPr>
            <w:tcW w:w="126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5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2012 and December 31, 2011, respectively</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133</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Deferred tax assets—long-term</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w w:val="82"/>
              </w:rPr>
              <w:t>Total assets</w:t>
            </w:r>
          </w:p>
        </w:tc>
        <w:tc>
          <w:tcPr>
            <w:tcW w:w="7680" w:type="dxa"/>
            <w:vAlign w:val="bottom"/>
            <w:tcBorders>
              <w:bottom w:val="single" w:sz="8" w:color="CCFFCC"/>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4,067</w:t>
            </w:r>
          </w:p>
        </w:tc>
        <w:tc>
          <w:tcPr>
            <w:tcW w:w="20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7560" w:type="dxa"/>
            <w:vAlign w:val="bottom"/>
          </w:tcPr>
          <w:p>
            <w:pPr>
              <w:spacing w:after="0"/>
              <w:rPr>
                <w:sz w:val="20"/>
                <w:szCs w:val="20"/>
                <w:color w:val="auto"/>
              </w:rPr>
            </w:pPr>
          </w:p>
        </w:tc>
        <w:tc>
          <w:tcPr>
            <w:tcW w:w="6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Note</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60" w:type="dxa"/>
            <w:vAlign w:val="bottom"/>
            <w:tcBorders>
              <w:bottom w:val="single" w:sz="8" w:color="CCFFCC"/>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CCFFCC"/>
            </w:tcBorders>
          </w:tcPr>
          <w:p>
            <w:pPr>
              <w:spacing w:after="0"/>
              <w:rPr>
                <w:sz w:val="18"/>
                <w:szCs w:val="18"/>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U.S.$</w:t>
            </w:r>
          </w:p>
        </w:tc>
        <w:tc>
          <w:tcPr>
            <w:tcW w:w="20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100" w:type="dxa"/>
            <w:vAlign w:val="bottom"/>
            <w:tcBorders>
              <w:bottom w:val="single" w:sz="8" w:color="CCFFC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Deferred tax liabilities, net</w:t>
            </w:r>
            <w:r>
              <w:rPr>
                <w:rFonts w:ascii="Arial" w:cs="Arial" w:eastAsia="Arial" w:hAnsi="Arial"/>
                <w:sz w:val="18"/>
                <w:szCs w:val="18"/>
                <w:b w:val="1"/>
                <w:bCs w:val="1"/>
                <w:color w:val="auto"/>
              </w:rPr>
              <w:t>—</w:t>
            </w:r>
            <w:r>
              <w:rPr>
                <w:rFonts w:ascii="Arial" w:cs="Arial" w:eastAsia="Arial" w:hAnsi="Arial"/>
                <w:sz w:val="18"/>
                <w:szCs w:val="18"/>
                <w:color w:val="auto"/>
              </w:rPr>
              <w:t>short-term</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617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Accrued employee compensation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Accrued short-term severance pay</w:t>
            </w:r>
          </w:p>
        </w:tc>
        <w:tc>
          <w:tcPr>
            <w:tcW w:w="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233</w:t>
            </w: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FFCC"/>
            </w:tcBorders>
          </w:tcPr>
          <w:p>
            <w:pPr>
              <w:spacing w:after="0"/>
              <w:rPr>
                <w:sz w:val="18"/>
                <w:szCs w:val="18"/>
                <w:color w:val="auto"/>
              </w:rPr>
            </w:pPr>
          </w:p>
        </w:tc>
        <w:tc>
          <w:tcPr>
            <w:tcW w:w="26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1,210</w:t>
            </w:r>
          </w:p>
        </w:tc>
        <w:tc>
          <w:tcPr>
            <w:tcW w:w="20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Long-term liabilities</w:t>
            </w:r>
          </w:p>
        </w:tc>
        <w:tc>
          <w:tcPr>
            <w:tcW w:w="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Accrued severance pay</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Derivative liabilities on account of warrants</w:t>
            </w:r>
          </w:p>
        </w:tc>
        <w:tc>
          <w:tcPr>
            <w:tcW w:w="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1,836</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2,172</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2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Total long-term liabilities</w:t>
            </w:r>
          </w:p>
        </w:tc>
        <w:tc>
          <w:tcPr>
            <w:tcW w:w="140" w:type="dxa"/>
            <w:vAlign w:val="bottom"/>
            <w:tcBorders>
              <w:bottom w:val="single" w:sz="8" w:color="CCFFCC"/>
            </w:tcBorders>
          </w:tcPr>
          <w:p>
            <w:pPr>
              <w:spacing w:after="0"/>
              <w:rPr>
                <w:sz w:val="18"/>
                <w:szCs w:val="18"/>
                <w:color w:val="auto"/>
              </w:rPr>
            </w:pPr>
          </w:p>
        </w:tc>
        <w:tc>
          <w:tcPr>
            <w:tcW w:w="26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1,836</w:t>
            </w:r>
          </w:p>
        </w:tc>
        <w:tc>
          <w:tcPr>
            <w:tcW w:w="20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Commitments and contingencies</w:t>
            </w:r>
          </w:p>
        </w:tc>
        <w:tc>
          <w:tcPr>
            <w:tcW w:w="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 (deficit)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2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Preferred stock, $0.01 par value per share; 5,000,000 authorized; none issued and outstanding as of</w:t>
            </w:r>
          </w:p>
        </w:tc>
        <w:tc>
          <w:tcPr>
            <w:tcW w:w="1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March 31, 2012 and December 31, 2011, respectively</w:t>
            </w:r>
          </w:p>
        </w:tc>
        <w:tc>
          <w:tcPr>
            <w:tcW w:w="1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22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$0.01 par value per share 28,000,000 authorized; 13,866,423 and 9,954,516 issued</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139</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and outstanding as of March 31, 2012 and December 31, 2011, respectively</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44,072</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36,281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Deficit accumulated during the development stage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(43,190)</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(37,546)</w:t>
            </w:r>
          </w:p>
        </w:tc>
        <w:tc>
          <w:tcPr>
            <w:tcW w:w="0" w:type="dxa"/>
            <w:vAlign w:val="bottom"/>
          </w:tcPr>
          <w:p>
            <w:pPr>
              <w:spacing w:after="0"/>
              <w:rPr>
                <w:sz w:val="1"/>
                <w:szCs w:val="1"/>
                <w:color w:val="auto"/>
              </w:rPr>
            </w:pPr>
          </w:p>
        </w:tc>
      </w:tr>
      <w:tr>
        <w:trPr>
          <w:trHeight w:val="210"/>
        </w:trPr>
        <w:tc>
          <w:tcPr>
            <w:tcW w:w="82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1,021</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Borders>
              <w:top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4,067</w:t>
            </w:r>
          </w:p>
        </w:tc>
        <w:tc>
          <w:tcPr>
            <w:tcW w:w="2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00" w:right="2500" w:hanging="2492"/>
        <w:spacing w:after="0" w:line="624" w:lineRule="auto"/>
        <w:tabs>
          <w:tab w:leader="none" w:pos="233" w:val="left"/>
        </w:tabs>
        <w:numPr>
          <w:ilvl w:val="0"/>
          <w:numId w:val="3"/>
        </w:numPr>
        <w:rPr>
          <w:rFonts w:ascii="Arial" w:cs="Arial" w:eastAsia="Arial" w:hAnsi="Arial"/>
          <w:sz w:val="16"/>
          <w:szCs w:val="16"/>
          <w:color w:val="auto"/>
        </w:rPr>
      </w:pPr>
      <w:r>
        <w:rPr>
          <w:rFonts w:ascii="Arial" w:cs="Arial" w:eastAsia="Arial" w:hAnsi="Arial"/>
          <w:sz w:val="16"/>
          <w:szCs w:val="16"/>
          <w:color w:val="auto"/>
        </w:rPr>
        <w:t>Amounts recorded as of March 31, 2012 and December 31, 2011 include $12 and $10 to a related party, respectively. The accompanying notes form an integral part of these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4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4"/>
              </w:rPr>
              <w:t>For three month period ended March 31,</w:t>
            </w: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from inception to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8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Note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8"/>
              </w:rPr>
              <w:t>March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FFCC"/>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U.S.$</w:t>
            </w:r>
          </w:p>
        </w:tc>
        <w:tc>
          <w:tcPr>
            <w:tcW w:w="240" w:type="dxa"/>
            <w:vAlign w:val="bottom"/>
            <w:tcBorders>
              <w:bottom w:val="single" w:sz="8" w:color="CCFFCC"/>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U.S.$</w:t>
            </w:r>
          </w:p>
        </w:tc>
        <w:tc>
          <w:tcPr>
            <w:tcW w:w="220" w:type="dxa"/>
            <w:vAlign w:val="bottom"/>
            <w:tcBorders>
              <w:bottom w:val="single" w:sz="8" w:color="CCFFCC"/>
            </w:tcBorders>
          </w:tcPr>
          <w:p>
            <w:pPr>
              <w:spacing w:after="0"/>
              <w:rPr>
                <w:sz w:val="18"/>
                <w:szCs w:val="18"/>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Borders>
              <w:bottom w:val="single" w:sz="8" w:color="CCFFC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Revenue</w:t>
            </w:r>
          </w:p>
        </w:tc>
        <w:tc>
          <w:tcPr>
            <w:tcW w:w="88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240" w:type="dxa"/>
            <w:vAlign w:val="bottom"/>
            <w:shd w:val="clear" w:color="auto" w:fill="CCFFCC"/>
          </w:tcPr>
          <w:p>
            <w:pPr>
              <w:spacing w:after="0"/>
              <w:rPr>
                <w:sz w:val="19"/>
                <w:szCs w:val="19"/>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FFCC"/>
          </w:tcPr>
          <w:p>
            <w:pPr>
              <w:spacing w:after="0"/>
              <w:rPr>
                <w:sz w:val="19"/>
                <w:szCs w:val="19"/>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1,055</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31</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512</w:t>
            </w: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519</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13,883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Marketing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759</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621</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7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1,460</w:t>
            </w: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665</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9,729</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2,762</w:t>
            </w:r>
          </w:p>
        </w:tc>
        <w:tc>
          <w:tcPr>
            <w:tcW w:w="240" w:type="dxa"/>
            <w:vAlign w:val="bottom"/>
            <w:tcBorders>
              <w:bottom w:val="single" w:sz="8" w:color="CCFFCC"/>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220" w:type="dxa"/>
            <w:vAlign w:val="bottom"/>
            <w:tcBorders>
              <w:bottom w:val="single" w:sz="8" w:color="CCFFCC"/>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35,979</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Operating loss</w:t>
            </w:r>
          </w:p>
        </w:tc>
        <w:tc>
          <w:tcPr>
            <w:tcW w:w="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(2,656</w:t>
            </w:r>
          </w:p>
        </w:tc>
        <w:tc>
          <w:tcPr>
            <w:tcW w:w="240" w:type="dxa"/>
            <w:vAlign w:val="bottom"/>
            <w:shd w:val="clear" w:color="auto" w:fill="CCFFCC"/>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(1,683</w:t>
            </w:r>
          </w:p>
        </w:tc>
        <w:tc>
          <w:tcPr>
            <w:tcW w:w="22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(34,924</w:t>
            </w:r>
          </w:p>
        </w:tc>
        <w:tc>
          <w:tcPr>
            <w:tcW w:w="1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Non-operating income</w:t>
            </w:r>
          </w:p>
        </w:tc>
        <w:tc>
          <w:tcPr>
            <w:tcW w:w="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13</w:t>
            </w: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Non-operating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and amortization of debt discount expense</w:t>
            </w:r>
          </w:p>
        </w:tc>
        <w:tc>
          <w:tcPr>
            <w:tcW w:w="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(110)</w:t>
            </w:r>
          </w:p>
        </w:tc>
        <w:tc>
          <w:tcPr>
            <w:tcW w:w="14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Gain (loss) on revaluation of warrants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(411)</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708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Issuance of preferential reload warrants</w:t>
            </w:r>
          </w:p>
        </w:tc>
        <w:tc>
          <w:tcPr>
            <w:tcW w:w="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17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(1,476)</w:t>
            </w: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Issuance of non-preferential reload warrants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(1,091)</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Gain on restructuring of venture loan</w:t>
            </w:r>
          </w:p>
        </w:tc>
        <w:tc>
          <w:tcPr>
            <w:tcW w:w="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963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Loss before taxes on income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(5,624)</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(1,091)</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(43,051)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240" w:type="dxa"/>
            <w:vAlign w:val="bottom"/>
            <w:tcBorders>
              <w:top w:val="single" w:sz="8" w:color="CCFFCC"/>
            </w:tcBorders>
            <w:shd w:val="clear" w:color="auto" w:fill="CCFFCC"/>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loss</w:t>
            </w:r>
          </w:p>
        </w:tc>
        <w:tc>
          <w:tcPr>
            <w:tcW w:w="3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7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(5,644)</w:t>
            </w:r>
          </w:p>
        </w:tc>
        <w:tc>
          <w:tcPr>
            <w:tcW w:w="1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(1,109)</w:t>
            </w:r>
          </w:p>
        </w:tc>
        <w:tc>
          <w:tcPr>
            <w:tcW w:w="14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(43,190)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FFCC"/>
              <w:bottom w:val="single" w:sz="8" w:color="CCFFCC"/>
            </w:tcBorders>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3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CCFFCC"/>
            </w:tcBorders>
            <w:vMerge w:val="restart"/>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bottom w:val="single" w:sz="8" w:color="CCFFCC"/>
            </w:tcBorders>
            <w:vMerge w:val="restart"/>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bottom w:val="single" w:sz="8" w:color="CCFFCC"/>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bottom w:val="single" w:sz="8" w:color="CCFFCC"/>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100" w:type="dxa"/>
            <w:vAlign w:val="bottom"/>
            <w:tcBorders>
              <w:bottom w:val="single" w:sz="8" w:color="CCFFCC"/>
            </w:tcBorders>
            <w:gridSpan w:val="2"/>
            <w:vMerge w:val="continue"/>
          </w:tcPr>
          <w:p>
            <w:pPr>
              <w:spacing w:after="0"/>
              <w:rPr>
                <w:sz w:val="20"/>
                <w:szCs w:val="20"/>
                <w:color w:val="auto"/>
              </w:rPr>
            </w:pPr>
          </w:p>
        </w:tc>
        <w:tc>
          <w:tcPr>
            <w:tcW w:w="32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vMerge w:val="continue"/>
          </w:tcPr>
          <w:p>
            <w:pPr>
              <w:spacing w:after="0"/>
              <w:rPr>
                <w:sz w:val="20"/>
                <w:szCs w:val="20"/>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(0.46</w:t>
            </w:r>
          </w:p>
        </w:tc>
        <w:tc>
          <w:tcPr>
            <w:tcW w:w="240" w:type="dxa"/>
            <w:vAlign w:val="bottom"/>
            <w:tcBorders>
              <w:bottom w:val="single" w:sz="8" w:color="CCFFCC"/>
            </w:tcBorders>
            <w:vMerge w:val="continue"/>
          </w:tcPr>
          <w:p>
            <w:pPr>
              <w:spacing w:after="0"/>
              <w:rPr>
                <w:sz w:val="20"/>
                <w:szCs w:val="20"/>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220" w:type="dxa"/>
            <w:vAlign w:val="bottom"/>
            <w:tcBorders>
              <w:bottom w:val="single" w:sz="8" w:color="CCFFCC"/>
            </w:tcBorders>
            <w:vMerge w:val="continue"/>
          </w:tcPr>
          <w:p>
            <w:pPr>
              <w:spacing w:after="0"/>
              <w:rPr>
                <w:sz w:val="20"/>
                <w:szCs w:val="20"/>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(19.00</w:t>
            </w:r>
          </w:p>
        </w:tc>
        <w:tc>
          <w:tcPr>
            <w:tcW w:w="100" w:type="dxa"/>
            <w:vAlign w:val="bottom"/>
            <w:tcBorders>
              <w:bottom w:val="single" w:sz="8" w:color="CCFFCC"/>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4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number of shares used in computing basic and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120" w:type="dxa"/>
            <w:vAlign w:val="bottom"/>
            <w:gridSpan w:val="3"/>
          </w:tcPr>
          <w:p>
            <w:pPr>
              <w:spacing w:after="0"/>
              <w:rPr>
                <w:sz w:val="20"/>
                <w:szCs w:val="20"/>
                <w:color w:val="auto"/>
              </w:rPr>
            </w:pPr>
            <w:r>
              <w:rPr>
                <w:rFonts w:ascii="Arial" w:cs="Arial" w:eastAsia="Arial" w:hAnsi="Arial"/>
                <w:sz w:val="18"/>
                <w:szCs w:val="18"/>
                <w:color w:val="auto"/>
              </w:rPr>
              <w:t>dilutive net loss per common share</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12,371,472</w:t>
            </w:r>
          </w:p>
        </w:tc>
        <w:tc>
          <w:tcPr>
            <w:tcW w:w="1440" w:type="dxa"/>
            <w:vAlign w:val="bottom"/>
          </w:tcPr>
          <w:p>
            <w:pPr>
              <w:jc w:val="right"/>
              <w:spacing w:after="0"/>
              <w:rPr>
                <w:sz w:val="20"/>
                <w:szCs w:val="20"/>
                <w:color w:val="auto"/>
              </w:rPr>
            </w:pPr>
            <w:r>
              <w:rPr>
                <w:rFonts w:ascii="Arial" w:cs="Arial" w:eastAsia="Arial" w:hAnsi="Arial"/>
                <w:sz w:val="18"/>
                <w:szCs w:val="18"/>
                <w:color w:val="auto"/>
              </w:rPr>
              <w:t>5,724,253</w:t>
            </w:r>
          </w:p>
        </w:tc>
        <w:tc>
          <w:tcPr>
            <w:tcW w:w="22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2,272,707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right="80" w:hanging="232"/>
        <w:spacing w:after="0" w:line="277"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recorded for the three month period ended March 31, 2012 and 2011 and the cumulative period from inception include $20, $131 and $1,123, respectively, to related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Series A</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3"/>
              </w:rPr>
              <w:t>Deficit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1"/>
              </w:rPr>
              <w:t>accumulated</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2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during the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preferred</w:t>
            </w:r>
          </w:p>
        </w:tc>
        <w:tc>
          <w:tcPr>
            <w:tcW w:w="1240" w:type="dxa"/>
            <w:vAlign w:val="bottom"/>
            <w:gridSpan w:val="2"/>
            <w:vMerge w:val="continue"/>
          </w:tcPr>
          <w:p>
            <w:pPr>
              <w:spacing w:after="0"/>
              <w:rPr>
                <w:sz w:val="14"/>
                <w:szCs w:val="14"/>
                <w:color w:val="auto"/>
              </w:rPr>
            </w:pPr>
          </w:p>
        </w:tc>
        <w:tc>
          <w:tcPr>
            <w:tcW w:w="12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0"/>
              </w:rPr>
              <w:t>development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Common stock</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stock</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paid-in capital</w:t>
            </w:r>
          </w:p>
        </w:tc>
        <w:tc>
          <w:tcPr>
            <w:tcW w:w="122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87"/>
              </w:rPr>
              <w:t>stage</w:t>
            </w:r>
          </w:p>
        </w:tc>
        <w:tc>
          <w:tcPr>
            <w:tcW w:w="112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CCFFCC"/>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CCFFCC"/>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240" w:type="dxa"/>
            <w:vAlign w:val="bottom"/>
            <w:tcBorders>
              <w:bottom w:val="single" w:sz="8" w:color="CCFFCC"/>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U.S.$</w:t>
            </w:r>
          </w:p>
        </w:tc>
        <w:tc>
          <w:tcPr>
            <w:tcW w:w="220" w:type="dxa"/>
            <w:vAlign w:val="bottom"/>
            <w:tcBorders>
              <w:bottom w:val="single" w:sz="8" w:color="CCFFCC"/>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220" w:type="dxa"/>
            <w:vAlign w:val="bottom"/>
            <w:tcBorders>
              <w:bottom w:val="single" w:sz="8" w:color="CCFFCC"/>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Balance as of January 9, 2006 (inception)</w:t>
            </w:r>
          </w:p>
        </w:tc>
        <w:tc>
          <w:tcPr>
            <w:tcW w:w="10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Issuance of series A convertible preferred stock, net of issuance costs of $33</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2,321</w:t>
            </w:r>
          </w:p>
        </w:tc>
        <w:tc>
          <w:tcPr>
            <w:tcW w:w="12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2,321</w:t>
            </w:r>
          </w:p>
        </w:tc>
        <w:tc>
          <w:tcPr>
            <w:tcW w:w="100" w:type="dxa"/>
            <w:vAlign w:val="bottom"/>
            <w:tcBorders>
              <w:left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Stock dividend</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w:t>
            </w:r>
          </w:p>
        </w:tc>
        <w:tc>
          <w:tcPr>
            <w:tcW w:w="12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Grants of stock options, net of forfeitures—employees</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12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tcBorders>
              <w:left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Grants of stock options, net of forfeitures—non employees</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12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CFFCC"/>
          </w:tcPr>
          <w:p>
            <w:pPr>
              <w:spacing w:after="0"/>
              <w:rPr>
                <w:sz w:val="20"/>
                <w:szCs w:val="20"/>
                <w:color w:val="auto"/>
              </w:rPr>
            </w:pPr>
            <w:r>
              <w:rPr>
                <w:rFonts w:ascii="Arial" w:cs="Arial" w:eastAsia="Arial" w:hAnsi="Arial"/>
                <w:sz w:val="14"/>
                <w:szCs w:val="14"/>
                <w:color w:val="auto"/>
              </w:rPr>
              <w:t>Net loss for the period</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88"/>
              <w:spacing w:after="0"/>
              <w:rPr>
                <w:sz w:val="20"/>
                <w:szCs w:val="20"/>
                <w:color w:val="auto"/>
              </w:rPr>
            </w:pPr>
            <w:r>
              <w:rPr>
                <w:rFonts w:ascii="Arial" w:cs="Arial" w:eastAsia="Arial" w:hAnsi="Arial"/>
                <w:sz w:val="14"/>
                <w:szCs w:val="14"/>
                <w:color w:val="auto"/>
              </w:rPr>
              <w:t>(1,481)</w:t>
            </w:r>
          </w:p>
        </w:tc>
        <w:tc>
          <w:tcPr>
            <w:tcW w:w="1120" w:type="dxa"/>
            <w:vAlign w:val="bottom"/>
            <w:gridSpan w:val="2"/>
            <w:shd w:val="clear" w:color="auto" w:fill="CCFFCC"/>
          </w:tcPr>
          <w:p>
            <w:pPr>
              <w:jc w:val="right"/>
              <w:ind w:right="19"/>
              <w:spacing w:after="0"/>
              <w:rPr>
                <w:sz w:val="20"/>
                <w:szCs w:val="20"/>
                <w:color w:val="auto"/>
              </w:rPr>
            </w:pPr>
            <w:r>
              <w:rPr>
                <w:rFonts w:ascii="Arial" w:cs="Arial" w:eastAsia="Arial" w:hAnsi="Arial"/>
                <w:sz w:val="14"/>
                <w:szCs w:val="14"/>
                <w:color w:val="auto"/>
              </w:rPr>
              <w:t>(1,481)</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Balance as of December 31, 2006 (Audited)</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40" w:type="dxa"/>
            <w:vAlign w:val="bottom"/>
            <w:tcBorders>
              <w:bottom w:val="single" w:sz="8" w:color="CCFFCC"/>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w:t>
            </w:r>
          </w:p>
        </w:tc>
        <w:tc>
          <w:tcPr>
            <w:tcW w:w="240" w:type="dxa"/>
            <w:vAlign w:val="bottom"/>
            <w:tcBorders>
              <w:bottom w:val="single" w:sz="8" w:color="CCFFCC"/>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2,288</w:t>
            </w:r>
          </w:p>
        </w:tc>
        <w:tc>
          <w:tcPr>
            <w:tcW w:w="220" w:type="dxa"/>
            <w:vAlign w:val="bottom"/>
            <w:tcBorders>
              <w:bottom w:val="single" w:sz="8" w:color="CCFFCC"/>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(1,481</w:t>
            </w:r>
          </w:p>
        </w:tc>
        <w:tc>
          <w:tcPr>
            <w:tcW w:w="220" w:type="dxa"/>
            <w:vAlign w:val="bottom"/>
            <w:tcBorders>
              <w:bottom w:val="single" w:sz="8" w:color="CCFFCC"/>
            </w:tcBorders>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851</w:t>
            </w:r>
          </w:p>
        </w:tc>
        <w:tc>
          <w:tcPr>
            <w:tcW w:w="10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Issuance of common stock as part of conversion of convertible loan</w:t>
            </w:r>
          </w:p>
        </w:tc>
        <w:tc>
          <w:tcPr>
            <w:tcW w:w="10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138</w:t>
            </w: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140</w:t>
            </w:r>
          </w:p>
        </w:tc>
        <w:tc>
          <w:tcPr>
            <w:tcW w:w="100" w:type="dxa"/>
            <w:vAlign w:val="bottom"/>
            <w:tcBorders>
              <w:left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Discounts to temporary equity</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12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Amortization of discounts to temporary equity</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12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9"/>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Grants of stock options, net of forfeitures—employees</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w:t>
            </w:r>
          </w:p>
        </w:tc>
        <w:tc>
          <w:tcPr>
            <w:tcW w:w="12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Grants of stock options, net of forfeitures—non employees</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Borders>
              <w:left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Net loss for the year</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88"/>
              <w:spacing w:after="0"/>
              <w:rPr>
                <w:sz w:val="20"/>
                <w:szCs w:val="20"/>
                <w:color w:val="auto"/>
              </w:rPr>
            </w:pPr>
            <w:r>
              <w:rPr>
                <w:rFonts w:ascii="Arial" w:cs="Arial" w:eastAsia="Arial" w:hAnsi="Arial"/>
                <w:sz w:val="14"/>
                <w:szCs w:val="14"/>
                <w:color w:val="auto"/>
              </w:rPr>
              <w:t>(5,163)</w:t>
            </w:r>
          </w:p>
        </w:tc>
        <w:tc>
          <w:tcPr>
            <w:tcW w:w="1120" w:type="dxa"/>
            <w:vAlign w:val="bottom"/>
            <w:gridSpan w:val="2"/>
          </w:tcPr>
          <w:p>
            <w:pPr>
              <w:jc w:val="right"/>
              <w:ind w:right="19"/>
              <w:spacing w:after="0"/>
              <w:rPr>
                <w:sz w:val="20"/>
                <w:szCs w:val="20"/>
                <w:color w:val="auto"/>
              </w:rPr>
            </w:pPr>
            <w:r>
              <w:rPr>
                <w:rFonts w:ascii="Arial" w:cs="Arial" w:eastAsia="Arial" w:hAnsi="Arial"/>
                <w:sz w:val="14"/>
                <w:szCs w:val="14"/>
                <w:color w:val="auto"/>
              </w:rPr>
              <w:t>(5,163)</w:t>
            </w:r>
          </w:p>
        </w:tc>
        <w:tc>
          <w:tcPr>
            <w:tcW w:w="0" w:type="dxa"/>
            <w:vAlign w:val="bottom"/>
          </w:tcPr>
          <w:p>
            <w:pPr>
              <w:spacing w:after="0"/>
              <w:rPr>
                <w:sz w:val="1"/>
                <w:szCs w:val="1"/>
                <w:color w:val="auto"/>
              </w:rPr>
            </w:pPr>
          </w:p>
        </w:tc>
      </w:tr>
      <w:tr>
        <w:trPr>
          <w:trHeight w:val="142"/>
        </w:trPr>
        <w:tc>
          <w:tcPr>
            <w:tcW w:w="528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Balance as of December 31, 2007 (Audited)</w:t>
            </w:r>
          </w:p>
        </w:tc>
        <w:tc>
          <w:tcPr>
            <w:tcW w:w="10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22</w:t>
            </w:r>
          </w:p>
        </w:tc>
        <w:tc>
          <w:tcPr>
            <w:tcW w:w="240" w:type="dxa"/>
            <w:vAlign w:val="bottom"/>
            <w:tcBorders>
              <w:top w:val="single" w:sz="8" w:color="CCFFCC"/>
            </w:tcBorders>
            <w:shd w:val="clear" w:color="auto" w:fill="CCFFCC"/>
          </w:tcPr>
          <w:p>
            <w:pPr>
              <w:spacing w:after="0"/>
              <w:rPr>
                <w:sz w:val="12"/>
                <w:szCs w:val="12"/>
                <w:color w:val="auto"/>
              </w:rPr>
            </w:pPr>
          </w:p>
        </w:tc>
        <w:tc>
          <w:tcPr>
            <w:tcW w:w="10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24</w:t>
            </w:r>
          </w:p>
        </w:tc>
        <w:tc>
          <w:tcPr>
            <w:tcW w:w="24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2,578</w:t>
            </w:r>
          </w:p>
        </w:tc>
        <w:tc>
          <w:tcPr>
            <w:tcW w:w="220" w:type="dxa"/>
            <w:vAlign w:val="bottom"/>
            <w:tcBorders>
              <w:top w:val="single" w:sz="8" w:color="CCFFCC"/>
            </w:tcBorders>
            <w:shd w:val="clear" w:color="auto" w:fill="CCFFCC"/>
          </w:tcPr>
          <w:p>
            <w:pPr>
              <w:spacing w:after="0"/>
              <w:rPr>
                <w:sz w:val="12"/>
                <w:szCs w:val="12"/>
                <w:color w:val="auto"/>
              </w:rPr>
            </w:pPr>
          </w:p>
        </w:tc>
        <w:tc>
          <w:tcPr>
            <w:tcW w:w="10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(6,644</w:t>
            </w:r>
          </w:p>
        </w:tc>
        <w:tc>
          <w:tcPr>
            <w:tcW w:w="220" w:type="dxa"/>
            <w:vAlign w:val="bottom"/>
            <w:tcBorders>
              <w:top w:val="single" w:sz="8" w:color="CCFFCC"/>
            </w:tcBorders>
            <w:shd w:val="clear" w:color="auto" w:fill="CCFFCC"/>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(4,020</w:t>
            </w:r>
          </w:p>
        </w:tc>
        <w:tc>
          <w:tcPr>
            <w:tcW w:w="100" w:type="dxa"/>
            <w:vAlign w:val="bottom"/>
            <w:tcBorders>
              <w:top w:val="single" w:sz="8" w:color="CCFFCC"/>
              <w:left w:val="single" w:sz="8" w:color="CCFFCC"/>
            </w:tcBorders>
            <w:shd w:val="clear" w:color="auto" w:fill="CCFFCC"/>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5280" w:type="dxa"/>
            <w:vAlign w:val="bottom"/>
          </w:tcPr>
          <w:p>
            <w:pPr>
              <w:spacing w:after="0" w:line="142" w:lineRule="exact"/>
              <w:rPr>
                <w:sz w:val="20"/>
                <w:szCs w:val="20"/>
                <w:color w:val="auto"/>
              </w:rPr>
            </w:pPr>
            <w:r>
              <w:rPr>
                <w:rFonts w:ascii="Arial" w:cs="Arial" w:eastAsia="Arial" w:hAnsi="Arial"/>
                <w:sz w:val="14"/>
                <w:szCs w:val="14"/>
                <w:color w:val="auto"/>
              </w:rPr>
              <w:t>Issuance of warrants</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360</w:t>
            </w: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360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Amortization of discounts to temporary equity</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2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9"/>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Grants of stock options, net of forfeitures—employees</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12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Grants of stock options, net of forfeitures—non employees</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12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tcBorders>
              <w:left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Net loss for the year</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Arial" w:cs="Arial" w:eastAsia="Arial" w:hAnsi="Arial"/>
                <w:sz w:val="14"/>
                <w:szCs w:val="14"/>
                <w:color w:val="auto"/>
              </w:rPr>
              <w:t>(7,332)</w:t>
            </w:r>
          </w:p>
        </w:tc>
        <w:tc>
          <w:tcPr>
            <w:tcW w:w="1120" w:type="dxa"/>
            <w:vAlign w:val="bottom"/>
            <w:gridSpan w:val="2"/>
          </w:tcPr>
          <w:p>
            <w:pPr>
              <w:jc w:val="right"/>
              <w:ind w:right="19"/>
              <w:spacing w:after="0"/>
              <w:rPr>
                <w:sz w:val="20"/>
                <w:szCs w:val="20"/>
                <w:color w:val="auto"/>
              </w:rPr>
            </w:pPr>
            <w:r>
              <w:rPr>
                <w:rFonts w:ascii="Arial" w:cs="Arial" w:eastAsia="Arial" w:hAnsi="Arial"/>
                <w:sz w:val="14"/>
                <w:szCs w:val="14"/>
                <w:color w:val="auto"/>
              </w:rPr>
              <w:t>(7,332)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Consideration for less than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90"/>
              </w:rPr>
              <w:t>Deficit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5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84"/>
              </w:rPr>
              <w:t>Series A</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178"/>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5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86"/>
              </w:rPr>
              <w:t>convertible</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178"/>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ind w:left="137"/>
              <w:spacing w:after="0"/>
              <w:rPr>
                <w:sz w:val="20"/>
                <w:szCs w:val="20"/>
                <w:color w:val="auto"/>
              </w:rPr>
            </w:pPr>
            <w:r>
              <w:rPr>
                <w:rFonts w:ascii="Arial" w:cs="Arial" w:eastAsia="Arial" w:hAnsi="Arial"/>
                <w:sz w:val="13"/>
                <w:szCs w:val="13"/>
                <w:b w:val="1"/>
                <w:bCs w:val="1"/>
                <w:color w:val="auto"/>
                <w:w w:val="91"/>
              </w:rPr>
              <w:t>preferred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2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84"/>
              </w:rPr>
              <w:t>development</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5280" w:type="dxa"/>
            <w:vAlign w:val="bottom"/>
          </w:tcPr>
          <w:p>
            <w:pPr>
              <w:spacing w:after="0"/>
              <w:rPr>
                <w:sz w:val="13"/>
                <w:szCs w:val="13"/>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5"/>
              </w:rPr>
              <w:t>Common stock</w:t>
            </w:r>
          </w:p>
        </w:tc>
        <w:tc>
          <w:tcPr>
            <w:tcW w:w="840" w:type="dxa"/>
            <w:vAlign w:val="bottom"/>
          </w:tcPr>
          <w:p>
            <w:pPr>
              <w:jc w:val="center"/>
              <w:ind w:left="137"/>
              <w:spacing w:after="0"/>
              <w:rPr>
                <w:sz w:val="20"/>
                <w:szCs w:val="20"/>
                <w:color w:val="auto"/>
              </w:rPr>
            </w:pPr>
            <w:r>
              <w:rPr>
                <w:rFonts w:ascii="Arial" w:cs="Arial" w:eastAsia="Arial" w:hAnsi="Arial"/>
                <w:sz w:val="13"/>
                <w:szCs w:val="13"/>
                <w:b w:val="1"/>
                <w:bCs w:val="1"/>
                <w:color w:val="auto"/>
                <w:w w:val="82"/>
              </w:rPr>
              <w:t>stock</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paid-in capital</w:t>
            </w:r>
          </w:p>
        </w:tc>
        <w:tc>
          <w:tcPr>
            <w:tcW w:w="122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82"/>
              </w:rPr>
              <w:t>stage</w:t>
            </w:r>
          </w:p>
        </w:tc>
        <w:tc>
          <w:tcPr>
            <w:tcW w:w="1120" w:type="dxa"/>
            <w:vAlign w:val="bottom"/>
            <w:gridSpan w:val="2"/>
          </w:tcPr>
          <w:p>
            <w:pPr>
              <w:jc w:val="right"/>
              <w:ind w:right="438"/>
              <w:spacing w:after="0"/>
              <w:rPr>
                <w:sz w:val="20"/>
                <w:szCs w:val="20"/>
                <w:color w:val="auto"/>
              </w:rPr>
            </w:pPr>
            <w:r>
              <w:rPr>
                <w:rFonts w:ascii="Arial" w:cs="Arial" w:eastAsia="Arial" w:hAnsi="Arial"/>
                <w:sz w:val="13"/>
                <w:szCs w:val="13"/>
                <w:b w:val="1"/>
                <w:bCs w:val="1"/>
                <w:color w:val="auto"/>
              </w:rPr>
              <w:t>Total</w:t>
            </w:r>
          </w:p>
        </w:tc>
      </w:tr>
      <w:tr>
        <w:trPr>
          <w:trHeight w:val="129"/>
        </w:trPr>
        <w:tc>
          <w:tcPr>
            <w:tcW w:w="5280" w:type="dxa"/>
            <w:vAlign w:val="bottom"/>
            <w:tcBorders>
              <w:bottom w:val="single" w:sz="8" w:color="CCFFCC"/>
            </w:tcBorders>
          </w:tcPr>
          <w:p>
            <w:pPr>
              <w:spacing w:after="0"/>
              <w:rPr>
                <w:sz w:val="11"/>
                <w:szCs w:val="11"/>
                <w:color w:val="auto"/>
              </w:rPr>
            </w:pPr>
          </w:p>
        </w:tc>
        <w:tc>
          <w:tcPr>
            <w:tcW w:w="760" w:type="dxa"/>
            <w:vAlign w:val="bottom"/>
            <w:tcBorders>
              <w:top w:val="single" w:sz="8" w:color="auto"/>
              <w:bottom w:val="single" w:sz="8" w:color="auto"/>
            </w:tcBorders>
          </w:tcPr>
          <w:p>
            <w:pPr>
              <w:jc w:val="center"/>
              <w:ind w:left="217"/>
              <w:spacing w:after="0" w:line="129" w:lineRule="exact"/>
              <w:rPr>
                <w:sz w:val="20"/>
                <w:szCs w:val="20"/>
                <w:color w:val="auto"/>
              </w:rPr>
            </w:pPr>
            <w:r>
              <w:rPr>
                <w:rFonts w:ascii="Arial" w:cs="Arial" w:eastAsia="Arial" w:hAnsi="Arial"/>
                <w:sz w:val="13"/>
                <w:szCs w:val="13"/>
                <w:b w:val="1"/>
                <w:bCs w:val="1"/>
                <w:color w:val="auto"/>
                <w:w w:val="85"/>
              </w:rPr>
              <w:t>U.S.$</w:t>
            </w:r>
          </w:p>
        </w:tc>
        <w:tc>
          <w:tcPr>
            <w:tcW w:w="28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CCFFCC"/>
            </w:tcBorders>
          </w:tcPr>
          <w:p>
            <w:pPr>
              <w:spacing w:after="0"/>
              <w:rPr>
                <w:sz w:val="11"/>
                <w:szCs w:val="11"/>
                <w:color w:val="auto"/>
              </w:rPr>
            </w:pPr>
          </w:p>
        </w:tc>
        <w:tc>
          <w:tcPr>
            <w:tcW w:w="840" w:type="dxa"/>
            <w:vAlign w:val="bottom"/>
            <w:tcBorders>
              <w:top w:val="single" w:sz="8" w:color="auto"/>
              <w:bottom w:val="single" w:sz="8" w:color="auto"/>
            </w:tcBorders>
          </w:tcPr>
          <w:p>
            <w:pPr>
              <w:jc w:val="center"/>
              <w:ind w:left="137"/>
              <w:spacing w:after="0" w:line="129" w:lineRule="exact"/>
              <w:rPr>
                <w:sz w:val="20"/>
                <w:szCs w:val="20"/>
                <w:color w:val="auto"/>
              </w:rPr>
            </w:pPr>
            <w:r>
              <w:rPr>
                <w:rFonts w:ascii="Arial" w:cs="Arial" w:eastAsia="Arial" w:hAnsi="Arial"/>
                <w:sz w:val="13"/>
                <w:szCs w:val="13"/>
                <w:b w:val="1"/>
                <w:bCs w:val="1"/>
                <w:color w:val="auto"/>
                <w:w w:val="85"/>
              </w:rPr>
              <w:t>U.S.$</w:t>
            </w:r>
          </w:p>
        </w:tc>
        <w:tc>
          <w:tcPr>
            <w:tcW w:w="20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CCFFCC"/>
            </w:tcBorders>
          </w:tcPr>
          <w:p>
            <w:pPr>
              <w:spacing w:after="0"/>
              <w:rPr>
                <w:sz w:val="11"/>
                <w:szCs w:val="11"/>
                <w:color w:val="auto"/>
              </w:rPr>
            </w:pPr>
          </w:p>
        </w:tc>
        <w:tc>
          <w:tcPr>
            <w:tcW w:w="10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U.S.$</w:t>
            </w:r>
          </w:p>
        </w:tc>
        <w:tc>
          <w:tcPr>
            <w:tcW w:w="220" w:type="dxa"/>
            <w:vAlign w:val="bottom"/>
            <w:tcBorders>
              <w:bottom w:val="single" w:sz="8" w:color="CCFFCC"/>
            </w:tcBorders>
          </w:tcPr>
          <w:p>
            <w:pPr>
              <w:spacing w:after="0"/>
              <w:rPr>
                <w:sz w:val="11"/>
                <w:szCs w:val="11"/>
                <w:color w:val="auto"/>
              </w:rPr>
            </w:pPr>
          </w:p>
        </w:tc>
        <w:tc>
          <w:tcPr>
            <w:tcW w:w="10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5"/>
              </w:rPr>
              <w:t>U.S.$</w:t>
            </w:r>
          </w:p>
        </w:tc>
        <w:tc>
          <w:tcPr>
            <w:tcW w:w="220" w:type="dxa"/>
            <w:vAlign w:val="bottom"/>
            <w:tcBorders>
              <w:bottom w:val="single" w:sz="8" w:color="CCFFCC"/>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317"/>
              <w:spacing w:after="0" w:line="129" w:lineRule="exact"/>
              <w:rPr>
                <w:sz w:val="20"/>
                <w:szCs w:val="20"/>
                <w:color w:val="auto"/>
              </w:rPr>
            </w:pPr>
            <w:r>
              <w:rPr>
                <w:rFonts w:ascii="Arial" w:cs="Arial" w:eastAsia="Arial" w:hAnsi="Arial"/>
                <w:sz w:val="13"/>
                <w:szCs w:val="13"/>
                <w:b w:val="1"/>
                <w:bCs w:val="1"/>
                <w:color w:val="auto"/>
              </w:rPr>
              <w:t>U.S.$</w:t>
            </w:r>
          </w:p>
        </w:tc>
        <w:tc>
          <w:tcPr>
            <w:tcW w:w="100" w:type="dxa"/>
            <w:vAlign w:val="bottom"/>
            <w:tcBorders>
              <w:bottom w:val="single" w:sz="8" w:color="CCFFCC"/>
            </w:tcBorders>
          </w:tcPr>
          <w:p>
            <w:pPr>
              <w:spacing w:after="0"/>
              <w:rPr>
                <w:sz w:val="11"/>
                <w:szCs w:val="11"/>
                <w:color w:val="auto"/>
              </w:rPr>
            </w:pPr>
          </w:p>
        </w:tc>
      </w:tr>
      <w:tr>
        <w:trPr>
          <w:trHeight w:val="129"/>
        </w:trPr>
        <w:tc>
          <w:tcPr>
            <w:tcW w:w="5280" w:type="dxa"/>
            <w:vAlign w:val="bottom"/>
            <w:shd w:val="clear" w:color="auto" w:fill="CCFFCC"/>
          </w:tcPr>
          <w:p>
            <w:pPr>
              <w:spacing w:after="0" w:line="129" w:lineRule="exact"/>
              <w:rPr>
                <w:sz w:val="20"/>
                <w:szCs w:val="20"/>
                <w:color w:val="auto"/>
              </w:rPr>
            </w:pPr>
            <w:r>
              <w:rPr>
                <w:rFonts w:ascii="Arial" w:cs="Arial" w:eastAsia="Arial" w:hAnsi="Arial"/>
                <w:sz w:val="13"/>
                <w:szCs w:val="13"/>
                <w:b w:val="1"/>
                <w:bCs w:val="1"/>
                <w:color w:val="auto"/>
              </w:rPr>
              <w:t>Balance as of December 31, 2008 (Audited)</w:t>
            </w:r>
          </w:p>
        </w:tc>
        <w:tc>
          <w:tcPr>
            <w:tcW w:w="760" w:type="dxa"/>
            <w:vAlign w:val="bottom"/>
            <w:tcBorders>
              <w:bottom w:val="single" w:sz="8" w:color="auto"/>
            </w:tcBorders>
            <w:shd w:val="clear" w:color="auto" w:fill="CCFFCC"/>
          </w:tcPr>
          <w:p>
            <w:pPr>
              <w:spacing w:after="0"/>
              <w:rPr>
                <w:sz w:val="11"/>
                <w:szCs w:val="11"/>
                <w:color w:val="auto"/>
              </w:rPr>
            </w:pPr>
          </w:p>
        </w:tc>
        <w:tc>
          <w:tcPr>
            <w:tcW w:w="2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22</w:t>
            </w:r>
          </w:p>
        </w:tc>
        <w:tc>
          <w:tcPr>
            <w:tcW w:w="240" w:type="dxa"/>
            <w:vAlign w:val="bottom"/>
            <w:shd w:val="clear" w:color="auto" w:fill="CCFFCC"/>
          </w:tcPr>
          <w:p>
            <w:pPr>
              <w:spacing w:after="0"/>
              <w:rPr>
                <w:sz w:val="11"/>
                <w:szCs w:val="11"/>
                <w:color w:val="auto"/>
              </w:rPr>
            </w:pPr>
          </w:p>
        </w:tc>
        <w:tc>
          <w:tcPr>
            <w:tcW w:w="840" w:type="dxa"/>
            <w:vAlign w:val="bottom"/>
            <w:tcBorders>
              <w:bottom w:val="single" w:sz="8" w:color="auto"/>
            </w:tcBorders>
            <w:shd w:val="clear" w:color="auto" w:fill="CCFFCC"/>
          </w:tcPr>
          <w:p>
            <w:pPr>
              <w:spacing w:after="0"/>
              <w:rPr>
                <w:sz w:val="11"/>
                <w:szCs w:val="11"/>
                <w:color w:val="auto"/>
              </w:rPr>
            </w:pPr>
          </w:p>
        </w:tc>
        <w:tc>
          <w:tcPr>
            <w:tcW w:w="2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24</w:t>
            </w:r>
          </w:p>
        </w:tc>
        <w:tc>
          <w:tcPr>
            <w:tcW w:w="240" w:type="dxa"/>
            <w:vAlign w:val="bottom"/>
            <w:shd w:val="clear" w:color="auto" w:fill="CCFFCC"/>
          </w:tcPr>
          <w:p>
            <w:pPr>
              <w:spacing w:after="0"/>
              <w:rPr>
                <w:sz w:val="11"/>
                <w:szCs w:val="11"/>
                <w:color w:val="auto"/>
              </w:rPr>
            </w:pPr>
          </w:p>
        </w:tc>
        <w:tc>
          <w:tcPr>
            <w:tcW w:w="102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2,960</w:t>
            </w:r>
          </w:p>
        </w:tc>
        <w:tc>
          <w:tcPr>
            <w:tcW w:w="220" w:type="dxa"/>
            <w:vAlign w:val="bottom"/>
            <w:shd w:val="clear" w:color="auto" w:fill="CCFFCC"/>
          </w:tcPr>
          <w:p>
            <w:pPr>
              <w:spacing w:after="0"/>
              <w:rPr>
                <w:sz w:val="11"/>
                <w:szCs w:val="11"/>
                <w:color w:val="auto"/>
              </w:rPr>
            </w:pPr>
          </w:p>
        </w:tc>
        <w:tc>
          <w:tcPr>
            <w:tcW w:w="10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(13,976</w:t>
            </w:r>
          </w:p>
        </w:tc>
        <w:tc>
          <w:tcPr>
            <w:tcW w:w="220" w:type="dxa"/>
            <w:vAlign w:val="bottom"/>
            <w:shd w:val="clear" w:color="auto" w:fill="CCFFCC"/>
          </w:tcPr>
          <w:p>
            <w:pPr>
              <w:jc w:val="right"/>
              <w:ind w:right="138"/>
              <w:spacing w:after="0"/>
              <w:rPr>
                <w:sz w:val="20"/>
                <w:szCs w:val="20"/>
                <w:color w:val="auto"/>
              </w:rPr>
            </w:pPr>
            <w:r>
              <w:rPr>
                <w:rFonts w:ascii="Arial" w:cs="Arial" w:eastAsia="Arial" w:hAnsi="Arial"/>
                <w:sz w:val="8"/>
                <w:szCs w:val="8"/>
                <w:color w:val="auto"/>
                <w:w w:val="73"/>
              </w:rPr>
              <w:t>)</w:t>
            </w:r>
          </w:p>
        </w:tc>
        <w:tc>
          <w:tcPr>
            <w:tcW w:w="102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(10,970</w:t>
            </w:r>
          </w:p>
        </w:tc>
        <w:tc>
          <w:tcPr>
            <w:tcW w:w="100" w:type="dxa"/>
            <w:vAlign w:val="bottom"/>
            <w:shd w:val="clear" w:color="auto" w:fill="CCFFCC"/>
          </w:tcPr>
          <w:p>
            <w:pPr>
              <w:jc w:val="right"/>
              <w:ind w:right="18"/>
              <w:spacing w:after="0"/>
              <w:rPr>
                <w:sz w:val="20"/>
                <w:szCs w:val="20"/>
                <w:color w:val="auto"/>
              </w:rPr>
            </w:pPr>
            <w:r>
              <w:rPr>
                <w:rFonts w:ascii="Arial" w:cs="Arial" w:eastAsia="Arial" w:hAnsi="Arial"/>
                <w:sz w:val="8"/>
                <w:szCs w:val="8"/>
                <w:color w:val="auto"/>
                <w:w w:val="73"/>
              </w:rPr>
              <w:t>)</w:t>
            </w:r>
          </w:p>
        </w:tc>
      </w:tr>
      <w:tr>
        <w:trPr>
          <w:trHeight w:val="129"/>
        </w:trPr>
        <w:tc>
          <w:tcPr>
            <w:tcW w:w="5280" w:type="dxa"/>
            <w:vAlign w:val="bottom"/>
          </w:tcPr>
          <w:p>
            <w:pPr>
              <w:spacing w:after="0" w:line="129" w:lineRule="exact"/>
              <w:rPr>
                <w:sz w:val="20"/>
                <w:szCs w:val="20"/>
                <w:color w:val="auto"/>
              </w:rPr>
            </w:pPr>
            <w:r>
              <w:rPr>
                <w:rFonts w:ascii="Arial" w:cs="Arial" w:eastAsia="Arial" w:hAnsi="Arial"/>
                <w:sz w:val="13"/>
                <w:szCs w:val="13"/>
                <w:color w:val="auto"/>
              </w:rPr>
              <w:t>Issuance of warrants</w:t>
            </w:r>
          </w:p>
        </w:tc>
        <w:tc>
          <w:tcPr>
            <w:tcW w:w="760" w:type="dxa"/>
            <w:vAlign w:val="bottom"/>
          </w:tcPr>
          <w:p>
            <w:pPr>
              <w:spacing w:after="0"/>
              <w:rPr>
                <w:sz w:val="11"/>
                <w:szCs w:val="11"/>
                <w:color w:val="auto"/>
              </w:rPr>
            </w:pPr>
          </w:p>
        </w:tc>
        <w:tc>
          <w:tcPr>
            <w:tcW w:w="2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3"/>
                <w:szCs w:val="13"/>
                <w:color w:val="auto"/>
              </w:rPr>
              <w:t>60</w:t>
            </w:r>
          </w:p>
        </w:tc>
        <w:tc>
          <w:tcPr>
            <w:tcW w:w="22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3"/>
                <w:szCs w:val="13"/>
                <w:color w:val="auto"/>
              </w:rPr>
              <w:t>60</w:t>
            </w:r>
          </w:p>
        </w:tc>
        <w:tc>
          <w:tcPr>
            <w:tcW w:w="100" w:type="dxa"/>
            <w:vAlign w:val="bottom"/>
          </w:tcPr>
          <w:p>
            <w:pPr>
              <w:spacing w:after="0"/>
              <w:rPr>
                <w:sz w:val="11"/>
                <w:szCs w:val="11"/>
                <w:color w:val="auto"/>
              </w:rPr>
            </w:pPr>
          </w:p>
        </w:tc>
      </w:tr>
      <w:tr>
        <w:trPr>
          <w:trHeight w:val="135"/>
        </w:trPr>
        <w:tc>
          <w:tcPr>
            <w:tcW w:w="60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Loan modification</w:t>
            </w:r>
          </w:p>
        </w:tc>
        <w:tc>
          <w:tcPr>
            <w:tcW w:w="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500</w:t>
            </w:r>
          </w:p>
        </w:tc>
        <w:tc>
          <w:tcPr>
            <w:tcW w:w="1220" w:type="dxa"/>
            <w:vAlign w:val="bottom"/>
            <w:gridSpan w:val="2"/>
            <w:shd w:val="clear" w:color="auto" w:fill="CCFFCC"/>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line="135" w:lineRule="exact"/>
              <w:rPr>
                <w:sz w:val="20"/>
                <w:szCs w:val="20"/>
                <w:color w:val="auto"/>
              </w:rPr>
            </w:pPr>
            <w:r>
              <w:rPr>
                <w:rFonts w:ascii="Arial" w:cs="Arial" w:eastAsia="Arial" w:hAnsi="Arial"/>
                <w:sz w:val="13"/>
                <w:szCs w:val="13"/>
                <w:color w:val="auto"/>
              </w:rPr>
              <w:t>500</w:t>
            </w: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Amortization of discounts to temporary equity</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spacing w:after="0"/>
              <w:rPr>
                <w:sz w:val="11"/>
                <w:szCs w:val="11"/>
                <w:color w:val="auto"/>
              </w:rPr>
            </w:pPr>
          </w:p>
        </w:tc>
        <w:tc>
          <w:tcPr>
            <w:tcW w:w="4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(7)</w:t>
            </w:r>
          </w:p>
        </w:tc>
      </w:tr>
      <w:tr>
        <w:trPr>
          <w:trHeight w:val="135"/>
        </w:trPr>
        <w:tc>
          <w:tcPr>
            <w:tcW w:w="60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Grants of stock options, net of forfeitures—employees</w:t>
            </w:r>
          </w:p>
        </w:tc>
        <w:tc>
          <w:tcPr>
            <w:tcW w:w="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178</w:t>
            </w:r>
          </w:p>
        </w:tc>
        <w:tc>
          <w:tcPr>
            <w:tcW w:w="1220" w:type="dxa"/>
            <w:vAlign w:val="bottom"/>
            <w:gridSpan w:val="2"/>
            <w:shd w:val="clear" w:color="auto" w:fill="CCFFCC"/>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line="135" w:lineRule="exact"/>
              <w:rPr>
                <w:sz w:val="20"/>
                <w:szCs w:val="20"/>
                <w:color w:val="auto"/>
              </w:rPr>
            </w:pPr>
            <w:r>
              <w:rPr>
                <w:rFonts w:ascii="Arial" w:cs="Arial" w:eastAsia="Arial" w:hAnsi="Arial"/>
                <w:sz w:val="13"/>
                <w:szCs w:val="13"/>
                <w:color w:val="auto"/>
              </w:rPr>
              <w:t>178</w:t>
            </w: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Grants of stock options, net of forfeiture—non employees</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spacing w:after="0"/>
              <w:rPr>
                <w:sz w:val="11"/>
                <w:szCs w:val="11"/>
                <w:color w:val="auto"/>
              </w:rPr>
            </w:pPr>
          </w:p>
        </w:tc>
        <w:tc>
          <w:tcPr>
            <w:tcW w:w="4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10</w:t>
            </w:r>
          </w:p>
        </w:tc>
      </w:tr>
      <w:tr>
        <w:trPr>
          <w:trHeight w:val="149"/>
        </w:trPr>
        <w:tc>
          <w:tcPr>
            <w:tcW w:w="604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Net loss for the year</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spacing w:after="0"/>
              <w:rPr>
                <w:sz w:val="12"/>
                <w:szCs w:val="12"/>
                <w:color w:val="auto"/>
              </w:rPr>
            </w:pPr>
          </w:p>
        </w:tc>
        <w:tc>
          <w:tcPr>
            <w:tcW w:w="4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FFCC"/>
          </w:tcPr>
          <w:p>
            <w:pPr>
              <w:jc w:val="right"/>
              <w:ind w:right="138"/>
              <w:spacing w:after="0"/>
              <w:rPr>
                <w:sz w:val="20"/>
                <w:szCs w:val="20"/>
                <w:color w:val="auto"/>
              </w:rPr>
            </w:pPr>
            <w:r>
              <w:rPr>
                <w:rFonts w:ascii="Arial" w:cs="Arial" w:eastAsia="Arial" w:hAnsi="Arial"/>
                <w:sz w:val="13"/>
                <w:szCs w:val="13"/>
                <w:color w:val="auto"/>
              </w:rPr>
              <w:t>(6,149)</w:t>
            </w:r>
          </w:p>
        </w:tc>
        <w:tc>
          <w:tcPr>
            <w:tcW w:w="1120" w:type="dxa"/>
            <w:vAlign w:val="bottom"/>
            <w:gridSpan w:val="2"/>
            <w:shd w:val="clear" w:color="auto" w:fill="CCFFCC"/>
          </w:tcPr>
          <w:p>
            <w:pPr>
              <w:jc w:val="right"/>
              <w:ind w:right="18"/>
              <w:spacing w:after="0"/>
              <w:rPr>
                <w:sz w:val="20"/>
                <w:szCs w:val="20"/>
                <w:color w:val="auto"/>
              </w:rPr>
            </w:pPr>
            <w:r>
              <w:rPr>
                <w:rFonts w:ascii="Arial" w:cs="Arial" w:eastAsia="Arial" w:hAnsi="Arial"/>
                <w:sz w:val="13"/>
                <w:szCs w:val="13"/>
                <w:color w:val="auto"/>
              </w:rPr>
              <w:t>(6,149)</w:t>
            </w:r>
          </w:p>
        </w:tc>
      </w:tr>
      <w:tr>
        <w:trPr>
          <w:trHeight w:val="129"/>
        </w:trPr>
        <w:tc>
          <w:tcPr>
            <w:tcW w:w="528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Balance as of December 31, 2009 (Audited)</w:t>
            </w:r>
          </w:p>
        </w:tc>
        <w:tc>
          <w:tcPr>
            <w:tcW w:w="7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w:t>
            </w:r>
          </w:p>
        </w:tc>
        <w:tc>
          <w:tcPr>
            <w:tcW w:w="240" w:type="dxa"/>
            <w:vAlign w:val="bottom"/>
            <w:tcBorders>
              <w:bottom w:val="single" w:sz="8" w:color="CCFFCC"/>
            </w:tcBorders>
          </w:tcPr>
          <w:p>
            <w:pPr>
              <w:spacing w:after="0"/>
              <w:rPr>
                <w:sz w:val="11"/>
                <w:szCs w:val="11"/>
                <w:color w:val="auto"/>
              </w:rPr>
            </w:pPr>
          </w:p>
        </w:tc>
        <w:tc>
          <w:tcPr>
            <w:tcW w:w="8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w:t>
            </w:r>
          </w:p>
        </w:tc>
        <w:tc>
          <w:tcPr>
            <w:tcW w:w="240" w:type="dxa"/>
            <w:vAlign w:val="bottom"/>
            <w:tcBorders>
              <w:bottom w:val="single" w:sz="8" w:color="CCFFCC"/>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3,701</w:t>
            </w:r>
          </w:p>
        </w:tc>
        <w:tc>
          <w:tcPr>
            <w:tcW w:w="220" w:type="dxa"/>
            <w:vAlign w:val="bottom"/>
            <w:tcBorders>
              <w:bottom w:val="single" w:sz="8" w:color="CCFFCC"/>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(20,125</w:t>
            </w:r>
          </w:p>
        </w:tc>
        <w:tc>
          <w:tcPr>
            <w:tcW w:w="220" w:type="dxa"/>
            <w:vAlign w:val="bottom"/>
            <w:tcBorders>
              <w:bottom w:val="single" w:sz="8" w:color="CCFFCC"/>
            </w:tcBorders>
          </w:tcPr>
          <w:p>
            <w:pPr>
              <w:jc w:val="right"/>
              <w:ind w:right="138"/>
              <w:spacing w:after="0"/>
              <w:rPr>
                <w:sz w:val="20"/>
                <w:szCs w:val="20"/>
                <w:color w:val="auto"/>
              </w:rPr>
            </w:pPr>
            <w:r>
              <w:rPr>
                <w:rFonts w:ascii="Arial" w:cs="Arial" w:eastAsia="Arial" w:hAnsi="Arial"/>
                <w:sz w:val="8"/>
                <w:szCs w:val="8"/>
                <w:color w:val="auto"/>
                <w:w w:val="73"/>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(16,378</w:t>
            </w:r>
          </w:p>
        </w:tc>
        <w:tc>
          <w:tcPr>
            <w:tcW w:w="100" w:type="dxa"/>
            <w:vAlign w:val="bottom"/>
            <w:tcBorders>
              <w:bottom w:val="single" w:sz="8" w:color="CCFFCC"/>
            </w:tcBorders>
          </w:tcPr>
          <w:p>
            <w:pPr>
              <w:jc w:val="right"/>
              <w:ind w:right="18"/>
              <w:spacing w:after="0"/>
              <w:rPr>
                <w:sz w:val="20"/>
                <w:szCs w:val="20"/>
                <w:color w:val="auto"/>
              </w:rPr>
            </w:pPr>
            <w:r>
              <w:rPr>
                <w:rFonts w:ascii="Arial" w:cs="Arial" w:eastAsia="Arial" w:hAnsi="Arial"/>
                <w:sz w:val="8"/>
                <w:szCs w:val="8"/>
                <w:color w:val="auto"/>
                <w:w w:val="73"/>
              </w:rPr>
              <w:t>)</w:t>
            </w:r>
          </w:p>
        </w:tc>
      </w:tr>
      <w:tr>
        <w:trPr>
          <w:trHeight w:val="129"/>
        </w:trPr>
        <w:tc>
          <w:tcPr>
            <w:tcW w:w="528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Issuance of common stock, net of issuance costs of $1,768</w:t>
            </w:r>
          </w:p>
        </w:tc>
        <w:tc>
          <w:tcPr>
            <w:tcW w:w="760" w:type="dxa"/>
            <w:vAlign w:val="bottom"/>
            <w:shd w:val="clear" w:color="auto" w:fill="CCFFCC"/>
          </w:tcPr>
          <w:p>
            <w:pPr>
              <w:spacing w:after="0"/>
              <w:rPr>
                <w:sz w:val="11"/>
                <w:szCs w:val="11"/>
                <w:color w:val="auto"/>
              </w:rPr>
            </w:pPr>
          </w:p>
        </w:tc>
        <w:tc>
          <w:tcPr>
            <w:tcW w:w="2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24</w:t>
            </w:r>
          </w:p>
        </w:tc>
        <w:tc>
          <w:tcPr>
            <w:tcW w:w="2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2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CFFCC"/>
          </w:tcPr>
          <w:p>
            <w:pPr>
              <w:spacing w:after="0"/>
              <w:rPr>
                <w:sz w:val="11"/>
                <w:szCs w:val="11"/>
                <w:color w:val="auto"/>
              </w:rPr>
            </w:pPr>
          </w:p>
        </w:tc>
        <w:tc>
          <w:tcPr>
            <w:tcW w:w="10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9,239</w:t>
            </w:r>
          </w:p>
        </w:tc>
        <w:tc>
          <w:tcPr>
            <w:tcW w:w="220" w:type="dxa"/>
            <w:vAlign w:val="bottom"/>
            <w:shd w:val="clear" w:color="auto" w:fill="CCFFCC"/>
          </w:tcPr>
          <w:p>
            <w:pPr>
              <w:spacing w:after="0"/>
              <w:rPr>
                <w:sz w:val="11"/>
                <w:szCs w:val="11"/>
                <w:color w:val="auto"/>
              </w:rPr>
            </w:pPr>
          </w:p>
        </w:tc>
        <w:tc>
          <w:tcPr>
            <w:tcW w:w="10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FFCC"/>
          </w:tcPr>
          <w:p>
            <w:pPr>
              <w:spacing w:after="0"/>
              <w:rPr>
                <w:sz w:val="11"/>
                <w:szCs w:val="11"/>
                <w:color w:val="auto"/>
              </w:rPr>
            </w:pPr>
          </w:p>
        </w:tc>
        <w:tc>
          <w:tcPr>
            <w:tcW w:w="10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9,263</w:t>
            </w:r>
          </w:p>
        </w:tc>
        <w:tc>
          <w:tcPr>
            <w:tcW w:w="100" w:type="dxa"/>
            <w:vAlign w:val="bottom"/>
            <w:shd w:val="clear" w:color="auto" w:fill="CCFFCC"/>
          </w:tcPr>
          <w:p>
            <w:pPr>
              <w:spacing w:after="0"/>
              <w:rPr>
                <w:sz w:val="11"/>
                <w:szCs w:val="11"/>
                <w:color w:val="auto"/>
              </w:rPr>
            </w:pP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Exchange of series A convertible preferred stock for common stock</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24</w:t>
            </w:r>
          </w:p>
        </w:tc>
        <w:tc>
          <w:tcPr>
            <w:tcW w:w="840" w:type="dxa"/>
            <w:vAlign w:val="bottom"/>
          </w:tcPr>
          <w:p>
            <w:pPr>
              <w:spacing w:after="0"/>
              <w:rPr>
                <w:sz w:val="11"/>
                <w:szCs w:val="11"/>
                <w:color w:val="auto"/>
              </w:rPr>
            </w:pPr>
          </w:p>
        </w:tc>
        <w:tc>
          <w:tcPr>
            <w:tcW w:w="4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4"/>
              </w:rPr>
              <w:t>(24)</w:t>
            </w: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r>
      <w:tr>
        <w:trPr>
          <w:trHeight w:val="135"/>
        </w:trPr>
        <w:tc>
          <w:tcPr>
            <w:tcW w:w="60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Conversion of bridge notes</w:t>
            </w:r>
          </w:p>
        </w:tc>
        <w:tc>
          <w:tcPr>
            <w:tcW w:w="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w:t>
            </w:r>
          </w:p>
        </w:tc>
        <w:tc>
          <w:tcPr>
            <w:tcW w:w="84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2,536</w:t>
            </w:r>
          </w:p>
        </w:tc>
        <w:tc>
          <w:tcPr>
            <w:tcW w:w="1220" w:type="dxa"/>
            <w:vAlign w:val="bottom"/>
            <w:gridSpan w:val="2"/>
            <w:shd w:val="clear" w:color="auto" w:fill="CCFFCC"/>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line="135" w:lineRule="exact"/>
              <w:rPr>
                <w:sz w:val="20"/>
                <w:szCs w:val="20"/>
                <w:color w:val="auto"/>
              </w:rPr>
            </w:pPr>
            <w:r>
              <w:rPr>
                <w:rFonts w:ascii="Arial" w:cs="Arial" w:eastAsia="Arial" w:hAnsi="Arial"/>
                <w:sz w:val="13"/>
                <w:szCs w:val="13"/>
                <w:color w:val="auto"/>
              </w:rPr>
              <w:t>2,545</w:t>
            </w: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Amortization of discounts to temporary equity</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spacing w:after="0"/>
              <w:rPr>
                <w:sz w:val="11"/>
                <w:szCs w:val="11"/>
                <w:color w:val="auto"/>
              </w:rPr>
            </w:pPr>
          </w:p>
        </w:tc>
        <w:tc>
          <w:tcPr>
            <w:tcW w:w="4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(3)</w:t>
            </w:r>
          </w:p>
        </w:tc>
      </w:tr>
      <w:tr>
        <w:trPr>
          <w:trHeight w:val="135"/>
        </w:trPr>
        <w:tc>
          <w:tcPr>
            <w:tcW w:w="60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Grants of stock options, net of forfeitures—employees</w:t>
            </w:r>
          </w:p>
        </w:tc>
        <w:tc>
          <w:tcPr>
            <w:tcW w:w="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883</w:t>
            </w:r>
          </w:p>
        </w:tc>
        <w:tc>
          <w:tcPr>
            <w:tcW w:w="1220" w:type="dxa"/>
            <w:vAlign w:val="bottom"/>
            <w:gridSpan w:val="2"/>
            <w:shd w:val="clear" w:color="auto" w:fill="CCFFCC"/>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line="135" w:lineRule="exact"/>
              <w:rPr>
                <w:sz w:val="20"/>
                <w:szCs w:val="20"/>
                <w:color w:val="auto"/>
              </w:rPr>
            </w:pPr>
            <w:r>
              <w:rPr>
                <w:rFonts w:ascii="Arial" w:cs="Arial" w:eastAsia="Arial" w:hAnsi="Arial"/>
                <w:sz w:val="13"/>
                <w:szCs w:val="13"/>
                <w:color w:val="auto"/>
              </w:rPr>
              <w:t>883</w:t>
            </w: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Grants of stock options, net of forfeitures—non employees</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spacing w:after="0"/>
              <w:rPr>
                <w:sz w:val="11"/>
                <w:szCs w:val="11"/>
                <w:color w:val="auto"/>
              </w:rPr>
            </w:pPr>
          </w:p>
        </w:tc>
        <w:tc>
          <w:tcPr>
            <w:tcW w:w="4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29</w:t>
            </w:r>
          </w:p>
        </w:tc>
      </w:tr>
      <w:tr>
        <w:trPr>
          <w:trHeight w:val="135"/>
        </w:trPr>
        <w:tc>
          <w:tcPr>
            <w:tcW w:w="60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Exercise of warrants to charity</w:t>
            </w:r>
          </w:p>
        </w:tc>
        <w:tc>
          <w:tcPr>
            <w:tcW w:w="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w:t>
            </w:r>
          </w:p>
        </w:tc>
        <w:tc>
          <w:tcPr>
            <w:tcW w:w="1220" w:type="dxa"/>
            <w:vAlign w:val="bottom"/>
            <w:gridSpan w:val="2"/>
            <w:shd w:val="clear" w:color="auto" w:fill="CCFFCC"/>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line="135" w:lineRule="exact"/>
              <w:rPr>
                <w:sz w:val="20"/>
                <w:szCs w:val="20"/>
                <w:color w:val="auto"/>
              </w:rPr>
            </w:pPr>
            <w:r>
              <w:rPr>
                <w:rFonts w:ascii="Arial" w:cs="Arial" w:eastAsia="Arial" w:hAnsi="Arial"/>
                <w:sz w:val="13"/>
                <w:szCs w:val="13"/>
                <w:color w:val="auto"/>
              </w:rPr>
              <w:t>11</w:t>
            </w: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Grants of warrants to lead investors</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spacing w:after="0"/>
              <w:rPr>
                <w:sz w:val="11"/>
                <w:szCs w:val="11"/>
                <w:color w:val="auto"/>
              </w:rPr>
            </w:pPr>
          </w:p>
        </w:tc>
        <w:tc>
          <w:tcPr>
            <w:tcW w:w="4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1,342</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1,342</w:t>
            </w:r>
          </w:p>
        </w:tc>
      </w:tr>
      <w:tr>
        <w:trPr>
          <w:trHeight w:val="135"/>
        </w:trPr>
        <w:tc>
          <w:tcPr>
            <w:tcW w:w="60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Grants of warrants to charity</w:t>
            </w:r>
          </w:p>
        </w:tc>
        <w:tc>
          <w:tcPr>
            <w:tcW w:w="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37</w:t>
            </w:r>
          </w:p>
        </w:tc>
        <w:tc>
          <w:tcPr>
            <w:tcW w:w="1220" w:type="dxa"/>
            <w:vAlign w:val="bottom"/>
            <w:gridSpan w:val="2"/>
            <w:shd w:val="clear" w:color="auto" w:fill="CCFFCC"/>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line="135" w:lineRule="exact"/>
              <w:rPr>
                <w:sz w:val="20"/>
                <w:szCs w:val="20"/>
                <w:color w:val="auto"/>
              </w:rPr>
            </w:pPr>
            <w:r>
              <w:rPr>
                <w:rFonts w:ascii="Arial" w:cs="Arial" w:eastAsia="Arial" w:hAnsi="Arial"/>
                <w:sz w:val="13"/>
                <w:szCs w:val="13"/>
                <w:color w:val="auto"/>
              </w:rPr>
              <w:t>37</w:t>
            </w: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Exercise of stock options</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w:t>
            </w:r>
          </w:p>
        </w:tc>
        <w:tc>
          <w:tcPr>
            <w:tcW w:w="840" w:type="dxa"/>
            <w:vAlign w:val="bottom"/>
          </w:tcPr>
          <w:p>
            <w:pPr>
              <w:spacing w:after="0"/>
              <w:rPr>
                <w:sz w:val="11"/>
                <w:szCs w:val="11"/>
                <w:color w:val="auto"/>
              </w:rPr>
            </w:pPr>
          </w:p>
        </w:tc>
        <w:tc>
          <w:tcPr>
            <w:tcW w:w="4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w:t>
            </w:r>
          </w:p>
        </w:tc>
      </w:tr>
      <w:tr>
        <w:trPr>
          <w:trHeight w:val="135"/>
        </w:trPr>
        <w:tc>
          <w:tcPr>
            <w:tcW w:w="60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Exercise of warrants</w:t>
            </w:r>
          </w:p>
        </w:tc>
        <w:tc>
          <w:tcPr>
            <w:tcW w:w="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w:t>
            </w:r>
          </w:p>
        </w:tc>
        <w:tc>
          <w:tcPr>
            <w:tcW w:w="84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shd w:val="clear" w:color="auto" w:fill="CCFFCC"/>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line="135" w:lineRule="exact"/>
              <w:rPr>
                <w:sz w:val="20"/>
                <w:szCs w:val="20"/>
                <w:color w:val="auto"/>
              </w:rPr>
            </w:pPr>
            <w:r>
              <w:rPr>
                <w:rFonts w:ascii="Arial" w:cs="Arial" w:eastAsia="Arial" w:hAnsi="Arial"/>
                <w:sz w:val="13"/>
                <w:szCs w:val="13"/>
                <w:color w:val="auto"/>
              </w:rPr>
              <w:t>2</w:t>
            </w: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Stock dividend</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19</w:t>
            </w:r>
          </w:p>
        </w:tc>
        <w:tc>
          <w:tcPr>
            <w:tcW w:w="840" w:type="dxa"/>
            <w:vAlign w:val="bottom"/>
          </w:tcPr>
          <w:p>
            <w:pPr>
              <w:spacing w:after="0"/>
              <w:rPr>
                <w:sz w:val="11"/>
                <w:szCs w:val="11"/>
                <w:color w:val="auto"/>
              </w:rPr>
            </w:pPr>
          </w:p>
        </w:tc>
        <w:tc>
          <w:tcPr>
            <w:tcW w:w="4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r>
      <w:tr>
        <w:trPr>
          <w:trHeight w:val="135"/>
        </w:trPr>
        <w:tc>
          <w:tcPr>
            <w:tcW w:w="60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Reverse stock split</w:t>
            </w:r>
          </w:p>
        </w:tc>
        <w:tc>
          <w:tcPr>
            <w:tcW w:w="5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(93)</w:t>
            </w:r>
          </w:p>
        </w:tc>
        <w:tc>
          <w:tcPr>
            <w:tcW w:w="84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93</w:t>
            </w:r>
          </w:p>
        </w:tc>
        <w:tc>
          <w:tcPr>
            <w:tcW w:w="1220" w:type="dxa"/>
            <w:vAlign w:val="bottom"/>
            <w:gridSpan w:val="2"/>
            <w:shd w:val="clear" w:color="auto" w:fill="CCFFCC"/>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line="135" w:lineRule="exact"/>
              <w:rPr>
                <w:sz w:val="20"/>
                <w:szCs w:val="20"/>
                <w:color w:val="auto"/>
              </w:rPr>
            </w:pPr>
            <w:r>
              <w:rPr>
                <w:rFonts w:ascii="Arial" w:cs="Arial" w:eastAsia="Arial" w:hAnsi="Arial"/>
                <w:sz w:val="13"/>
                <w:szCs w:val="13"/>
                <w:color w:val="auto"/>
              </w:rPr>
              <w:t>—</w:t>
            </w: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Exchange of series B convertible preferred stock for common stock</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46</w:t>
            </w:r>
          </w:p>
        </w:tc>
        <w:tc>
          <w:tcPr>
            <w:tcW w:w="840" w:type="dxa"/>
            <w:vAlign w:val="bottom"/>
          </w:tcPr>
          <w:p>
            <w:pPr>
              <w:spacing w:after="0"/>
              <w:rPr>
                <w:sz w:val="11"/>
                <w:szCs w:val="11"/>
                <w:color w:val="auto"/>
              </w:rPr>
            </w:pPr>
          </w:p>
        </w:tc>
        <w:tc>
          <w:tcPr>
            <w:tcW w:w="4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11,925</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11,971</w:t>
            </w:r>
          </w:p>
        </w:tc>
      </w:tr>
      <w:tr>
        <w:trPr>
          <w:trHeight w:val="149"/>
        </w:trPr>
        <w:tc>
          <w:tcPr>
            <w:tcW w:w="604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Net loss for the year</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spacing w:after="0"/>
              <w:rPr>
                <w:sz w:val="12"/>
                <w:szCs w:val="12"/>
                <w:color w:val="auto"/>
              </w:rPr>
            </w:pPr>
          </w:p>
        </w:tc>
        <w:tc>
          <w:tcPr>
            <w:tcW w:w="4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FFCC"/>
          </w:tcPr>
          <w:p>
            <w:pPr>
              <w:jc w:val="right"/>
              <w:ind w:right="138"/>
              <w:spacing w:after="0"/>
              <w:rPr>
                <w:sz w:val="20"/>
                <w:szCs w:val="20"/>
                <w:color w:val="auto"/>
              </w:rPr>
            </w:pPr>
            <w:r>
              <w:rPr>
                <w:rFonts w:ascii="Arial" w:cs="Arial" w:eastAsia="Arial" w:hAnsi="Arial"/>
                <w:sz w:val="13"/>
                <w:szCs w:val="13"/>
                <w:color w:val="auto"/>
              </w:rPr>
              <w:t>(9,942)</w:t>
            </w:r>
          </w:p>
        </w:tc>
        <w:tc>
          <w:tcPr>
            <w:tcW w:w="1120" w:type="dxa"/>
            <w:vAlign w:val="bottom"/>
            <w:gridSpan w:val="2"/>
            <w:shd w:val="clear" w:color="auto" w:fill="CCFFCC"/>
          </w:tcPr>
          <w:p>
            <w:pPr>
              <w:jc w:val="right"/>
              <w:ind w:right="18"/>
              <w:spacing w:after="0"/>
              <w:rPr>
                <w:sz w:val="20"/>
                <w:szCs w:val="20"/>
                <w:color w:val="auto"/>
              </w:rPr>
            </w:pPr>
            <w:r>
              <w:rPr>
                <w:rFonts w:ascii="Arial" w:cs="Arial" w:eastAsia="Arial" w:hAnsi="Arial"/>
                <w:sz w:val="13"/>
                <w:szCs w:val="13"/>
                <w:color w:val="auto"/>
              </w:rPr>
              <w:t>(9,942)</w:t>
            </w:r>
          </w:p>
        </w:tc>
      </w:tr>
      <w:tr>
        <w:trPr>
          <w:trHeight w:val="129"/>
        </w:trPr>
        <w:tc>
          <w:tcPr>
            <w:tcW w:w="528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Balance as of December 31, 2010 (Audited)</w:t>
            </w:r>
          </w:p>
        </w:tc>
        <w:tc>
          <w:tcPr>
            <w:tcW w:w="7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w:t>
            </w:r>
          </w:p>
        </w:tc>
        <w:tc>
          <w:tcPr>
            <w:tcW w:w="240" w:type="dxa"/>
            <w:vAlign w:val="bottom"/>
            <w:tcBorders>
              <w:bottom w:val="single" w:sz="8" w:color="CCFFCC"/>
            </w:tcBorders>
          </w:tcPr>
          <w:p>
            <w:pPr>
              <w:spacing w:after="0"/>
              <w:rPr>
                <w:sz w:val="11"/>
                <w:szCs w:val="11"/>
                <w:color w:val="auto"/>
              </w:rPr>
            </w:pPr>
          </w:p>
        </w:tc>
        <w:tc>
          <w:tcPr>
            <w:tcW w:w="8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CFFCC"/>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29,774</w:t>
            </w:r>
          </w:p>
        </w:tc>
        <w:tc>
          <w:tcPr>
            <w:tcW w:w="220" w:type="dxa"/>
            <w:vAlign w:val="bottom"/>
            <w:tcBorders>
              <w:bottom w:val="single" w:sz="8" w:color="CCFFCC"/>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(30,067</w:t>
            </w:r>
          </w:p>
        </w:tc>
        <w:tc>
          <w:tcPr>
            <w:tcW w:w="220" w:type="dxa"/>
            <w:vAlign w:val="bottom"/>
            <w:tcBorders>
              <w:bottom w:val="single" w:sz="8" w:color="CCFFCC"/>
            </w:tcBorders>
          </w:tcPr>
          <w:p>
            <w:pPr>
              <w:jc w:val="right"/>
              <w:ind w:right="138"/>
              <w:spacing w:after="0"/>
              <w:rPr>
                <w:sz w:val="20"/>
                <w:szCs w:val="20"/>
                <w:color w:val="auto"/>
              </w:rPr>
            </w:pPr>
            <w:r>
              <w:rPr>
                <w:rFonts w:ascii="Arial" w:cs="Arial" w:eastAsia="Arial" w:hAnsi="Arial"/>
                <w:sz w:val="8"/>
                <w:szCs w:val="8"/>
                <w:color w:val="auto"/>
                <w:w w:val="73"/>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(239</w:t>
            </w:r>
          </w:p>
        </w:tc>
        <w:tc>
          <w:tcPr>
            <w:tcW w:w="100" w:type="dxa"/>
            <w:vAlign w:val="bottom"/>
            <w:tcBorders>
              <w:bottom w:val="single" w:sz="8" w:color="CCFFCC"/>
            </w:tcBorders>
          </w:tcPr>
          <w:p>
            <w:pPr>
              <w:jc w:val="right"/>
              <w:ind w:right="18"/>
              <w:spacing w:after="0"/>
              <w:rPr>
                <w:sz w:val="20"/>
                <w:szCs w:val="20"/>
                <w:color w:val="auto"/>
              </w:rPr>
            </w:pPr>
            <w:r>
              <w:rPr>
                <w:rFonts w:ascii="Arial" w:cs="Arial" w:eastAsia="Arial" w:hAnsi="Arial"/>
                <w:sz w:val="8"/>
                <w:szCs w:val="8"/>
                <w:color w:val="auto"/>
                <w:w w:val="73"/>
              </w:rPr>
              <w:t>)</w:t>
            </w:r>
          </w:p>
        </w:tc>
      </w:tr>
      <w:tr>
        <w:trPr>
          <w:trHeight w:val="129"/>
        </w:trPr>
        <w:tc>
          <w:tcPr>
            <w:tcW w:w="528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Grants of stock options, net of forfeitures—employees</w:t>
            </w:r>
          </w:p>
        </w:tc>
        <w:tc>
          <w:tcPr>
            <w:tcW w:w="760" w:type="dxa"/>
            <w:vAlign w:val="bottom"/>
            <w:shd w:val="clear" w:color="auto" w:fill="CCFFCC"/>
          </w:tcPr>
          <w:p>
            <w:pPr>
              <w:spacing w:after="0"/>
              <w:rPr>
                <w:sz w:val="11"/>
                <w:szCs w:val="11"/>
                <w:color w:val="auto"/>
              </w:rPr>
            </w:pPr>
          </w:p>
        </w:tc>
        <w:tc>
          <w:tcPr>
            <w:tcW w:w="2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2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CFFCC"/>
          </w:tcPr>
          <w:p>
            <w:pPr>
              <w:spacing w:after="0"/>
              <w:rPr>
                <w:sz w:val="11"/>
                <w:szCs w:val="11"/>
                <w:color w:val="auto"/>
              </w:rPr>
            </w:pPr>
          </w:p>
        </w:tc>
        <w:tc>
          <w:tcPr>
            <w:tcW w:w="10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1,300</w:t>
            </w:r>
          </w:p>
        </w:tc>
        <w:tc>
          <w:tcPr>
            <w:tcW w:w="220" w:type="dxa"/>
            <w:vAlign w:val="bottom"/>
            <w:shd w:val="clear" w:color="auto" w:fill="CCFFCC"/>
          </w:tcPr>
          <w:p>
            <w:pPr>
              <w:spacing w:after="0"/>
              <w:rPr>
                <w:sz w:val="11"/>
                <w:szCs w:val="11"/>
                <w:color w:val="auto"/>
              </w:rPr>
            </w:pPr>
          </w:p>
        </w:tc>
        <w:tc>
          <w:tcPr>
            <w:tcW w:w="10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FFCC"/>
          </w:tcPr>
          <w:p>
            <w:pPr>
              <w:spacing w:after="0"/>
              <w:rPr>
                <w:sz w:val="11"/>
                <w:szCs w:val="11"/>
                <w:color w:val="auto"/>
              </w:rPr>
            </w:pPr>
          </w:p>
        </w:tc>
        <w:tc>
          <w:tcPr>
            <w:tcW w:w="10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1,300</w:t>
            </w:r>
          </w:p>
        </w:tc>
        <w:tc>
          <w:tcPr>
            <w:tcW w:w="100" w:type="dxa"/>
            <w:vAlign w:val="bottom"/>
            <w:shd w:val="clear" w:color="auto" w:fill="CCFFCC"/>
          </w:tcPr>
          <w:p>
            <w:pPr>
              <w:spacing w:after="0"/>
              <w:rPr>
                <w:sz w:val="11"/>
                <w:szCs w:val="11"/>
                <w:color w:val="auto"/>
              </w:rPr>
            </w:pP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Grants of stock options, net of forfeitures—non employees</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spacing w:after="0"/>
              <w:rPr>
                <w:sz w:val="11"/>
                <w:szCs w:val="11"/>
                <w:color w:val="auto"/>
              </w:rPr>
            </w:pPr>
          </w:p>
        </w:tc>
        <w:tc>
          <w:tcPr>
            <w:tcW w:w="4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131</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131</w:t>
            </w:r>
          </w:p>
        </w:tc>
      </w:tr>
      <w:tr>
        <w:trPr>
          <w:trHeight w:val="135"/>
        </w:trPr>
        <w:tc>
          <w:tcPr>
            <w:tcW w:w="60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Exercise of warrants</w:t>
            </w:r>
          </w:p>
        </w:tc>
        <w:tc>
          <w:tcPr>
            <w:tcW w:w="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4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shd w:val="clear" w:color="auto" w:fill="CCFFCC"/>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line="135" w:lineRule="exact"/>
              <w:rPr>
                <w:sz w:val="20"/>
                <w:szCs w:val="20"/>
                <w:color w:val="auto"/>
              </w:rPr>
            </w:pPr>
            <w:r>
              <w:rPr>
                <w:rFonts w:ascii="Arial" w:cs="Arial" w:eastAsia="Arial" w:hAnsi="Arial"/>
                <w:sz w:val="13"/>
                <w:szCs w:val="13"/>
                <w:color w:val="auto"/>
              </w:rPr>
              <w:t>3</w:t>
            </w: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Conversion of convertible notes and accrued interest</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w:t>
            </w:r>
          </w:p>
        </w:tc>
        <w:tc>
          <w:tcPr>
            <w:tcW w:w="840" w:type="dxa"/>
            <w:vAlign w:val="bottom"/>
          </w:tcPr>
          <w:p>
            <w:pPr>
              <w:spacing w:after="0"/>
              <w:rPr>
                <w:sz w:val="11"/>
                <w:szCs w:val="11"/>
                <w:color w:val="auto"/>
              </w:rPr>
            </w:pPr>
          </w:p>
        </w:tc>
        <w:tc>
          <w:tcPr>
            <w:tcW w:w="4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2,484</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2,511</w:t>
            </w:r>
          </w:p>
        </w:tc>
      </w:tr>
      <w:tr>
        <w:trPr>
          <w:trHeight w:val="135"/>
        </w:trPr>
        <w:tc>
          <w:tcPr>
            <w:tcW w:w="60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Issuance of shares, net of issuance costs of $65</w:t>
            </w:r>
          </w:p>
        </w:tc>
        <w:tc>
          <w:tcPr>
            <w:tcW w:w="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w:t>
            </w:r>
          </w:p>
        </w:tc>
        <w:tc>
          <w:tcPr>
            <w:tcW w:w="84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777</w:t>
            </w:r>
          </w:p>
        </w:tc>
        <w:tc>
          <w:tcPr>
            <w:tcW w:w="1220" w:type="dxa"/>
            <w:vAlign w:val="bottom"/>
            <w:gridSpan w:val="2"/>
            <w:shd w:val="clear" w:color="auto" w:fill="CCFFCC"/>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line="135" w:lineRule="exact"/>
              <w:rPr>
                <w:sz w:val="20"/>
                <w:szCs w:val="20"/>
                <w:color w:val="auto"/>
              </w:rPr>
            </w:pPr>
            <w:r>
              <w:rPr>
                <w:rFonts w:ascii="Arial" w:cs="Arial" w:eastAsia="Arial" w:hAnsi="Arial"/>
                <w:sz w:val="13"/>
                <w:szCs w:val="13"/>
                <w:color w:val="auto"/>
              </w:rPr>
              <w:t>785</w:t>
            </w: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Issuance of shares to a consultant</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w:t>
            </w:r>
          </w:p>
        </w:tc>
        <w:tc>
          <w:tcPr>
            <w:tcW w:w="840" w:type="dxa"/>
            <w:vAlign w:val="bottom"/>
          </w:tcPr>
          <w:p>
            <w:pPr>
              <w:spacing w:after="0"/>
              <w:rPr>
                <w:sz w:val="11"/>
                <w:szCs w:val="11"/>
                <w:color w:val="auto"/>
              </w:rPr>
            </w:pPr>
          </w:p>
        </w:tc>
        <w:tc>
          <w:tcPr>
            <w:tcW w:w="4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293</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295</w:t>
            </w:r>
          </w:p>
        </w:tc>
      </w:tr>
      <w:tr>
        <w:trPr>
          <w:trHeight w:val="135"/>
        </w:trPr>
        <w:tc>
          <w:tcPr>
            <w:tcW w:w="60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Issuance of shares in connection with restructuring of venture loan</w:t>
            </w:r>
          </w:p>
        </w:tc>
        <w:tc>
          <w:tcPr>
            <w:tcW w:w="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4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210</w:t>
            </w:r>
          </w:p>
        </w:tc>
        <w:tc>
          <w:tcPr>
            <w:tcW w:w="1220" w:type="dxa"/>
            <w:vAlign w:val="bottom"/>
            <w:gridSpan w:val="2"/>
            <w:shd w:val="clear" w:color="auto" w:fill="CCFFCC"/>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line="135" w:lineRule="exact"/>
              <w:rPr>
                <w:sz w:val="20"/>
                <w:szCs w:val="20"/>
                <w:color w:val="auto"/>
              </w:rPr>
            </w:pPr>
            <w:r>
              <w:rPr>
                <w:rFonts w:ascii="Arial" w:cs="Arial" w:eastAsia="Arial" w:hAnsi="Arial"/>
                <w:sz w:val="13"/>
                <w:szCs w:val="13"/>
                <w:color w:val="auto"/>
              </w:rPr>
              <w:t>213</w:t>
            </w: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Grants of warrants to charity</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spacing w:after="0"/>
              <w:rPr>
                <w:sz w:val="11"/>
                <w:szCs w:val="11"/>
                <w:color w:val="auto"/>
              </w:rPr>
            </w:pPr>
          </w:p>
        </w:tc>
        <w:tc>
          <w:tcPr>
            <w:tcW w:w="4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43</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43</w:t>
            </w:r>
          </w:p>
        </w:tc>
      </w:tr>
      <w:tr>
        <w:trPr>
          <w:trHeight w:val="135"/>
        </w:trPr>
        <w:tc>
          <w:tcPr>
            <w:tcW w:w="60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Exercise of stock options</w:t>
            </w:r>
          </w:p>
        </w:tc>
        <w:tc>
          <w:tcPr>
            <w:tcW w:w="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4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shd w:val="clear" w:color="auto" w:fill="CCFFCC"/>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line="135" w:lineRule="exact"/>
              <w:rPr>
                <w:sz w:val="20"/>
                <w:szCs w:val="20"/>
                <w:color w:val="auto"/>
              </w:rPr>
            </w:pPr>
            <w:r>
              <w:rPr>
                <w:rFonts w:ascii="Arial" w:cs="Arial" w:eastAsia="Arial" w:hAnsi="Arial"/>
                <w:sz w:val="13"/>
                <w:szCs w:val="13"/>
                <w:color w:val="auto"/>
              </w:rPr>
              <w:t>3</w:t>
            </w: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Beneficial conversion feature recorded in connection with convertible notes</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spacing w:after="0"/>
              <w:rPr>
                <w:sz w:val="11"/>
                <w:szCs w:val="11"/>
                <w:color w:val="auto"/>
              </w:rPr>
            </w:pPr>
          </w:p>
        </w:tc>
        <w:tc>
          <w:tcPr>
            <w:tcW w:w="4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1,269</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1,269</w:t>
            </w:r>
          </w:p>
        </w:tc>
      </w:tr>
      <w:tr>
        <w:trPr>
          <w:trHeight w:val="149"/>
        </w:trPr>
        <w:tc>
          <w:tcPr>
            <w:tcW w:w="604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Net loss for the year</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spacing w:after="0"/>
              <w:rPr>
                <w:sz w:val="12"/>
                <w:szCs w:val="12"/>
                <w:color w:val="auto"/>
              </w:rPr>
            </w:pPr>
          </w:p>
        </w:tc>
        <w:tc>
          <w:tcPr>
            <w:tcW w:w="4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FFCC"/>
          </w:tcPr>
          <w:p>
            <w:pPr>
              <w:jc w:val="right"/>
              <w:ind w:right="138"/>
              <w:spacing w:after="0"/>
              <w:rPr>
                <w:sz w:val="20"/>
                <w:szCs w:val="20"/>
                <w:color w:val="auto"/>
              </w:rPr>
            </w:pPr>
            <w:r>
              <w:rPr>
                <w:rFonts w:ascii="Arial" w:cs="Arial" w:eastAsia="Arial" w:hAnsi="Arial"/>
                <w:sz w:val="13"/>
                <w:szCs w:val="13"/>
                <w:color w:val="auto"/>
              </w:rPr>
              <w:t>(7,479)</w:t>
            </w:r>
          </w:p>
        </w:tc>
        <w:tc>
          <w:tcPr>
            <w:tcW w:w="1120" w:type="dxa"/>
            <w:vAlign w:val="bottom"/>
            <w:gridSpan w:val="2"/>
            <w:shd w:val="clear" w:color="auto" w:fill="CCFFCC"/>
          </w:tcPr>
          <w:p>
            <w:pPr>
              <w:jc w:val="right"/>
              <w:ind w:right="18"/>
              <w:spacing w:after="0"/>
              <w:rPr>
                <w:sz w:val="20"/>
                <w:szCs w:val="20"/>
                <w:color w:val="auto"/>
              </w:rPr>
            </w:pPr>
            <w:r>
              <w:rPr>
                <w:rFonts w:ascii="Arial" w:cs="Arial" w:eastAsia="Arial" w:hAnsi="Arial"/>
                <w:sz w:val="13"/>
                <w:szCs w:val="13"/>
                <w:color w:val="auto"/>
              </w:rPr>
              <w:t>(7,479)</w:t>
            </w:r>
          </w:p>
        </w:tc>
      </w:tr>
      <w:tr>
        <w:trPr>
          <w:trHeight w:val="129"/>
        </w:trPr>
        <w:tc>
          <w:tcPr>
            <w:tcW w:w="528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Balance as of December 31, 2011 (Audited)</w:t>
            </w:r>
          </w:p>
        </w:tc>
        <w:tc>
          <w:tcPr>
            <w:tcW w:w="7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100</w:t>
            </w:r>
          </w:p>
        </w:tc>
        <w:tc>
          <w:tcPr>
            <w:tcW w:w="240" w:type="dxa"/>
            <w:vAlign w:val="bottom"/>
            <w:tcBorders>
              <w:bottom w:val="single" w:sz="8" w:color="CCFFCC"/>
            </w:tcBorders>
          </w:tcPr>
          <w:p>
            <w:pPr>
              <w:spacing w:after="0"/>
              <w:rPr>
                <w:sz w:val="11"/>
                <w:szCs w:val="11"/>
                <w:color w:val="auto"/>
              </w:rPr>
            </w:pPr>
          </w:p>
        </w:tc>
        <w:tc>
          <w:tcPr>
            <w:tcW w:w="8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FFCC"/>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36,281</w:t>
            </w:r>
          </w:p>
        </w:tc>
        <w:tc>
          <w:tcPr>
            <w:tcW w:w="220" w:type="dxa"/>
            <w:vAlign w:val="bottom"/>
            <w:tcBorders>
              <w:bottom w:val="single" w:sz="8" w:color="CCFFCC"/>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(37,546</w:t>
            </w:r>
          </w:p>
        </w:tc>
        <w:tc>
          <w:tcPr>
            <w:tcW w:w="220" w:type="dxa"/>
            <w:vAlign w:val="bottom"/>
            <w:tcBorders>
              <w:bottom w:val="single" w:sz="8" w:color="CCFFCC"/>
            </w:tcBorders>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(1,165</w:t>
            </w:r>
          </w:p>
        </w:tc>
        <w:tc>
          <w:tcPr>
            <w:tcW w:w="100" w:type="dxa"/>
            <w:vAlign w:val="bottom"/>
            <w:tcBorders>
              <w:bottom w:val="single" w:sz="8" w:color="CCFFCC"/>
            </w:tcBorders>
          </w:tcPr>
          <w:p>
            <w:pPr>
              <w:jc w:val="right"/>
              <w:ind w:right="18"/>
              <w:spacing w:after="0"/>
              <w:rPr>
                <w:sz w:val="20"/>
                <w:szCs w:val="20"/>
                <w:color w:val="auto"/>
              </w:rPr>
            </w:pPr>
            <w:r>
              <w:rPr>
                <w:rFonts w:ascii="Arial" w:cs="Arial" w:eastAsia="Arial" w:hAnsi="Arial"/>
                <w:sz w:val="8"/>
                <w:szCs w:val="8"/>
                <w:b w:val="1"/>
                <w:bCs w:val="1"/>
                <w:color w:val="auto"/>
                <w:w w:val="73"/>
              </w:rPr>
              <w:t>)</w:t>
            </w:r>
          </w:p>
        </w:tc>
      </w:tr>
      <w:tr>
        <w:trPr>
          <w:trHeight w:val="129"/>
        </w:trPr>
        <w:tc>
          <w:tcPr>
            <w:tcW w:w="528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Grants of stock options, net of forfeitures—employees</w:t>
            </w:r>
          </w:p>
        </w:tc>
        <w:tc>
          <w:tcPr>
            <w:tcW w:w="760" w:type="dxa"/>
            <w:vAlign w:val="bottom"/>
            <w:shd w:val="clear" w:color="auto" w:fill="CCFFCC"/>
          </w:tcPr>
          <w:p>
            <w:pPr>
              <w:spacing w:after="0"/>
              <w:rPr>
                <w:sz w:val="11"/>
                <w:szCs w:val="11"/>
                <w:color w:val="auto"/>
              </w:rPr>
            </w:pPr>
          </w:p>
        </w:tc>
        <w:tc>
          <w:tcPr>
            <w:tcW w:w="2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2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CFFCC"/>
          </w:tcPr>
          <w:p>
            <w:pPr>
              <w:spacing w:after="0"/>
              <w:rPr>
                <w:sz w:val="11"/>
                <w:szCs w:val="11"/>
                <w:color w:val="auto"/>
              </w:rPr>
            </w:pPr>
          </w:p>
        </w:tc>
        <w:tc>
          <w:tcPr>
            <w:tcW w:w="10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714</w:t>
            </w:r>
          </w:p>
        </w:tc>
        <w:tc>
          <w:tcPr>
            <w:tcW w:w="220" w:type="dxa"/>
            <w:vAlign w:val="bottom"/>
            <w:shd w:val="clear" w:color="auto" w:fill="CCFFCC"/>
          </w:tcPr>
          <w:p>
            <w:pPr>
              <w:spacing w:after="0"/>
              <w:rPr>
                <w:sz w:val="11"/>
                <w:szCs w:val="11"/>
                <w:color w:val="auto"/>
              </w:rPr>
            </w:pPr>
          </w:p>
        </w:tc>
        <w:tc>
          <w:tcPr>
            <w:tcW w:w="10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FFCC"/>
          </w:tcPr>
          <w:p>
            <w:pPr>
              <w:spacing w:after="0"/>
              <w:rPr>
                <w:sz w:val="11"/>
                <w:szCs w:val="11"/>
                <w:color w:val="auto"/>
              </w:rPr>
            </w:pPr>
          </w:p>
        </w:tc>
        <w:tc>
          <w:tcPr>
            <w:tcW w:w="10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714</w:t>
            </w:r>
          </w:p>
        </w:tc>
        <w:tc>
          <w:tcPr>
            <w:tcW w:w="100" w:type="dxa"/>
            <w:vAlign w:val="bottom"/>
            <w:shd w:val="clear" w:color="auto" w:fill="CCFFCC"/>
          </w:tcPr>
          <w:p>
            <w:pPr>
              <w:spacing w:after="0"/>
              <w:rPr>
                <w:sz w:val="11"/>
                <w:szCs w:val="11"/>
                <w:color w:val="auto"/>
              </w:rPr>
            </w:pP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Grants of stock options, net of forfeitures—non employees</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spacing w:after="0"/>
              <w:rPr>
                <w:sz w:val="11"/>
                <w:szCs w:val="11"/>
                <w:color w:val="auto"/>
              </w:rPr>
            </w:pPr>
          </w:p>
        </w:tc>
        <w:tc>
          <w:tcPr>
            <w:tcW w:w="4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150</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b w:val="1"/>
                <w:bCs w:val="1"/>
                <w:color w:val="auto"/>
              </w:rPr>
              <w:t>150</w:t>
            </w:r>
          </w:p>
        </w:tc>
      </w:tr>
      <w:tr>
        <w:trPr>
          <w:trHeight w:val="135"/>
        </w:trPr>
        <w:tc>
          <w:tcPr>
            <w:tcW w:w="60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Exercise of warrants</w:t>
            </w:r>
          </w:p>
        </w:tc>
        <w:tc>
          <w:tcPr>
            <w:tcW w:w="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39</w:t>
            </w:r>
          </w:p>
        </w:tc>
        <w:tc>
          <w:tcPr>
            <w:tcW w:w="84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5,836</w:t>
            </w:r>
          </w:p>
        </w:tc>
        <w:tc>
          <w:tcPr>
            <w:tcW w:w="1220" w:type="dxa"/>
            <w:vAlign w:val="bottom"/>
            <w:gridSpan w:val="2"/>
            <w:shd w:val="clear" w:color="auto" w:fill="CCFFCC"/>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line="135" w:lineRule="exact"/>
              <w:rPr>
                <w:sz w:val="20"/>
                <w:szCs w:val="20"/>
                <w:color w:val="auto"/>
              </w:rPr>
            </w:pPr>
            <w:r>
              <w:rPr>
                <w:rFonts w:ascii="Arial" w:cs="Arial" w:eastAsia="Arial" w:hAnsi="Arial"/>
                <w:sz w:val="13"/>
                <w:szCs w:val="13"/>
                <w:b w:val="1"/>
                <w:bCs w:val="1"/>
                <w:color w:val="auto"/>
              </w:rPr>
              <w:t>5,875</w:t>
            </w:r>
          </w:p>
        </w:tc>
      </w:tr>
      <w:tr>
        <w:trPr>
          <w:trHeight w:val="135"/>
        </w:trPr>
        <w:tc>
          <w:tcPr>
            <w:tcW w:w="6040" w:type="dxa"/>
            <w:vAlign w:val="bottom"/>
            <w:gridSpan w:val="2"/>
          </w:tcPr>
          <w:p>
            <w:pPr>
              <w:spacing w:after="0" w:line="135" w:lineRule="exact"/>
              <w:rPr>
                <w:sz w:val="20"/>
                <w:szCs w:val="20"/>
                <w:color w:val="auto"/>
              </w:rPr>
            </w:pPr>
            <w:r>
              <w:rPr>
                <w:rFonts w:ascii="Arial" w:cs="Arial" w:eastAsia="Arial" w:hAnsi="Arial"/>
                <w:sz w:val="13"/>
                <w:szCs w:val="13"/>
                <w:color w:val="auto"/>
              </w:rPr>
              <w:t>Issuance of non-preferential reload warrants</w:t>
            </w: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spacing w:after="0"/>
              <w:rPr>
                <w:sz w:val="11"/>
                <w:szCs w:val="11"/>
                <w:color w:val="auto"/>
              </w:rPr>
            </w:pPr>
          </w:p>
        </w:tc>
        <w:tc>
          <w:tcPr>
            <w:tcW w:w="4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1,091</w:t>
            </w:r>
          </w:p>
        </w:tc>
        <w:tc>
          <w:tcPr>
            <w:tcW w:w="122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b w:val="1"/>
                <w:bCs w:val="1"/>
                <w:color w:val="auto"/>
              </w:rPr>
              <w:t>1,091</w:t>
            </w:r>
          </w:p>
        </w:tc>
      </w:tr>
      <w:tr>
        <w:trPr>
          <w:trHeight w:val="135"/>
        </w:trPr>
        <w:tc>
          <w:tcPr>
            <w:tcW w:w="60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Exercise of stock options</w:t>
            </w:r>
          </w:p>
        </w:tc>
        <w:tc>
          <w:tcPr>
            <w:tcW w:w="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shd w:val="clear" w:color="auto" w:fill="CCFFCC"/>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line="135" w:lineRule="exact"/>
              <w:rPr>
                <w:sz w:val="20"/>
                <w:szCs w:val="20"/>
                <w:color w:val="auto"/>
              </w:rPr>
            </w:pPr>
            <w:r>
              <w:rPr>
                <w:rFonts w:ascii="Arial" w:cs="Arial" w:eastAsia="Arial" w:hAnsi="Arial"/>
                <w:sz w:val="13"/>
                <w:szCs w:val="13"/>
                <w:color w:val="auto"/>
              </w:rPr>
              <w:t>*—</w:t>
            </w:r>
          </w:p>
        </w:tc>
      </w:tr>
      <w:tr>
        <w:trPr>
          <w:trHeight w:val="149"/>
        </w:trPr>
        <w:tc>
          <w:tcPr>
            <w:tcW w:w="6040" w:type="dxa"/>
            <w:vAlign w:val="bottom"/>
            <w:gridSpan w:val="2"/>
          </w:tcPr>
          <w:p>
            <w:pPr>
              <w:spacing w:after="0"/>
              <w:rPr>
                <w:sz w:val="20"/>
                <w:szCs w:val="20"/>
                <w:color w:val="auto"/>
              </w:rPr>
            </w:pPr>
            <w:r>
              <w:rPr>
                <w:rFonts w:ascii="Arial" w:cs="Arial" w:eastAsia="Arial" w:hAnsi="Arial"/>
                <w:sz w:val="13"/>
                <w:szCs w:val="13"/>
                <w:color w:val="auto"/>
              </w:rPr>
              <w:t>Net loss for the period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38"/>
              <w:spacing w:after="0"/>
              <w:rPr>
                <w:sz w:val="20"/>
                <w:szCs w:val="20"/>
                <w:color w:val="auto"/>
              </w:rPr>
            </w:pPr>
            <w:r>
              <w:rPr>
                <w:rFonts w:ascii="Arial" w:cs="Arial" w:eastAsia="Arial" w:hAnsi="Arial"/>
                <w:sz w:val="13"/>
                <w:szCs w:val="13"/>
                <w:b w:val="1"/>
                <w:bCs w:val="1"/>
                <w:color w:val="auto"/>
              </w:rPr>
              <w:t>(5,644)</w:t>
            </w:r>
          </w:p>
        </w:tc>
        <w:tc>
          <w:tcPr>
            <w:tcW w:w="1120" w:type="dxa"/>
            <w:vAlign w:val="bottom"/>
            <w:gridSpan w:val="2"/>
          </w:tcPr>
          <w:p>
            <w:pPr>
              <w:jc w:val="right"/>
              <w:ind w:right="18"/>
              <w:spacing w:after="0"/>
              <w:rPr>
                <w:sz w:val="20"/>
                <w:szCs w:val="20"/>
                <w:color w:val="auto"/>
              </w:rPr>
            </w:pPr>
            <w:r>
              <w:rPr>
                <w:rFonts w:ascii="Arial" w:cs="Arial" w:eastAsia="Arial" w:hAnsi="Arial"/>
                <w:sz w:val="13"/>
                <w:szCs w:val="13"/>
                <w:b w:val="1"/>
                <w:bCs w:val="1"/>
                <w:color w:val="auto"/>
              </w:rPr>
              <w:t>(5,644)</w:t>
            </w:r>
          </w:p>
        </w:tc>
      </w:tr>
      <w:tr>
        <w:trPr>
          <w:trHeight w:val="142"/>
        </w:trPr>
        <w:tc>
          <w:tcPr>
            <w:tcW w:w="5280" w:type="dxa"/>
            <w:vAlign w:val="bottom"/>
            <w:tcBorders>
              <w:top w:val="single" w:sz="8" w:color="CCFFCC"/>
              <w:bottom w:val="single" w:sz="8" w:color="CCFFCC"/>
            </w:tcBorders>
            <w:shd w:val="clear" w:color="auto" w:fill="CCFFCC"/>
          </w:tcPr>
          <w:p>
            <w:pPr>
              <w:spacing w:after="0" w:line="143" w:lineRule="exact"/>
              <w:rPr>
                <w:sz w:val="20"/>
                <w:szCs w:val="20"/>
                <w:color w:val="auto"/>
              </w:rPr>
            </w:pPr>
            <w:r>
              <w:rPr>
                <w:rFonts w:ascii="Arial" w:cs="Arial" w:eastAsia="Arial" w:hAnsi="Arial"/>
                <w:sz w:val="13"/>
                <w:szCs w:val="13"/>
                <w:b w:val="1"/>
                <w:bCs w:val="1"/>
                <w:color w:val="auto"/>
              </w:rPr>
              <w:t>Balance as of March 31, 2012 (Unaudited)</w:t>
            </w:r>
          </w:p>
        </w:tc>
        <w:tc>
          <w:tcPr>
            <w:tcW w:w="760" w:type="dxa"/>
            <w:vAlign w:val="bottom"/>
            <w:tcBorders>
              <w:top w:val="single" w:sz="8" w:color="auto"/>
              <w:bottom w:val="single" w:sz="8" w:color="auto"/>
            </w:tcBorders>
            <w:shd w:val="clear" w:color="auto" w:fill="CCFFCC"/>
          </w:tcPr>
          <w:p>
            <w:pPr>
              <w:spacing w:after="0"/>
              <w:rPr>
                <w:sz w:val="12"/>
                <w:szCs w:val="12"/>
                <w:color w:val="auto"/>
              </w:rPr>
            </w:pPr>
          </w:p>
        </w:tc>
        <w:tc>
          <w:tcPr>
            <w:tcW w:w="280" w:type="dxa"/>
            <w:vAlign w:val="bottom"/>
            <w:tcBorders>
              <w:top w:val="single" w:sz="8" w:color="auto"/>
              <w:bottom w:val="single" w:sz="8" w:color="auto"/>
            </w:tcBorders>
            <w:shd w:val="clear" w:color="auto" w:fill="CCFFCC"/>
          </w:tcPr>
          <w:p>
            <w:pPr>
              <w:jc w:val="right"/>
              <w:spacing w:after="0" w:line="143" w:lineRule="exact"/>
              <w:rPr>
                <w:sz w:val="20"/>
                <w:szCs w:val="20"/>
                <w:color w:val="auto"/>
              </w:rPr>
            </w:pPr>
            <w:r>
              <w:rPr>
                <w:rFonts w:ascii="Arial" w:cs="Arial" w:eastAsia="Arial" w:hAnsi="Arial"/>
                <w:sz w:val="13"/>
                <w:szCs w:val="13"/>
                <w:b w:val="1"/>
                <w:bCs w:val="1"/>
                <w:color w:val="auto"/>
              </w:rPr>
              <w:t>139</w:t>
            </w:r>
          </w:p>
        </w:tc>
        <w:tc>
          <w:tcPr>
            <w:tcW w:w="240" w:type="dxa"/>
            <w:vAlign w:val="bottom"/>
            <w:tcBorders>
              <w:top w:val="single" w:sz="8" w:color="CCFFCC"/>
              <w:bottom w:val="single" w:sz="8" w:color="CCFFCC"/>
            </w:tcBorders>
            <w:shd w:val="clear" w:color="auto" w:fill="CCFFCC"/>
          </w:tcPr>
          <w:p>
            <w:pPr>
              <w:spacing w:after="0"/>
              <w:rPr>
                <w:sz w:val="12"/>
                <w:szCs w:val="12"/>
                <w:color w:val="auto"/>
              </w:rPr>
            </w:pPr>
          </w:p>
        </w:tc>
        <w:tc>
          <w:tcPr>
            <w:tcW w:w="840" w:type="dxa"/>
            <w:vAlign w:val="bottom"/>
            <w:tcBorders>
              <w:top w:val="single" w:sz="8" w:color="auto"/>
              <w:bottom w:val="single" w:sz="8" w:color="auto"/>
            </w:tcBorders>
            <w:shd w:val="clear" w:color="auto" w:fill="CCFFCC"/>
          </w:tcPr>
          <w:p>
            <w:pPr>
              <w:spacing w:after="0"/>
              <w:rPr>
                <w:sz w:val="12"/>
                <w:szCs w:val="12"/>
                <w:color w:val="auto"/>
              </w:rPr>
            </w:pPr>
          </w:p>
        </w:tc>
        <w:tc>
          <w:tcPr>
            <w:tcW w:w="200" w:type="dxa"/>
            <w:vAlign w:val="bottom"/>
            <w:tcBorders>
              <w:top w:val="single" w:sz="8" w:color="auto"/>
              <w:bottom w:val="single" w:sz="8" w:color="auto"/>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FFCC"/>
              <w:bottom w:val="single" w:sz="8" w:color="CCFFCC"/>
            </w:tcBorders>
            <w:shd w:val="clear" w:color="auto" w:fill="CCFFCC"/>
          </w:tcPr>
          <w:p>
            <w:pPr>
              <w:spacing w:after="0"/>
              <w:rPr>
                <w:sz w:val="12"/>
                <w:szCs w:val="12"/>
                <w:color w:val="auto"/>
              </w:rPr>
            </w:pPr>
          </w:p>
        </w:tc>
        <w:tc>
          <w:tcPr>
            <w:tcW w:w="1020" w:type="dxa"/>
            <w:vAlign w:val="bottom"/>
            <w:tcBorders>
              <w:top w:val="single" w:sz="8" w:color="auto"/>
              <w:bottom w:val="single" w:sz="8" w:color="auto"/>
            </w:tcBorders>
            <w:shd w:val="clear" w:color="auto" w:fill="CCFFCC"/>
          </w:tcPr>
          <w:p>
            <w:pPr>
              <w:jc w:val="right"/>
              <w:spacing w:after="0" w:line="143" w:lineRule="exact"/>
              <w:rPr>
                <w:sz w:val="20"/>
                <w:szCs w:val="20"/>
                <w:color w:val="auto"/>
              </w:rPr>
            </w:pPr>
            <w:r>
              <w:rPr>
                <w:rFonts w:ascii="Arial" w:cs="Arial" w:eastAsia="Arial" w:hAnsi="Arial"/>
                <w:sz w:val="13"/>
                <w:szCs w:val="13"/>
                <w:b w:val="1"/>
                <w:bCs w:val="1"/>
                <w:color w:val="auto"/>
              </w:rPr>
              <w:t>44,072</w:t>
            </w:r>
          </w:p>
        </w:tc>
        <w:tc>
          <w:tcPr>
            <w:tcW w:w="220" w:type="dxa"/>
            <w:vAlign w:val="bottom"/>
            <w:tcBorders>
              <w:top w:val="single" w:sz="8" w:color="CCFFCC"/>
              <w:bottom w:val="single" w:sz="8" w:color="CCFFCC"/>
            </w:tcBorders>
            <w:shd w:val="clear" w:color="auto" w:fill="CCFFCC"/>
          </w:tcPr>
          <w:p>
            <w:pPr>
              <w:spacing w:after="0"/>
              <w:rPr>
                <w:sz w:val="12"/>
                <w:szCs w:val="12"/>
                <w:color w:val="auto"/>
              </w:rPr>
            </w:pPr>
          </w:p>
        </w:tc>
        <w:tc>
          <w:tcPr>
            <w:tcW w:w="1000" w:type="dxa"/>
            <w:vAlign w:val="bottom"/>
            <w:tcBorders>
              <w:top w:val="single" w:sz="8" w:color="auto"/>
              <w:bottom w:val="single" w:sz="8" w:color="auto"/>
            </w:tcBorders>
            <w:shd w:val="clear" w:color="auto" w:fill="CCFFCC"/>
          </w:tcPr>
          <w:p>
            <w:pPr>
              <w:jc w:val="right"/>
              <w:spacing w:after="0" w:line="143" w:lineRule="exact"/>
              <w:rPr>
                <w:sz w:val="20"/>
                <w:szCs w:val="20"/>
                <w:color w:val="auto"/>
              </w:rPr>
            </w:pPr>
            <w:r>
              <w:rPr>
                <w:rFonts w:ascii="Arial" w:cs="Arial" w:eastAsia="Arial" w:hAnsi="Arial"/>
                <w:sz w:val="13"/>
                <w:szCs w:val="13"/>
                <w:b w:val="1"/>
                <w:bCs w:val="1"/>
                <w:color w:val="auto"/>
              </w:rPr>
              <w:t>(43,190</w:t>
            </w:r>
          </w:p>
        </w:tc>
        <w:tc>
          <w:tcPr>
            <w:tcW w:w="220" w:type="dxa"/>
            <w:vAlign w:val="bottom"/>
            <w:tcBorders>
              <w:top w:val="single" w:sz="8" w:color="CCFFCC"/>
              <w:bottom w:val="single" w:sz="8" w:color="CCFFCC"/>
            </w:tcBorders>
            <w:shd w:val="clear" w:color="auto" w:fill="CCFFCC"/>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1020" w:type="dxa"/>
            <w:vAlign w:val="bottom"/>
            <w:tcBorders>
              <w:top w:val="single" w:sz="8" w:color="auto"/>
              <w:bottom w:val="single" w:sz="8" w:color="auto"/>
            </w:tcBorders>
            <w:shd w:val="clear" w:color="auto" w:fill="CCFFCC"/>
          </w:tcPr>
          <w:p>
            <w:pPr>
              <w:jc w:val="right"/>
              <w:spacing w:after="0" w:line="143" w:lineRule="exact"/>
              <w:rPr>
                <w:sz w:val="20"/>
                <w:szCs w:val="20"/>
                <w:color w:val="auto"/>
              </w:rPr>
            </w:pPr>
            <w:r>
              <w:rPr>
                <w:rFonts w:ascii="Arial" w:cs="Arial" w:eastAsia="Arial" w:hAnsi="Arial"/>
                <w:sz w:val="13"/>
                <w:szCs w:val="13"/>
                <w:b w:val="1"/>
                <w:bCs w:val="1"/>
                <w:color w:val="auto"/>
              </w:rPr>
              <w:t>1,021</w:t>
            </w:r>
          </w:p>
        </w:tc>
        <w:tc>
          <w:tcPr>
            <w:tcW w:w="100" w:type="dxa"/>
            <w:vAlign w:val="bottom"/>
            <w:tcBorders>
              <w:top w:val="single" w:sz="8" w:color="CCFFCC"/>
              <w:bottom w:val="single" w:sz="8" w:color="CCFFCC"/>
            </w:tcBorders>
            <w:shd w:val="clear" w:color="auto" w:fill="CCFFCC"/>
          </w:tcPr>
          <w:p>
            <w:pPr>
              <w:spacing w:after="0"/>
              <w:rPr>
                <w:sz w:val="12"/>
                <w:szCs w:val="12"/>
                <w:color w:val="auto"/>
              </w:rPr>
            </w:pPr>
          </w:p>
        </w:tc>
      </w:tr>
      <w:tr>
        <w:trPr>
          <w:trHeight w:val="20"/>
        </w:trPr>
        <w:tc>
          <w:tcPr>
            <w:tcW w:w="5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Consideration for less than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Cumulative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from inception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3260" w:type="dxa"/>
            <w:vAlign w:val="bottom"/>
            <w:gridSpan w:val="5"/>
          </w:tcPr>
          <w:p>
            <w:pPr>
              <w:jc w:val="right"/>
              <w:ind w:right="180"/>
              <w:spacing w:after="0"/>
              <w:rPr>
                <w:sz w:val="20"/>
                <w:szCs w:val="20"/>
                <w:color w:val="auto"/>
              </w:rPr>
            </w:pPr>
            <w:r>
              <w:rPr>
                <w:rFonts w:ascii="Arial" w:cs="Arial" w:eastAsia="Arial" w:hAnsi="Arial"/>
                <w:sz w:val="16"/>
                <w:szCs w:val="16"/>
                <w:b w:val="1"/>
                <w:bCs w:val="1"/>
                <w:color w:val="auto"/>
                <w:w w:val="91"/>
              </w:rPr>
              <w:t>For the three month period ended March 31,</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to March 31,</w:t>
            </w:r>
          </w:p>
        </w:tc>
        <w:tc>
          <w:tcPr>
            <w:tcW w:w="0" w:type="dxa"/>
            <w:vAlign w:val="bottom"/>
          </w:tcPr>
          <w:p>
            <w:pPr>
              <w:spacing w:after="0"/>
              <w:rPr>
                <w:sz w:val="1"/>
                <w:szCs w:val="1"/>
                <w:color w:val="auto"/>
              </w:rPr>
            </w:pPr>
          </w:p>
        </w:tc>
      </w:tr>
      <w:tr>
        <w:trPr>
          <w:trHeight w:val="210"/>
        </w:trPr>
        <w:tc>
          <w:tcPr>
            <w:tcW w:w="6800" w:type="dxa"/>
            <w:vAlign w:val="bottom"/>
            <w:gridSpan w:val="2"/>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tcBorders>
              <w:bottom w:val="single" w:sz="8" w:color="CCFFCC"/>
            </w:tcBorders>
          </w:tcPr>
          <w:p>
            <w:pPr>
              <w:spacing w:after="0"/>
              <w:rPr>
                <w:sz w:val="17"/>
                <w:szCs w:val="17"/>
                <w:color w:val="auto"/>
              </w:rPr>
            </w:pPr>
          </w:p>
        </w:tc>
        <w:tc>
          <w:tcPr>
            <w:tcW w:w="94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w w:val="89"/>
              </w:rPr>
              <w:t>U.S.$</w:t>
            </w:r>
          </w:p>
        </w:tc>
        <w:tc>
          <w:tcPr>
            <w:tcW w:w="460" w:type="dxa"/>
            <w:vAlign w:val="bottom"/>
            <w:tcBorders>
              <w:bottom w:val="single" w:sz="8" w:color="auto"/>
            </w:tcBorders>
          </w:tcPr>
          <w:p>
            <w:pPr>
              <w:spacing w:after="0"/>
              <w:rPr>
                <w:sz w:val="17"/>
                <w:szCs w:val="17"/>
                <w:color w:val="auto"/>
              </w:rPr>
            </w:pPr>
          </w:p>
        </w:tc>
        <w:tc>
          <w:tcPr>
            <w:tcW w:w="240" w:type="dxa"/>
            <w:vAlign w:val="bottom"/>
            <w:tcBorders>
              <w:bottom w:val="single" w:sz="8" w:color="CCFFCC"/>
            </w:tcBorders>
          </w:tcPr>
          <w:p>
            <w:pPr>
              <w:spacing w:after="0"/>
              <w:rPr>
                <w:sz w:val="17"/>
                <w:szCs w:val="17"/>
                <w:color w:val="auto"/>
              </w:rPr>
            </w:pP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U.S.$</w:t>
            </w:r>
          </w:p>
        </w:tc>
        <w:tc>
          <w:tcPr>
            <w:tcW w:w="200" w:type="dxa"/>
            <w:vAlign w:val="bottom"/>
            <w:tcBorders>
              <w:bottom w:val="single" w:sz="8" w:color="CCFFCC"/>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U.S.$</w:t>
            </w:r>
          </w:p>
        </w:tc>
        <w:tc>
          <w:tcPr>
            <w:tcW w:w="8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4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8"/>
              </w:rPr>
              <w:t>(5,644)</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(1,109)</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(43,190)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Adjustments to reconcile net cash flows used in operating activities:</w:t>
            </w:r>
          </w:p>
        </w:tc>
        <w:tc>
          <w:tcPr>
            <w:tcW w:w="4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4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Items not affecting cash flows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Depreciation and amortization</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16</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9</w:t>
            </w:r>
          </w:p>
        </w:tc>
        <w:tc>
          <w:tcPr>
            <w:tcW w:w="12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470</w:t>
            </w: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Change in deferred tax assets and liabilities</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(41)</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28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Increase (decrease) in accrued severance pay</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63</w:t>
            </w: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(176)</w:t>
            </w:r>
          </w:p>
        </w:tc>
        <w:tc>
          <w:tcPr>
            <w:tcW w:w="12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213</w:t>
            </w: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Share-based payment expenses</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864</w:t>
            </w: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431</w:t>
            </w:r>
          </w:p>
        </w:tc>
        <w:tc>
          <w:tcPr>
            <w:tcW w:w="1280" w:type="dxa"/>
            <w:vAlign w:val="bottom"/>
          </w:tcPr>
          <w:p>
            <w:pPr>
              <w:jc w:val="right"/>
              <w:spacing w:after="0"/>
              <w:rPr>
                <w:sz w:val="20"/>
                <w:szCs w:val="20"/>
                <w:color w:val="auto"/>
              </w:rPr>
            </w:pPr>
            <w:r>
              <w:rPr>
                <w:rFonts w:ascii="Arial" w:cs="Arial" w:eastAsia="Arial" w:hAnsi="Arial"/>
                <w:sz w:val="16"/>
                <w:szCs w:val="16"/>
                <w:color w:val="auto"/>
              </w:rPr>
              <w:t>5,326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Accrued interest expense</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52</w:t>
            </w:r>
          </w:p>
        </w:tc>
        <w:tc>
          <w:tcPr>
            <w:tcW w:w="12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2,855</w:t>
            </w: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Interest and amortization of discount in connection with convertible notes</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Gain on restructuring of venture loan</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Increase (decrease) in fair value of warrants</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411</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(708)</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Issuance of non-preferential reload warrants</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1,091</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1,091</w:t>
            </w: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Issuance of preferential reload warrants</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1,476</w:t>
            </w:r>
          </w:p>
        </w:tc>
        <w:tc>
          <w:tcPr>
            <w:tcW w:w="16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Loss on extinguishment of debt</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321</w:t>
            </w: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Exchange rate (gains) losses</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(10)</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128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shd w:val="clear" w:color="auto" w:fill="CCFFCC"/>
          </w:tcPr>
          <w:p>
            <w:pPr>
              <w:spacing w:after="0"/>
              <w:rPr>
                <w:sz w:val="20"/>
                <w:szCs w:val="20"/>
                <w:color w:val="auto"/>
              </w:rPr>
            </w:pPr>
            <w:r>
              <w:rPr>
                <w:rFonts w:ascii="Arial" w:cs="Arial" w:eastAsia="Arial" w:hAnsi="Arial"/>
                <w:sz w:val="16"/>
                <w:szCs w:val="16"/>
                <w:b w:val="1"/>
                <w:bCs w:val="1"/>
                <w:color w:val="auto"/>
              </w:rPr>
              <w:t>Changes in current assets and liabilities</w:t>
            </w:r>
          </w:p>
        </w:tc>
        <w:tc>
          <w:tcPr>
            <w:tcW w:w="4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4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Decrease (increase) in receivables, prepaid expenses and other current assets</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233</w:t>
            </w: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7</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Increase (decrease) in payables and accruals</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326</w:t>
            </w: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(7)</w:t>
            </w:r>
          </w:p>
        </w:tc>
        <w:tc>
          <w:tcPr>
            <w:tcW w:w="12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959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720" w:type="dxa"/>
            <w:vAlign w:val="bottom"/>
            <w:gridSpan w:val="2"/>
            <w:shd w:val="clear" w:color="auto" w:fill="CCFFCC"/>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b w:val="1"/>
                <w:bCs w:val="1"/>
                <w:color w:val="auto"/>
                <w:w w:val="98"/>
              </w:rPr>
              <w:t>(1,215)</w:t>
            </w: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(1,517)</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(30,518)</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20" w:type="dxa"/>
            <w:vAlign w:val="bottom"/>
            <w:gridSpan w:val="2"/>
            <w:shd w:val="clear" w:color="auto" w:fill="CCFFC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4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4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Acquisition of property and equipment</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(5)</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(6)</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Increase in lease deposits</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Investment in short-term deposits (restricted)</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20</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780" w:type="dxa"/>
            <w:vAlign w:val="bottom"/>
            <w:tcBorders>
              <w:top w:val="single" w:sz="8" w:color="CCFFCC"/>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460" w:type="dxa"/>
            <w:vAlign w:val="bottom"/>
            <w:tcBorders>
              <w:top w:val="single" w:sz="8" w:color="auto"/>
            </w:tcBorders>
            <w:shd w:val="clear" w:color="auto" w:fill="CCFFCC"/>
          </w:tcPr>
          <w:p>
            <w:pPr>
              <w:spacing w:after="0"/>
              <w:rPr>
                <w:sz w:val="17"/>
                <w:szCs w:val="17"/>
                <w:color w:val="auto"/>
              </w:rPr>
            </w:pPr>
          </w:p>
        </w:tc>
        <w:tc>
          <w:tcPr>
            <w:tcW w:w="240" w:type="dxa"/>
            <w:vAlign w:val="bottom"/>
            <w:tcBorders>
              <w:top w:val="single" w:sz="8" w:color="CCFFCC"/>
            </w:tcBorders>
            <w:shd w:val="clear" w:color="auto" w:fill="CCFFCC"/>
          </w:tcPr>
          <w:p>
            <w:pPr>
              <w:spacing w:after="0"/>
              <w:rPr>
                <w:sz w:val="17"/>
                <w:szCs w:val="17"/>
                <w:color w:val="auto"/>
              </w:rPr>
            </w:pPr>
          </w:p>
        </w:tc>
        <w:tc>
          <w:tcPr>
            <w:tcW w:w="14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28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9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(5)</w:t>
            </w: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Cumulative</w:t>
            </w:r>
          </w:p>
        </w:tc>
      </w:tr>
      <w:tr>
        <w:trPr>
          <w:trHeight w:val="203"/>
        </w:trPr>
        <w:tc>
          <w:tcPr>
            <w:tcW w:w="6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from inception</w:t>
            </w:r>
          </w:p>
        </w:tc>
      </w:tr>
      <w:tr>
        <w:trPr>
          <w:trHeight w:val="224"/>
        </w:trPr>
        <w:tc>
          <w:tcPr>
            <w:tcW w:w="6800" w:type="dxa"/>
            <w:vAlign w:val="bottom"/>
          </w:tcPr>
          <w:p>
            <w:pPr>
              <w:spacing w:after="0"/>
              <w:rPr>
                <w:sz w:val="19"/>
                <w:szCs w:val="19"/>
                <w:color w:val="auto"/>
              </w:rPr>
            </w:pPr>
          </w:p>
        </w:tc>
        <w:tc>
          <w:tcPr>
            <w:tcW w:w="3260" w:type="dxa"/>
            <w:vAlign w:val="bottom"/>
            <w:gridSpan w:val="5"/>
          </w:tcPr>
          <w:p>
            <w:pPr>
              <w:jc w:val="right"/>
              <w:ind w:right="139"/>
              <w:spacing w:after="0"/>
              <w:rPr>
                <w:sz w:val="20"/>
                <w:szCs w:val="20"/>
                <w:color w:val="auto"/>
              </w:rPr>
            </w:pPr>
            <w:r>
              <w:rPr>
                <w:rFonts w:ascii="Arial" w:cs="Arial" w:eastAsia="Arial" w:hAnsi="Arial"/>
                <w:sz w:val="16"/>
                <w:szCs w:val="16"/>
                <w:b w:val="1"/>
                <w:bCs w:val="1"/>
                <w:color w:val="auto"/>
                <w:w w:val="91"/>
              </w:rPr>
              <w:t>For the three month period ended March 31,</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to March 31,</w:t>
            </w:r>
          </w:p>
        </w:tc>
      </w:tr>
      <w:tr>
        <w:trPr>
          <w:trHeight w:val="210"/>
        </w:trPr>
        <w:tc>
          <w:tcPr>
            <w:tcW w:w="68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2012</w:t>
            </w:r>
          </w:p>
        </w:tc>
        <w:tc>
          <w:tcPr>
            <w:tcW w:w="100" w:type="dxa"/>
            <w:vAlign w:val="bottom"/>
          </w:tcPr>
          <w:p>
            <w:pPr>
              <w:spacing w:after="0"/>
              <w:rPr>
                <w:sz w:val="18"/>
                <w:szCs w:val="18"/>
                <w:color w:val="auto"/>
              </w:rPr>
            </w:pPr>
          </w:p>
        </w:tc>
      </w:tr>
      <w:tr>
        <w:trPr>
          <w:trHeight w:val="202"/>
        </w:trPr>
        <w:tc>
          <w:tcPr>
            <w:tcW w:w="6800" w:type="dxa"/>
            <w:vAlign w:val="bottom"/>
            <w:tcBorders>
              <w:bottom w:val="single" w:sz="8" w:color="CCFFCC"/>
            </w:tcBorders>
          </w:tcPr>
          <w:p>
            <w:pPr>
              <w:spacing w:after="0"/>
              <w:rPr>
                <w:sz w:val="17"/>
                <w:szCs w:val="17"/>
                <w:color w:val="auto"/>
              </w:rPr>
            </w:pPr>
          </w:p>
        </w:tc>
        <w:tc>
          <w:tcPr>
            <w:tcW w:w="94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w w:val="89"/>
              </w:rPr>
              <w:t>U.S.$</w:t>
            </w:r>
          </w:p>
        </w:tc>
        <w:tc>
          <w:tcPr>
            <w:tcW w:w="460" w:type="dxa"/>
            <w:vAlign w:val="bottom"/>
            <w:tcBorders>
              <w:bottom w:val="single" w:sz="8" w:color="auto"/>
            </w:tcBorders>
          </w:tcPr>
          <w:p>
            <w:pPr>
              <w:spacing w:after="0"/>
              <w:rPr>
                <w:sz w:val="17"/>
                <w:szCs w:val="17"/>
                <w:color w:val="auto"/>
              </w:rPr>
            </w:pPr>
          </w:p>
        </w:tc>
        <w:tc>
          <w:tcPr>
            <w:tcW w:w="240" w:type="dxa"/>
            <w:vAlign w:val="bottom"/>
            <w:tcBorders>
              <w:bottom w:val="single" w:sz="8" w:color="CCFFCC"/>
            </w:tcBorders>
          </w:tcPr>
          <w:p>
            <w:pPr>
              <w:spacing w:after="0"/>
              <w:rPr>
                <w:sz w:val="17"/>
                <w:szCs w:val="17"/>
                <w:color w:val="auto"/>
              </w:rPr>
            </w:pP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U.S.$</w:t>
            </w:r>
          </w:p>
        </w:tc>
        <w:tc>
          <w:tcPr>
            <w:tcW w:w="200" w:type="dxa"/>
            <w:vAlign w:val="bottom"/>
            <w:tcBorders>
              <w:bottom w:val="single" w:sz="8" w:color="CCFFCC"/>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U.S.$</w:t>
            </w:r>
          </w:p>
        </w:tc>
        <w:tc>
          <w:tcPr>
            <w:tcW w:w="100" w:type="dxa"/>
            <w:vAlign w:val="bottom"/>
            <w:tcBorders>
              <w:bottom w:val="single" w:sz="8" w:color="CCFFCC"/>
            </w:tcBorders>
          </w:tcPr>
          <w:p>
            <w:pPr>
              <w:spacing w:after="0"/>
              <w:rPr>
                <w:sz w:val="17"/>
                <w:szCs w:val="17"/>
                <w:color w:val="auto"/>
              </w:rPr>
            </w:pPr>
          </w:p>
        </w:tc>
      </w:tr>
      <w:tr>
        <w:trPr>
          <w:trHeight w:val="196"/>
        </w:trPr>
        <w:tc>
          <w:tcPr>
            <w:tcW w:w="68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4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color w:val="auto"/>
              </w:rPr>
              <w:t>Receipt of venture loan</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5,000</w:t>
            </w:r>
          </w:p>
        </w:tc>
      </w:tr>
      <w:tr>
        <w:trPr>
          <w:trHeight w:val="203"/>
        </w:trPr>
        <w:tc>
          <w:tcPr>
            <w:tcW w:w="77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Repayment on account of venture loan</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shd w:val="clear" w:color="auto" w:fill="CCFFCC"/>
          </w:tcPr>
          <w:p>
            <w:pPr>
              <w:jc w:val="right"/>
              <w:ind w:right="119"/>
              <w:spacing w:after="0"/>
              <w:rPr>
                <w:sz w:val="20"/>
                <w:szCs w:val="20"/>
                <w:color w:val="auto"/>
              </w:rPr>
            </w:pPr>
            <w:r>
              <w:rPr>
                <w:rFonts w:ascii="Arial" w:cs="Arial" w:eastAsia="Arial" w:hAnsi="Arial"/>
                <w:sz w:val="16"/>
                <w:szCs w:val="16"/>
                <w:color w:val="auto"/>
              </w:rPr>
              <w:t>(348)</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(3,651)</w:t>
            </w: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color w:val="auto"/>
              </w:rPr>
              <w:t>Receipt of convertible notes</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2,500</w:t>
            </w:r>
          </w:p>
        </w:tc>
      </w:tr>
      <w:tr>
        <w:trPr>
          <w:trHeight w:val="203"/>
        </w:trPr>
        <w:tc>
          <w:tcPr>
            <w:tcW w:w="77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Issuance of common stock and warrants, net</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shd w:val="clear" w:color="auto" w:fill="CCFFCC"/>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10,048</w:t>
            </w: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color w:val="auto"/>
              </w:rPr>
              <w:t>Issuance of warrants</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1,070</w:t>
            </w:r>
          </w:p>
        </w:tc>
      </w:tr>
      <w:tr>
        <w:trPr>
          <w:trHeight w:val="203"/>
        </w:trPr>
        <w:tc>
          <w:tcPr>
            <w:tcW w:w="77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Receipt of convertible loans</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shd w:val="clear" w:color="auto" w:fill="CCFFCC"/>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3,976</w:t>
            </w: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color w:val="auto"/>
              </w:rPr>
              <w:t>Issuance of convertible preferred stock</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12,195</w:t>
            </w:r>
          </w:p>
        </w:tc>
      </w:tr>
      <w:tr>
        <w:trPr>
          <w:trHeight w:val="216"/>
        </w:trPr>
        <w:tc>
          <w:tcPr>
            <w:tcW w:w="77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Exercise of common stock options and warrants</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3,652</w:t>
            </w:r>
          </w:p>
        </w:tc>
        <w:tc>
          <w:tcPr>
            <w:tcW w:w="1620" w:type="dxa"/>
            <w:vAlign w:val="bottom"/>
            <w:gridSpan w:val="2"/>
            <w:shd w:val="clear" w:color="auto" w:fill="CCFFCC"/>
          </w:tcPr>
          <w:p>
            <w:pPr>
              <w:jc w:val="right"/>
              <w:ind w:right="159"/>
              <w:spacing w:after="0"/>
              <w:rPr>
                <w:sz w:val="20"/>
                <w:szCs w:val="20"/>
                <w:color w:val="auto"/>
              </w:rPr>
            </w:pPr>
            <w:r>
              <w:rPr>
                <w:rFonts w:ascii="Arial" w:cs="Arial" w:eastAsia="Arial" w:hAnsi="Arial"/>
                <w:sz w:val="16"/>
                <w:szCs w:val="16"/>
                <w:color w:val="auto"/>
              </w:rPr>
              <w:t>3</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3,674</w:t>
            </w:r>
          </w:p>
        </w:tc>
      </w:tr>
      <w:tr>
        <w:trPr>
          <w:trHeight w:val="196"/>
        </w:trPr>
        <w:tc>
          <w:tcPr>
            <w:tcW w:w="6800" w:type="dxa"/>
            <w:vAlign w:val="bottom"/>
            <w:tcBorders>
              <w:bottom w:val="single" w:sz="8" w:color="CCFFCC"/>
            </w:tcBorders>
          </w:tcPr>
          <w:p>
            <w:pPr>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9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3,652</w:t>
            </w:r>
          </w:p>
        </w:tc>
        <w:tc>
          <w:tcPr>
            <w:tcW w:w="240" w:type="dxa"/>
            <w:vAlign w:val="bottom"/>
            <w:tcBorders>
              <w:bottom w:val="single" w:sz="8" w:color="CCFFCC"/>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200" w:type="dxa"/>
            <w:vAlign w:val="bottom"/>
            <w:tcBorders>
              <w:bottom w:val="single" w:sz="8" w:color="CCFFCC"/>
            </w:tcBorders>
          </w:tcPr>
          <w:p>
            <w:pPr>
              <w:jc w:val="right"/>
              <w:ind w:right="119"/>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34,812</w:t>
            </w:r>
          </w:p>
        </w:tc>
        <w:tc>
          <w:tcPr>
            <w:tcW w:w="100" w:type="dxa"/>
            <w:vAlign w:val="bottom"/>
            <w:tcBorders>
              <w:bottom w:val="single" w:sz="8" w:color="CCFFCC"/>
            </w:tcBorders>
          </w:tcPr>
          <w:p>
            <w:pPr>
              <w:spacing w:after="0"/>
              <w:rPr>
                <w:sz w:val="17"/>
                <w:szCs w:val="17"/>
                <w:color w:val="auto"/>
              </w:rPr>
            </w:pPr>
          </w:p>
        </w:tc>
      </w:tr>
      <w:tr>
        <w:trPr>
          <w:trHeight w:val="196"/>
        </w:trPr>
        <w:tc>
          <w:tcPr>
            <w:tcW w:w="6800" w:type="dxa"/>
            <w:vAlign w:val="bottom"/>
            <w:shd w:val="clear" w:color="auto" w:fill="CCFFCC"/>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940" w:type="dxa"/>
            <w:vAlign w:val="bottom"/>
            <w:shd w:val="clear" w:color="auto" w:fill="CCFFCC"/>
          </w:tcPr>
          <w:p>
            <w:pPr>
              <w:spacing w:after="0"/>
              <w:rPr>
                <w:sz w:val="17"/>
                <w:szCs w:val="17"/>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8</w:t>
            </w:r>
          </w:p>
        </w:tc>
        <w:tc>
          <w:tcPr>
            <w:tcW w:w="240" w:type="dxa"/>
            <w:vAlign w:val="bottom"/>
            <w:shd w:val="clear" w:color="auto" w:fill="CCFFCC"/>
          </w:tcPr>
          <w:p>
            <w:pPr>
              <w:spacing w:after="0"/>
              <w:rPr>
                <w:sz w:val="17"/>
                <w:szCs w:val="17"/>
                <w:color w:val="auto"/>
              </w:rPr>
            </w:pPr>
          </w:p>
        </w:tc>
        <w:tc>
          <w:tcPr>
            <w:tcW w:w="14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FFCC"/>
          </w:tcPr>
          <w:p>
            <w:pPr>
              <w:spacing w:after="0"/>
              <w:rPr>
                <w:sz w:val="17"/>
                <w:szCs w:val="17"/>
                <w:color w:val="auto"/>
              </w:rPr>
            </w:pP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color w:val="auto"/>
              </w:rPr>
              <w:t>Increase (decrease) in cash and cash equivalents</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2,440</w:t>
            </w:r>
          </w:p>
        </w:tc>
        <w:tc>
          <w:tcPr>
            <w:tcW w:w="1620" w:type="dxa"/>
            <w:vAlign w:val="bottom"/>
            <w:gridSpan w:val="2"/>
          </w:tcPr>
          <w:p>
            <w:pPr>
              <w:jc w:val="right"/>
              <w:ind w:right="119"/>
              <w:spacing w:after="0"/>
              <w:rPr>
                <w:sz w:val="20"/>
                <w:szCs w:val="20"/>
                <w:color w:val="auto"/>
              </w:rPr>
            </w:pPr>
            <w:r>
              <w:rPr>
                <w:rFonts w:ascii="Arial" w:cs="Arial" w:eastAsia="Arial" w:hAnsi="Arial"/>
                <w:sz w:val="16"/>
                <w:szCs w:val="16"/>
                <w:color w:val="auto"/>
              </w:rPr>
              <w:t>(1,840)</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3,630</w:t>
            </w:r>
          </w:p>
        </w:tc>
      </w:tr>
      <w:tr>
        <w:trPr>
          <w:trHeight w:val="216"/>
        </w:trPr>
        <w:tc>
          <w:tcPr>
            <w:tcW w:w="6800" w:type="dxa"/>
            <w:vAlign w:val="bottom"/>
            <w:shd w:val="clear" w:color="auto" w:fill="CCFFCC"/>
          </w:tcPr>
          <w:p>
            <w:pPr>
              <w:spacing w:after="0"/>
              <w:rPr>
                <w:sz w:val="20"/>
                <w:szCs w:val="20"/>
                <w:color w:val="auto"/>
              </w:rPr>
            </w:pPr>
            <w:r>
              <w:rPr>
                <w:rFonts w:ascii="Arial" w:cs="Arial" w:eastAsia="Arial" w:hAnsi="Arial"/>
                <w:sz w:val="16"/>
                <w:szCs w:val="16"/>
                <w:color w:val="auto"/>
              </w:rPr>
              <w:t>Cash and cash equivalents at beginning of period</w:t>
            </w:r>
          </w:p>
        </w:tc>
        <w:tc>
          <w:tcPr>
            <w:tcW w:w="9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1,190</w:t>
            </w:r>
          </w:p>
        </w:tc>
        <w:tc>
          <w:tcPr>
            <w:tcW w:w="1620" w:type="dxa"/>
            <w:vAlign w:val="bottom"/>
            <w:gridSpan w:val="2"/>
            <w:shd w:val="clear" w:color="auto" w:fill="CCFFCC"/>
          </w:tcPr>
          <w:p>
            <w:pPr>
              <w:jc w:val="right"/>
              <w:ind w:right="159"/>
              <w:spacing w:after="0"/>
              <w:rPr>
                <w:sz w:val="20"/>
                <w:szCs w:val="20"/>
                <w:color w:val="auto"/>
              </w:rPr>
            </w:pPr>
            <w:r>
              <w:rPr>
                <w:rFonts w:ascii="Arial" w:cs="Arial" w:eastAsia="Arial" w:hAnsi="Arial"/>
                <w:sz w:val="16"/>
                <w:szCs w:val="16"/>
                <w:color w:val="auto"/>
              </w:rPr>
              <w:t>5,407</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r>
      <w:tr>
        <w:trPr>
          <w:trHeight w:val="247"/>
        </w:trPr>
        <w:tc>
          <w:tcPr>
            <w:tcW w:w="6800" w:type="dxa"/>
            <w:vAlign w:val="bottom"/>
            <w:tcBorders>
              <w:bottom w:val="single" w:sz="8" w:color="CCFFCC"/>
            </w:tcBorders>
          </w:tcPr>
          <w:p>
            <w:pPr>
              <w:spacing w:after="0"/>
              <w:rPr>
                <w:sz w:val="20"/>
                <w:szCs w:val="20"/>
                <w:color w:val="auto"/>
              </w:rPr>
            </w:pPr>
            <w:r>
              <w:rPr>
                <w:rFonts w:ascii="Arial" w:cs="Arial" w:eastAsia="Arial" w:hAnsi="Arial"/>
                <w:sz w:val="16"/>
                <w:szCs w:val="16"/>
                <w:color w:val="auto"/>
              </w:rPr>
              <w:t>Cash and cash equivalents at end of period</w:t>
            </w:r>
          </w:p>
        </w:tc>
        <w:tc>
          <w:tcPr>
            <w:tcW w:w="94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3,630</w:t>
            </w:r>
          </w:p>
        </w:tc>
        <w:tc>
          <w:tcPr>
            <w:tcW w:w="240" w:type="dxa"/>
            <w:vAlign w:val="bottom"/>
            <w:tcBorders>
              <w:bottom w:val="single" w:sz="8" w:color="CCFFCC"/>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3,567</w:t>
            </w:r>
          </w:p>
        </w:tc>
        <w:tc>
          <w:tcPr>
            <w:tcW w:w="200" w:type="dxa"/>
            <w:vAlign w:val="bottom"/>
            <w:tcBorders>
              <w:bottom w:val="single" w:sz="8" w:color="CCFFCC"/>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3,630</w:t>
            </w:r>
          </w:p>
        </w:tc>
        <w:tc>
          <w:tcPr>
            <w:tcW w:w="100" w:type="dxa"/>
            <w:vAlign w:val="bottom"/>
            <w:tcBorders>
              <w:bottom w:val="single" w:sz="8" w:color="CCFFCC"/>
            </w:tcBorders>
          </w:tcPr>
          <w:p>
            <w:pPr>
              <w:spacing w:after="0"/>
              <w:rPr>
                <w:sz w:val="21"/>
                <w:szCs w:val="21"/>
                <w:color w:val="auto"/>
              </w:rPr>
            </w:pPr>
          </w:p>
        </w:tc>
      </w:tr>
      <w:tr>
        <w:trPr>
          <w:trHeight w:val="186"/>
        </w:trPr>
        <w:tc>
          <w:tcPr>
            <w:tcW w:w="6800" w:type="dxa"/>
            <w:vAlign w:val="bottom"/>
            <w:shd w:val="clear" w:color="auto" w:fill="CCFFCC"/>
          </w:tcPr>
          <w:p>
            <w:pPr>
              <w:spacing w:after="0" w:line="180" w:lineRule="exact"/>
              <w:rPr>
                <w:sz w:val="20"/>
                <w:szCs w:val="20"/>
                <w:color w:val="auto"/>
              </w:rPr>
            </w:pPr>
            <w:r>
              <w:rPr>
                <w:rFonts w:ascii="Arial" w:cs="Arial" w:eastAsia="Arial" w:hAnsi="Arial"/>
                <w:sz w:val="16"/>
                <w:szCs w:val="16"/>
                <w:b w:val="1"/>
                <w:bCs w:val="1"/>
                <w:color w:val="auto"/>
              </w:rPr>
              <w:t>Supplemental disclosure of cash flows information</w:t>
            </w:r>
          </w:p>
        </w:tc>
        <w:tc>
          <w:tcPr>
            <w:tcW w:w="9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42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2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color w:val="auto"/>
              </w:rPr>
              <w:t>Interest paid</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tcPr>
          <w:p>
            <w:pPr>
              <w:jc w:val="right"/>
              <w:ind w:right="159"/>
              <w:spacing w:after="0"/>
              <w:rPr>
                <w:sz w:val="20"/>
                <w:szCs w:val="20"/>
                <w:color w:val="auto"/>
              </w:rPr>
            </w:pPr>
            <w:r>
              <w:rPr>
                <w:rFonts w:ascii="Arial" w:cs="Arial" w:eastAsia="Arial" w:hAnsi="Arial"/>
                <w:sz w:val="16"/>
                <w:szCs w:val="16"/>
                <w:color w:val="auto"/>
              </w:rPr>
              <w:t>79</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1,137</w:t>
            </w:r>
          </w:p>
        </w:tc>
      </w:tr>
      <w:tr>
        <w:trPr>
          <w:trHeight w:val="203"/>
        </w:trPr>
        <w:tc>
          <w:tcPr>
            <w:tcW w:w="77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Income taxes paid</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7</w:t>
            </w:r>
          </w:p>
        </w:tc>
        <w:tc>
          <w:tcPr>
            <w:tcW w:w="1620" w:type="dxa"/>
            <w:vAlign w:val="bottom"/>
            <w:gridSpan w:val="2"/>
            <w:shd w:val="clear" w:color="auto" w:fill="CCFFCC"/>
          </w:tcPr>
          <w:p>
            <w:pPr>
              <w:jc w:val="right"/>
              <w:ind w:right="159"/>
              <w:spacing w:after="0"/>
              <w:rPr>
                <w:sz w:val="20"/>
                <w:szCs w:val="20"/>
                <w:color w:val="auto"/>
              </w:rPr>
            </w:pPr>
            <w:r>
              <w:rPr>
                <w:rFonts w:ascii="Arial" w:cs="Arial" w:eastAsia="Arial" w:hAnsi="Arial"/>
                <w:sz w:val="16"/>
                <w:szCs w:val="16"/>
                <w:color w:val="auto"/>
              </w:rPr>
              <w:t>12</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47</w:t>
            </w: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Non-cash investing and financing transactions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Conversion of convertible loan into convertible preferred stock</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shd w:val="clear" w:color="auto" w:fill="CCFFCC"/>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1,964</w:t>
            </w: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color w:val="auto"/>
              </w:rPr>
              <w:t>Extinguishment of debt</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321</w:t>
            </w:r>
          </w:p>
        </w:tc>
      </w:tr>
      <w:tr>
        <w:trPr>
          <w:trHeight w:val="203"/>
        </w:trPr>
        <w:tc>
          <w:tcPr>
            <w:tcW w:w="77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Discount to the series B convertible preferred stock</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shd w:val="clear" w:color="auto" w:fill="CCFFCC"/>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43</w:t>
            </w: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color w:val="auto"/>
              </w:rPr>
              <w:t>Allocation of fair value of loan warrants</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334</w:t>
            </w:r>
          </w:p>
        </w:tc>
      </w:tr>
      <w:tr>
        <w:trPr>
          <w:trHeight w:val="203"/>
        </w:trPr>
        <w:tc>
          <w:tcPr>
            <w:tcW w:w="77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Allocation of fair value of conversion warrants</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shd w:val="clear" w:color="auto" w:fill="CCFFCC"/>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1,564</w:t>
            </w: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color w:val="auto"/>
              </w:rPr>
              <w:t>Exchange of series B convertible preferred stock for common stock</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11,971</w:t>
            </w:r>
          </w:p>
        </w:tc>
      </w:tr>
      <w:tr>
        <w:trPr>
          <w:trHeight w:val="203"/>
        </w:trPr>
        <w:tc>
          <w:tcPr>
            <w:tcW w:w="77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Exchange of series A convertible preferred stock for common stock</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shd w:val="clear" w:color="auto" w:fill="CCFFCC"/>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24</w:t>
            </w: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color w:val="auto"/>
              </w:rPr>
              <w:t>Conversion of bridge notes into common stock</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2,545</w:t>
            </w:r>
          </w:p>
        </w:tc>
      </w:tr>
      <w:tr>
        <w:trPr>
          <w:trHeight w:val="203"/>
        </w:trPr>
        <w:tc>
          <w:tcPr>
            <w:tcW w:w="77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Amortization of discounts to temporary equity</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shd w:val="clear" w:color="auto" w:fill="CCFFCC"/>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21</w:t>
            </w: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color w:val="auto"/>
              </w:rPr>
              <w:t>Issuance of shares in consideration of restructuring of venture loan</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213</w:t>
            </w:r>
          </w:p>
        </w:tc>
      </w:tr>
      <w:tr>
        <w:trPr>
          <w:trHeight w:val="203"/>
        </w:trPr>
        <w:tc>
          <w:tcPr>
            <w:tcW w:w="77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Beneficial conversion feature recorded in connection with convertible notes</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shd w:val="clear" w:color="auto" w:fill="CCFFCC"/>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1,269</w:t>
            </w: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color w:val="auto"/>
              </w:rPr>
              <w:t>Conversion of convertible notes into common stock</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2,511</w:t>
            </w:r>
          </w:p>
        </w:tc>
      </w:tr>
      <w:tr>
        <w:trPr>
          <w:trHeight w:val="216"/>
        </w:trPr>
        <w:tc>
          <w:tcPr>
            <w:tcW w:w="77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 xml:space="preserve">Conversion of </w:t>
            </w:r>
            <w:r>
              <w:rPr>
                <w:rFonts w:ascii="Arial" w:cs="Arial" w:eastAsia="Arial" w:hAnsi="Arial"/>
                <w:sz w:val="18"/>
                <w:szCs w:val="18"/>
                <w:color w:val="auto"/>
              </w:rPr>
              <w:t>derivative liabilities into common stock</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w w:val="97"/>
              </w:rPr>
              <w:t>2,223</w:t>
            </w:r>
          </w:p>
        </w:tc>
        <w:tc>
          <w:tcPr>
            <w:tcW w:w="1620" w:type="dxa"/>
            <w:vAlign w:val="bottom"/>
            <w:gridSpan w:val="2"/>
            <w:shd w:val="clear" w:color="auto" w:fill="CCFFCC"/>
          </w:tcPr>
          <w:p>
            <w:pPr>
              <w:jc w:val="right"/>
              <w:ind w:right="159"/>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2,223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Vringo, Inc. (a Development Stage Company)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engaged in developing software platforms and applications for mobile phones. The Company develops and provides a wide variety of mobile video services, including a comprehensive platform that allows users to create, download and share video ringtones. The Company's proprietary ringtone platform includes social networking capability and integration with web systems.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still in the development stage. There is no certainty regarding the Company's ability to complete the development of its products and ensure the success of its marketing. The continuation of the stages of development and the realization of assets related to the planned activities depend on future events, including future financings and achieving operational profitability.</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high-tech industry in which the Company operates is highly competitive and is characterized by the risks of rapidly changing technologies. Penetration into global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Pursuant to the IPO, all share and per-share information in these consolidated financial statements have been adjusted to give effect to the reverse stock split. On July 27, 2010, the units were separated into their components and the shares and warrants began to trade separately. Upon separation of the units into shares and warrants, the units ceased trading.</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2012, the Company entered into agreements with holders (the “Holders”) of certain of its outstanding Special Bridge and Conversion Warrants, pursuant to which the Holders exercised warrants to purchase 3,828,993 shares of our common stock for aggregate proceeds of $3.65 million (“February 2012 warrant exercise”). In addition, certain Holders were granted additional warrants to purchase 2,660,922 shares of common stock of the Company, at an exercise price of $1.76 per share. See also Note 3 and 5.</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March 12, 2012, the Company entered into an agreement and Plan of Merger Agreement (“Merger Agreement”), pursuant to which, once the Merger commences, Innovate/Protect, Inc. (“I/P”) will merge with and into VIP Merger Sub, Inc., which will be a wholly owned subsidiary of the Company (“Merger Sub”), with Merger Sub being the surviving corporation through an exchange of capital stock of I/P for capital stock of the Company. The consummation of the Merger Agreement is subject to stockholder approval and other closing conditions. In addition, the Company is exploring further opportunities, including merger and acquisitions and/or additional financing necessary to ensure that the Company will continue to operate as a going concern. There can be no assurance, however, that any such opportunities will materialize. This Merger will be accounted for as a reverse acquisition.</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Despite the foregoing, there is still significant doubt as to the ability of the Company to continue operating as a "going concern". The Company has incurred significant losses since its inception and expects that it will continue to operate at a net loss in the foreseeable future. For the three month period ended March 31, 2012 and for the cumulative period from inception until March 31, 2012, the Company incurred net losses of $5.6 million and $43.2 million, respectively. The Company believes that its current cash levels will be sufficient to support its activity into the first quarter of 2013.</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2012, approximately $521 thousand of the Company's net assets were located outside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generally accepted accounting principles in the United States of America ("U.S. GAAP"). All significant intercompany balances and transactions have been eliminated in consolidation.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accompanying unaudited consolidated financial statements were prepared in accordance with U.S. GAAP and instructions to Form 10-Q and, therefore, do not include all disclosures necessary for a complete presentation of financial position, results of operations, and cash flows in conformity with generally accepted accounting principles. Nevertheless, these financial statements should be read in conjunction with the consolidated financial statements and related notes for the year ended December 31, 2011. The results of operations for the three month period ended March 31, 2012, are not necessarily indicative of the results that may be expected for the entire fiscal year or for any other interim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Transactions in foreign currency (primarily in New Israeli Shekels or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March 31, 2012, the exchange rate was U.S. $1 = NIS 3.715 (March 31, 2011—U.S. $1 = NIS 3.481). The average exchange rate for the three month period ended March 31, 2012 and 2011, was U.S. $1 = NIS 3.741 and U.S. $1 = NIS 3.601,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deferred tax assets and liabilities, valuation of warrants, valuation of common stock share-based compensation, income tax uncertainties and other contingencies. The current economic environment has increased the degree of uncertainty inherent in those estimates and assumptions.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Accounts receivables and allowance for doubtful accounts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Trade accounts receivable are recorded at the invoiced amount and do not bear interest. Amounts collected on trade accounts receivable are included in net cash provided by operating activities in the consolidated statements of cash flows. The need for an allowance for doubtful accounts is based on the Company’s best estimate of the amount of credit loss in the Company’s existing receivables. The need for an allowance is determined on an individual account receivable basis. The Company considers customers’ historical payment patterns, general and industry specific economic factors in determining their customers’ probability of default. The Company reviews the need for an allowance for doubtful accounts on a monthly basis. From inception through March 31, 2012, neither write-offs, nor provision for doubtful accounts was created. The Company does not have any significant off-balance-sheet credit exposure related to its customers.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Policies—(cont'd)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Impact of recently implemented accounting standards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2011, the Financial Accounting Standards Board (FASB) issued ASU 2011-04, Fair Value Measurement (Topic 820): Amendments to Achieve Common Fair Value Measurement and Disclosure Requirements in U.S. GAAP and IFRS. This ASU amends current fair value measurement and disclosure guidance to include increased transparency around valuation input and investment categorization. ASU 2011-04 is effective for fiscal years and interim periods beginning after December 15, 2011, with early adoption not permitted. The adoption of ASU 2011-04 in the first quarter of 2012 did not have an impact on the Company’s financial position, results of operations, or cash flows.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allows an entity to present components of net income and other comprehensive income in one continuous statement, referred to as the statement of comprehensive income, or in two separate, but consecutive statements. ASU 2011-05 eliminates the option to present the components of other comprehensive income as part of the statement of changes in stockholders’ equity. In December 2011, the FASB issued ASU 2011-12 Comprehensive Income (Topic 220): Deferral of the Effective Date for Amendments to the Presentation of Reclassifications of Items Out of Accumulated Other Comprehensive Income in Accounting Standards Update No. 2011-05.”ASU 2011-12 deferred the effective date of the specific requirement to present items that are reclassified out of accumulated other comprehensive income to net income alongside their respective components of net income and other comprehensive income. While the new guidance changes the presentation of comprehensive income, there are no changes to the components that are recognized in net income or other comprehensive income under current accounting guidance. ASU 2011-05 is effective for fiscal years and interim periods beginning after December 15, 2011 and must be applied retrospectively. The adoption of ASU 2011-05 in the first quarter of 2012 did not have an impact on the Company’s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Impact of recently issued accounting standards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2011, the FASB issued ASU 2011-11, Balance Sheet (Topic 210), Disclosures about Offsetting Assets and Liabilities, which require companies to disclose information about financial instruments that have been offset and related arrangements to enable users of their financial statements to understand the effect of those arrangements on their financial position. Companies will be required to provide both net (offset amounts) and gross information in the notes to the financial statements for relevant assets and liabilities that are offset. ASU 2011-11 is effective for fiscal years, and interim periods within those years, beginning on or after January 1, 2013. The Company does not expect the adoption of ASU 2011-11 in the first quarter of 2013 to have an impact on its financial position, results of operations, or cash flows.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Policies—(cont'd)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Net loss per share data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such shares are anti-dilutive.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computation of basic and diluted net losses per common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29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Three months ended</w:t>
            </w: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from inception</w:t>
            </w:r>
          </w:p>
        </w:tc>
        <w:tc>
          <w:tcPr>
            <w:tcW w:w="0" w:type="dxa"/>
            <w:vAlign w:val="bottom"/>
          </w:tcPr>
          <w:p>
            <w:pPr>
              <w:spacing w:after="0"/>
              <w:rPr>
                <w:sz w:val="1"/>
                <w:szCs w:val="1"/>
                <w:color w:val="auto"/>
              </w:rPr>
            </w:pPr>
          </w:p>
        </w:tc>
      </w:tr>
      <w:tr>
        <w:trPr>
          <w:trHeight w:val="234"/>
        </w:trPr>
        <w:tc>
          <w:tcPr>
            <w:tcW w:w="7100" w:type="dxa"/>
            <w:vAlign w:val="bottom"/>
          </w:tcPr>
          <w:p>
            <w:pPr>
              <w:spacing w:after="0"/>
              <w:rPr>
                <w:sz w:val="20"/>
                <w:szCs w:val="20"/>
                <w:color w:val="auto"/>
              </w:rPr>
            </w:pPr>
          </w:p>
        </w:tc>
        <w:tc>
          <w:tcPr>
            <w:tcW w:w="188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6"/>
              </w:rPr>
              <w:t>March 31,</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to March 31,</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2011</w:t>
            </w:r>
          </w:p>
        </w:tc>
        <w:tc>
          <w:tcPr>
            <w:tcW w:w="200" w:type="dxa"/>
            <w:vAlign w:val="bottom"/>
            <w:tcBorders>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00" w:type="dxa"/>
            <w:vAlign w:val="bottom"/>
            <w:tcBorders>
              <w:bottom w:val="single" w:sz="8" w:color="CCFFCC"/>
            </w:tcBorders>
          </w:tcPr>
          <w:p>
            <w:pPr>
              <w:spacing w:after="0"/>
              <w:rPr>
                <w:sz w:val="18"/>
                <w:szCs w:val="18"/>
                <w:color w:val="auto"/>
              </w:rPr>
            </w:pPr>
          </w:p>
        </w:tc>
        <w:tc>
          <w:tcPr>
            <w:tcW w:w="42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w w:val="95"/>
              </w:rPr>
              <w:t>(in thousands, except share and per share data)</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Numerator:</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loss attributable to common stock shares (basic and diluted)</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(5,644)</w:t>
            </w:r>
          </w:p>
        </w:tc>
        <w:tc>
          <w:tcPr>
            <w:tcW w:w="3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(1,109)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(43,190)</w:t>
            </w:r>
          </w:p>
        </w:tc>
        <w:tc>
          <w:tcPr>
            <w:tcW w:w="0" w:type="dxa"/>
            <w:vAlign w:val="bottom"/>
          </w:tcPr>
          <w:p>
            <w:pPr>
              <w:spacing w:after="0"/>
              <w:rPr>
                <w:sz w:val="1"/>
                <w:szCs w:val="1"/>
                <w:color w:val="auto"/>
              </w:rPr>
            </w:pPr>
          </w:p>
        </w:tc>
      </w:tr>
      <w:tr>
        <w:trPr>
          <w:trHeight w:val="216"/>
        </w:trPr>
        <w:tc>
          <w:tcPr>
            <w:tcW w:w="7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Denominator:</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w w:val="95"/>
              </w:rPr>
              <w:t>Weighted average number of common stock shares outstanding during the period (basic and</w:t>
            </w: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12,173,409</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diluted)</w:t>
            </w:r>
          </w:p>
        </w:tc>
        <w:tc>
          <w:tcPr>
            <w:tcW w:w="15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5,554,385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2,216,110</w:t>
            </w:r>
          </w:p>
        </w:tc>
        <w:tc>
          <w:tcPr>
            <w:tcW w:w="0" w:type="dxa"/>
            <w:vAlign w:val="bottom"/>
          </w:tcPr>
          <w:p>
            <w:pPr>
              <w:spacing w:after="0"/>
              <w:rPr>
                <w:sz w:val="1"/>
                <w:szCs w:val="1"/>
                <w:color w:val="auto"/>
              </w:rPr>
            </w:pPr>
          </w:p>
        </w:tc>
      </w:tr>
      <w:tr>
        <w:trPr>
          <w:trHeight w:val="230"/>
        </w:trPr>
        <w:tc>
          <w:tcPr>
            <w:tcW w:w="710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penny stock options and warrants (basic and diluted)</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198,063</w:t>
            </w:r>
          </w:p>
        </w:tc>
        <w:tc>
          <w:tcPr>
            <w:tcW w:w="3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169,868</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56,597</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Basic and diluted shares of common stock outstanding</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12,371,472</w:t>
            </w:r>
          </w:p>
        </w:tc>
        <w:tc>
          <w:tcPr>
            <w:tcW w:w="26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5,724,253</w:t>
            </w:r>
          </w:p>
        </w:tc>
        <w:tc>
          <w:tcPr>
            <w:tcW w:w="20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2,272,707</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Basic and diluted net losses per share of common stock</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(0.46</w:t>
            </w:r>
          </w:p>
        </w:tc>
        <w:tc>
          <w:tcPr>
            <w:tcW w:w="260" w:type="dxa"/>
            <w:vAlign w:val="bottom"/>
            <w:tcBorders>
              <w:bottom w:val="single" w:sz="8" w:color="CCFFCC"/>
            </w:tcBorders>
            <w:shd w:val="clear" w:color="auto" w:fill="CCFFCC"/>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(0.19</w:t>
            </w:r>
          </w:p>
        </w:tc>
        <w:tc>
          <w:tcPr>
            <w:tcW w:w="200" w:type="dxa"/>
            <w:vAlign w:val="bottom"/>
            <w:tcBorders>
              <w:bottom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measures fair value in accordance with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(formerly SFAS 157,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ASC 820-10 clarifies that fair value is an exit price, representing the amount that would be received to sell an asset or paid to transfer a</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Level 1 Inputs</w:t>
      </w:r>
      <w:r>
        <w:rPr>
          <w:rFonts w:ascii="Arial" w:cs="Arial" w:eastAsia="Arial" w:hAnsi="Arial"/>
          <w:sz w:val="17"/>
          <w:szCs w:val="17"/>
          <w:color w:val="auto"/>
        </w:rPr>
        <w:t>: Unadjusted quoted prices in active markets for identical assets or liabilities accessible to the reporting entity at the measurement date.</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2 Inputs</w:t>
      </w:r>
      <w:r>
        <w:rPr>
          <w:rFonts w:ascii="Arial" w:cs="Arial" w:eastAsia="Arial" w:hAnsi="Arial"/>
          <w:sz w:val="18"/>
          <w:szCs w:val="18"/>
          <w:color w:val="auto"/>
        </w:rPr>
        <w:t>: Other than quoted prices included in Level 1 inputs that are observable for the asset or liability, either directly or indirectly, for substantially</w:t>
      </w:r>
      <w:r>
        <w:rPr>
          <w:rFonts w:ascii="Arial" w:cs="Arial" w:eastAsia="Arial" w:hAnsi="Arial"/>
          <w:sz w:val="18"/>
          <w:szCs w:val="18"/>
          <w:b w:val="1"/>
          <w:bCs w:val="1"/>
          <w:color w:val="auto"/>
        </w:rPr>
        <w:t xml:space="preserve"> </w:t>
      </w:r>
      <w:r>
        <w:rPr>
          <w:rFonts w:ascii="Arial" w:cs="Arial" w:eastAsia="Arial" w:hAnsi="Arial"/>
          <w:sz w:val="18"/>
          <w:szCs w:val="18"/>
          <w:color w:val="auto"/>
        </w:rPr>
        <w:t>the full term of the asset or liability.</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Level 3 Inputs: </w:t>
      </w:r>
      <w:r>
        <w:rPr>
          <w:rFonts w:ascii="Arial" w:cs="Arial" w:eastAsia="Arial" w:hAnsi="Arial"/>
          <w:sz w:val="17"/>
          <w:szCs w:val="17"/>
          <w:color w:val="auto"/>
        </w:rPr>
        <w:t>Unobservable inputs for the asset or liability used to measure fair value to the extent that observable inputs are not available, thereby</w:t>
      </w:r>
      <w:r>
        <w:rPr>
          <w:rFonts w:ascii="Arial" w:cs="Arial" w:eastAsia="Arial" w:hAnsi="Arial"/>
          <w:sz w:val="17"/>
          <w:szCs w:val="17"/>
          <w:b w:val="1"/>
          <w:bCs w:val="1"/>
          <w:color w:val="auto"/>
        </w:rPr>
        <w:t xml:space="preserve"> </w:t>
      </w:r>
      <w:r>
        <w:rPr>
          <w:rFonts w:ascii="Arial" w:cs="Arial" w:eastAsia="Arial" w:hAnsi="Arial"/>
          <w:sz w:val="17"/>
          <w:szCs w:val="17"/>
          <w:color w:val="auto"/>
        </w:rPr>
        <w:t>allowing for situations in which there is little, if any, market activity for the asset or liability at measurement date. The fair value hierarchy also requires an entity to maximize the use of observable inputs and minimize the use of unobservable inputs when measuring fair value.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Measurements — (cont'd)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measures its cash equivalents and derivative liabilities at fair value. Cash equivalents are classified within Level 1 because they are valued using quoted active market prices. The Special Bridge Warrants, Conversion Warrants and Preferential Reload Warrants (refer to Note 5) are classified within Level 3 because they are valued using the Black-Scholes-Merton and the Monte-Carlo models (as these warrants include a down-round protection clause), which utilize significant inputs that are unobservable in the market such as the expected stock price volatility and the dividend yield, and the remaining period of time the warrants will be outstanding before they expire.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March 31, 2012 and December 31, 2011, aggregated by the level in the fair-value hierarchy within which those measurements fall:</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817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equivalents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assets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Derivative liabilities on account of warrants</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817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Derivative liabilities on account of warrants</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0"/>
              </w:rPr>
              <w:t>Fair value measurement at reporting date using</w:t>
            </w: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2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Significant other</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March 31,</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 identical</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observable</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inputs (Level 2)</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210"/>
        </w:trPr>
        <w:tc>
          <w:tcPr>
            <w:tcW w:w="1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U.S.$ thousands</w:t>
            </w:r>
          </w:p>
        </w:tc>
        <w:tc>
          <w:tcPr>
            <w:tcW w:w="12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351</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351</w:t>
            </w:r>
          </w:p>
        </w:tc>
        <w:tc>
          <w:tcPr>
            <w:tcW w:w="220" w:type="dxa"/>
            <w:vAlign w:val="bottom"/>
            <w:vMerge w:val="continue"/>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351</w:t>
            </w:r>
          </w:p>
        </w:tc>
        <w:tc>
          <w:tcPr>
            <w:tcW w:w="220" w:type="dxa"/>
            <w:vAlign w:val="bottom"/>
            <w:vMerge w:val="continue"/>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57"/>
        </w:trPr>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1,836</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1,836</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0"/>
              </w:rPr>
              <w:t>Fair value measurement at reporting date using</w:t>
            </w: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2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Significant other</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 identical</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observable</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inputs (Level 2)</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210"/>
        </w:trPr>
        <w:tc>
          <w:tcPr>
            <w:tcW w:w="1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U.S.$ thousands</w:t>
            </w:r>
          </w:p>
        </w:tc>
        <w:tc>
          <w:tcPr>
            <w:tcW w:w="12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2,172</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2,172</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-2966720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-2666365</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-2374900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-2074545</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-608330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877" w:right="239" w:bottom="1440" w:gutter="0" w:footer="0" w:header="0"/>
          <w:type w:val="continuous"/>
        </w:sectPr>
      </w:pPr>
    </w:p>
    <w:p>
      <w:pPr>
        <w:spacing w:after="0" w:line="2"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In addition to the above, the Company's financial instruments at March 31, 2012 and December 31, 2011 consisted of cash, accounts receivable, long-term deposits and accounts payable. The carrying amounts of all the aforementioned financial instruments, approximate fair value.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Measurements—(cont'd)</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the changes in the Company's liabilities measured at fair value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w w:val="91"/>
              </w:rPr>
              <w:t>Level 3</w:t>
            </w: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Preferential</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Special Bridge</w:t>
            </w:r>
          </w:p>
        </w:tc>
        <w:tc>
          <w:tcPr>
            <w:tcW w:w="16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Conversion</w:t>
            </w: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Reload</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Warrants</w:t>
            </w:r>
          </w:p>
        </w:tc>
        <w:tc>
          <w:tcPr>
            <w:tcW w:w="16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Warrants</w:t>
            </w: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Warrants</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940" w:type="dxa"/>
            <w:vAlign w:val="bottom"/>
            <w:tcBorders>
              <w:top w:val="single" w:sz="8" w:color="auto"/>
              <w:bottom w:val="single" w:sz="8" w:color="auto"/>
            </w:tcBorders>
            <w:gridSpan w:val="5"/>
          </w:tcPr>
          <w:p>
            <w:pPr>
              <w:jc w:val="right"/>
              <w:ind w:right="980"/>
              <w:spacing w:after="0"/>
              <w:rPr>
                <w:sz w:val="20"/>
                <w:szCs w:val="20"/>
                <w:color w:val="auto"/>
              </w:rPr>
            </w:pPr>
            <w:r>
              <w:rPr>
                <w:rFonts w:ascii="Arial" w:cs="Arial" w:eastAsia="Arial" w:hAnsi="Arial"/>
                <w:sz w:val="18"/>
                <w:szCs w:val="18"/>
                <w:b w:val="1"/>
                <w:bCs w:val="1"/>
                <w:color w:val="auto"/>
              </w:rPr>
              <w:t>U.S.$ thousands</w:t>
            </w:r>
          </w:p>
        </w:tc>
        <w:tc>
          <w:tcPr>
            <w:tcW w:w="12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Original allocated amount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1,070</w:t>
            </w:r>
          </w:p>
        </w:tc>
        <w:tc>
          <w:tcPr>
            <w:tcW w:w="240" w:type="dxa"/>
            <w:vAlign w:val="bottom"/>
            <w:shd w:val="clear" w:color="auto" w:fill="CCFFCC"/>
          </w:tcPr>
          <w:p>
            <w:pPr>
              <w:spacing w:after="0"/>
              <w:rPr>
                <w:sz w:val="18"/>
                <w:szCs w:val="18"/>
                <w:color w:val="auto"/>
              </w:rPr>
            </w:pPr>
          </w:p>
        </w:tc>
        <w:tc>
          <w:tcPr>
            <w:tcW w:w="1640" w:type="dxa"/>
            <w:vAlign w:val="bottom"/>
            <w:gridSpan w:val="3"/>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Additional allocated amount (upon IPO)</w:t>
            </w:r>
          </w:p>
        </w:tc>
        <w:tc>
          <w:tcPr>
            <w:tcW w:w="126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1,564</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30"/>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Fair value adjustment included in statement of operations</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(382)</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(570)</w:t>
            </w:r>
          </w:p>
        </w:tc>
        <w:tc>
          <w:tcPr>
            <w:tcW w:w="14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Balance at December 31, 2010</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776</w:t>
            </w:r>
          </w:p>
        </w:tc>
        <w:tc>
          <w:tcPr>
            <w:tcW w:w="24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994</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Fair value adjustment included in statement of operations</w:t>
            </w: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511</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Balance at December 31, 2011</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1,287</w:t>
            </w:r>
          </w:p>
        </w:tc>
        <w:tc>
          <w:tcPr>
            <w:tcW w:w="24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885</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Issuance of Preferential Reload Warrants</w:t>
            </w: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1,476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1,476</w:t>
            </w:r>
          </w:p>
        </w:tc>
        <w:tc>
          <w:tcPr>
            <w:tcW w:w="0" w:type="dxa"/>
            <w:vAlign w:val="bottom"/>
          </w:tcPr>
          <w:p>
            <w:pPr>
              <w:spacing w:after="0"/>
              <w:rPr>
                <w:sz w:val="1"/>
                <w:szCs w:val="1"/>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w w:val="93"/>
              </w:rPr>
              <w:t>Fair value adjustment prior to exercise of warrants, included in statement of</w:t>
            </w: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163</w:t>
            </w:r>
          </w:p>
        </w:tc>
        <w:tc>
          <w:tcPr>
            <w:tcW w:w="15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107</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270</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operations</w:t>
            </w:r>
          </w:p>
        </w:tc>
        <w:tc>
          <w:tcPr>
            <w:tcW w:w="150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Exercise of Conversion and Special Bridge Warrants</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(1,320)</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(903)</w:t>
            </w:r>
          </w:p>
        </w:tc>
        <w:tc>
          <w:tcPr>
            <w:tcW w:w="1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(2,223)</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Fair value adjustment included in statement of operations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144</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w:t>
            </w:r>
          </w:p>
        </w:tc>
        <w:tc>
          <w:tcPr>
            <w:tcW w:w="1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23"/>
        </w:trPr>
        <w:tc>
          <w:tcPr>
            <w:tcW w:w="56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at March 31, 2012</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274</w:t>
            </w: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190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spacing w:after="0"/>
              <w:rPr>
                <w:sz w:val="19"/>
                <w:szCs w:val="19"/>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1,372</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1,836</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measurement of the derivative liability on account of Special Bridge Warrants, Conversion Warrants and Preferential Reload Warrants, which fall within Level 3 of the fair value hierarchy are determined and then reviewed by the Company’s accounting department, who reports to the Chief Financial Officer. The fair value measurements are compared to those of the prior reporting periods to ensure that changes are consistent with expectations of management based upon the sensitivity and nature of the inputs.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Valuation</w:t>
            </w:r>
          </w:p>
        </w:tc>
        <w:tc>
          <w:tcPr>
            <w:tcW w:w="120" w:type="dxa"/>
            <w:vAlign w:val="bottom"/>
          </w:tcPr>
          <w:p>
            <w:pPr>
              <w:spacing w:after="0"/>
              <w:rPr>
                <w:sz w:val="18"/>
                <w:szCs w:val="18"/>
                <w:color w:val="auto"/>
              </w:rPr>
            </w:pPr>
          </w:p>
        </w:tc>
        <w:tc>
          <w:tcPr>
            <w:tcW w:w="3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Unobservable</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ind w:left="960"/>
              <w:spacing w:after="0"/>
              <w:rPr>
                <w:sz w:val="20"/>
                <w:szCs w:val="20"/>
                <w:color w:val="auto"/>
              </w:rPr>
            </w:pPr>
            <w:r>
              <w:rPr>
                <w:rFonts w:ascii="Arial" w:cs="Arial" w:eastAsia="Arial" w:hAnsi="Arial"/>
                <w:sz w:val="18"/>
                <w:szCs w:val="18"/>
                <w:b w:val="1"/>
                <w:bCs w:val="1"/>
                <w:color w:val="auto"/>
              </w:rPr>
              <w:t>Description</w:t>
            </w: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Technique</w:t>
            </w:r>
          </w:p>
        </w:tc>
        <w:tc>
          <w:tcPr>
            <w:tcW w:w="120" w:type="dxa"/>
            <w:vAlign w:val="bottom"/>
          </w:tcPr>
          <w:p>
            <w:pPr>
              <w:spacing w:after="0"/>
              <w:rPr>
                <w:sz w:val="20"/>
                <w:szCs w:val="20"/>
                <w:color w:val="auto"/>
              </w:rPr>
            </w:pPr>
          </w:p>
        </w:tc>
        <w:tc>
          <w:tcPr>
            <w:tcW w:w="3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72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Range</w:t>
            </w: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3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Volatility</w:t>
            </w:r>
          </w:p>
        </w:tc>
        <w:tc>
          <w:tcPr>
            <w:tcW w:w="27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73.13%-82.95%</w:t>
            </w:r>
          </w:p>
        </w:tc>
        <w:tc>
          <w:tcPr>
            <w:tcW w:w="0" w:type="dxa"/>
            <w:vAlign w:val="bottom"/>
          </w:tcPr>
          <w:p>
            <w:pPr>
              <w:spacing w:after="0"/>
              <w:rPr>
                <w:sz w:val="1"/>
                <w:szCs w:val="1"/>
                <w:color w:val="auto"/>
              </w:rPr>
            </w:pPr>
          </w:p>
        </w:tc>
      </w:tr>
      <w:tr>
        <w:trPr>
          <w:trHeight w:val="216"/>
        </w:trPr>
        <w:tc>
          <w:tcPr>
            <w:tcW w:w="2980" w:type="dxa"/>
            <w:vAlign w:val="bottom"/>
            <w:gridSpan w:val="2"/>
            <w:vMerge w:val="restart"/>
          </w:tcPr>
          <w:p>
            <w:pPr>
              <w:spacing w:after="0"/>
              <w:rPr>
                <w:sz w:val="20"/>
                <w:szCs w:val="20"/>
                <w:color w:val="auto"/>
              </w:rPr>
            </w:pPr>
            <w:r>
              <w:rPr>
                <w:rFonts w:ascii="Arial" w:cs="Arial" w:eastAsia="Arial" w:hAnsi="Arial"/>
                <w:sz w:val="18"/>
                <w:szCs w:val="18"/>
                <w:color w:val="auto"/>
              </w:rPr>
              <w:t>Special Bridge Warrants, Conversion</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2720" w:type="dxa"/>
            <w:vAlign w:val="bottom"/>
            <w:gridSpan w:val="2"/>
          </w:tcPr>
          <w:p>
            <w:pPr>
              <w:jc w:val="right"/>
              <w:ind w:right="60"/>
              <w:spacing w:after="0"/>
              <w:rPr>
                <w:sz w:val="20"/>
                <w:szCs w:val="20"/>
                <w:color w:val="auto"/>
              </w:rPr>
            </w:pPr>
            <w:r>
              <w:rPr>
                <w:rFonts w:ascii="Arial" w:cs="Arial" w:eastAsia="Arial" w:hAnsi="Arial"/>
                <w:sz w:val="18"/>
                <w:szCs w:val="18"/>
                <w:color w:val="auto"/>
              </w:rPr>
              <w:t>0.50%-1.05%</w:t>
            </w:r>
          </w:p>
        </w:tc>
        <w:tc>
          <w:tcPr>
            <w:tcW w:w="0" w:type="dxa"/>
            <w:vAlign w:val="bottom"/>
          </w:tcPr>
          <w:p>
            <w:pPr>
              <w:spacing w:after="0"/>
              <w:rPr>
                <w:sz w:val="1"/>
                <w:szCs w:val="1"/>
                <w:color w:val="auto"/>
              </w:rPr>
            </w:pPr>
          </w:p>
        </w:tc>
      </w:tr>
      <w:tr>
        <w:trPr>
          <w:trHeight w:val="94"/>
        </w:trPr>
        <w:tc>
          <w:tcPr>
            <w:tcW w:w="2980" w:type="dxa"/>
            <w:vAlign w:val="bottom"/>
            <w:gridSpan w:val="2"/>
            <w:vMerge w:val="continue"/>
          </w:tcPr>
          <w:p>
            <w:pPr>
              <w:spacing w:after="0"/>
              <w:rPr>
                <w:sz w:val="8"/>
                <w:szCs w:val="8"/>
                <w:color w:val="auto"/>
              </w:rPr>
            </w:pPr>
          </w:p>
        </w:tc>
        <w:tc>
          <w:tcPr>
            <w:tcW w:w="2520" w:type="dxa"/>
            <w:vAlign w:val="bottom"/>
            <w:gridSpan w:val="2"/>
            <w:vMerge w:val="restart"/>
          </w:tcPr>
          <w:p>
            <w:pPr>
              <w:spacing w:after="0"/>
              <w:rPr>
                <w:sz w:val="20"/>
                <w:szCs w:val="20"/>
                <w:color w:val="auto"/>
              </w:rPr>
            </w:pPr>
            <w:r>
              <w:rPr>
                <w:rFonts w:ascii="Arial" w:cs="Arial" w:eastAsia="Arial" w:hAnsi="Arial"/>
                <w:sz w:val="18"/>
                <w:szCs w:val="18"/>
                <w:color w:val="auto"/>
              </w:rPr>
              <w:t>Black-Scholes-Merton and the</w:t>
            </w:r>
          </w:p>
        </w:tc>
        <w:tc>
          <w:tcPr>
            <w:tcW w:w="120" w:type="dxa"/>
            <w:vAlign w:val="bottom"/>
          </w:tcPr>
          <w:p>
            <w:pPr>
              <w:spacing w:after="0"/>
              <w:rPr>
                <w:sz w:val="8"/>
                <w:szCs w:val="8"/>
                <w:color w:val="auto"/>
              </w:rPr>
            </w:pPr>
          </w:p>
        </w:tc>
        <w:tc>
          <w:tcPr>
            <w:tcW w:w="3080" w:type="dxa"/>
            <w:vAlign w:val="bottom"/>
            <w:gridSpan w:val="2"/>
            <w:vMerge w:val="restart"/>
            <w:shd w:val="clear" w:color="auto" w:fill="CCFFCC"/>
          </w:tcPr>
          <w:p>
            <w:pPr>
              <w:spacing w:after="0"/>
              <w:rPr>
                <w:sz w:val="20"/>
                <w:szCs w:val="20"/>
                <w:color w:val="auto"/>
              </w:rPr>
            </w:pPr>
            <w:r>
              <w:rPr>
                <w:rFonts w:ascii="Arial" w:cs="Arial" w:eastAsia="Arial" w:hAnsi="Arial"/>
                <w:sz w:val="18"/>
                <w:szCs w:val="18"/>
                <w:color w:val="auto"/>
              </w:rPr>
              <w:t>Expected term, in years</w:t>
            </w:r>
          </w:p>
        </w:tc>
        <w:tc>
          <w:tcPr>
            <w:tcW w:w="27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8"/>
                <w:szCs w:val="18"/>
                <w:color w:val="auto"/>
              </w:rPr>
              <w:t>2.75-4.86</w:t>
            </w:r>
          </w:p>
        </w:tc>
        <w:tc>
          <w:tcPr>
            <w:tcW w:w="0" w:type="dxa"/>
            <w:vAlign w:val="bottom"/>
          </w:tcPr>
          <w:p>
            <w:pPr>
              <w:spacing w:after="0"/>
              <w:rPr>
                <w:sz w:val="1"/>
                <w:szCs w:val="1"/>
                <w:color w:val="auto"/>
              </w:rPr>
            </w:pPr>
          </w:p>
        </w:tc>
      </w:tr>
      <w:tr>
        <w:trPr>
          <w:trHeight w:val="122"/>
        </w:trPr>
        <w:tc>
          <w:tcPr>
            <w:tcW w:w="2980" w:type="dxa"/>
            <w:vAlign w:val="bottom"/>
            <w:gridSpan w:val="2"/>
            <w:vMerge w:val="restart"/>
          </w:tcPr>
          <w:p>
            <w:pPr>
              <w:spacing w:after="0"/>
              <w:rPr>
                <w:sz w:val="20"/>
                <w:szCs w:val="20"/>
                <w:color w:val="auto"/>
              </w:rPr>
            </w:pPr>
            <w:r>
              <w:rPr>
                <w:rFonts w:ascii="Arial" w:cs="Arial" w:eastAsia="Arial" w:hAnsi="Arial"/>
                <w:sz w:val="18"/>
                <w:szCs w:val="18"/>
                <w:color w:val="auto"/>
              </w:rPr>
              <w:t>Warrants and Preferential Reload</w:t>
            </w:r>
          </w:p>
        </w:tc>
        <w:tc>
          <w:tcPr>
            <w:tcW w:w="25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3080" w:type="dxa"/>
            <w:vAlign w:val="bottom"/>
            <w:gridSpan w:val="2"/>
            <w:vMerge w:val="continue"/>
            <w:shd w:val="clear" w:color="auto" w:fill="CCFFCC"/>
          </w:tcPr>
          <w:p>
            <w:pPr>
              <w:spacing w:after="0"/>
              <w:rPr>
                <w:sz w:val="10"/>
                <w:szCs w:val="10"/>
                <w:color w:val="auto"/>
              </w:rPr>
            </w:pPr>
          </w:p>
        </w:tc>
        <w:tc>
          <w:tcPr>
            <w:tcW w:w="2720" w:type="dxa"/>
            <w:vAlign w:val="bottom"/>
            <w:gridSpan w:val="2"/>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980" w:type="dxa"/>
            <w:vAlign w:val="bottom"/>
            <w:gridSpan w:val="2"/>
            <w:vMerge w:val="continue"/>
          </w:tcPr>
          <w:p>
            <w:pPr>
              <w:spacing w:after="0"/>
              <w:rPr>
                <w:sz w:val="8"/>
                <w:szCs w:val="8"/>
                <w:color w:val="auto"/>
              </w:rPr>
            </w:pPr>
          </w:p>
        </w:tc>
        <w:tc>
          <w:tcPr>
            <w:tcW w:w="2520" w:type="dxa"/>
            <w:vAlign w:val="bottom"/>
            <w:gridSpan w:val="2"/>
            <w:vMerge w:val="restart"/>
          </w:tcPr>
          <w:p>
            <w:pPr>
              <w:spacing w:after="0"/>
              <w:rPr>
                <w:sz w:val="20"/>
                <w:szCs w:val="20"/>
                <w:color w:val="auto"/>
              </w:rPr>
            </w:pPr>
            <w:r>
              <w:rPr>
                <w:rFonts w:ascii="Arial" w:cs="Arial" w:eastAsia="Arial" w:hAnsi="Arial"/>
                <w:sz w:val="18"/>
                <w:szCs w:val="18"/>
                <w:color w:val="auto"/>
              </w:rPr>
              <w:t>Monte-Carlo models</w:t>
            </w:r>
          </w:p>
        </w:tc>
        <w:tc>
          <w:tcPr>
            <w:tcW w:w="3200" w:type="dxa"/>
            <w:vAlign w:val="bottom"/>
            <w:gridSpan w:val="3"/>
            <w:vMerge w:val="restart"/>
          </w:tcPr>
          <w:p>
            <w:pPr>
              <w:ind w:left="120"/>
              <w:spacing w:after="0"/>
              <w:rPr>
                <w:sz w:val="20"/>
                <w:szCs w:val="20"/>
                <w:color w:val="auto"/>
              </w:rPr>
            </w:pPr>
            <w:r>
              <w:rPr>
                <w:rFonts w:ascii="Arial" w:cs="Arial" w:eastAsia="Arial" w:hAnsi="Arial"/>
                <w:sz w:val="18"/>
                <w:szCs w:val="18"/>
                <w:color w:val="auto"/>
              </w:rPr>
              <w:t>Dividend yield</w:t>
            </w:r>
          </w:p>
        </w:tc>
        <w:tc>
          <w:tcPr>
            <w:tcW w:w="2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37"/>
        </w:trPr>
        <w:tc>
          <w:tcPr>
            <w:tcW w:w="2980" w:type="dxa"/>
            <w:vAlign w:val="bottom"/>
            <w:gridSpan w:val="2"/>
          </w:tcPr>
          <w:p>
            <w:pPr>
              <w:spacing w:after="0" w:line="124" w:lineRule="exact"/>
              <w:rPr>
                <w:sz w:val="20"/>
                <w:szCs w:val="20"/>
                <w:color w:val="auto"/>
              </w:rPr>
            </w:pPr>
            <w:r>
              <w:rPr>
                <w:rFonts w:ascii="Arial" w:cs="Arial" w:eastAsia="Arial" w:hAnsi="Arial"/>
                <w:sz w:val="14"/>
                <w:szCs w:val="14"/>
                <w:color w:val="auto"/>
              </w:rPr>
              <w:t>Warrants</w:t>
            </w:r>
          </w:p>
        </w:tc>
        <w:tc>
          <w:tcPr>
            <w:tcW w:w="2520" w:type="dxa"/>
            <w:vAlign w:val="bottom"/>
            <w:gridSpan w:val="2"/>
            <w:vMerge w:val="continue"/>
          </w:tcPr>
          <w:p>
            <w:pPr>
              <w:spacing w:after="0"/>
              <w:rPr>
                <w:sz w:val="11"/>
                <w:szCs w:val="11"/>
                <w:color w:val="auto"/>
              </w:rPr>
            </w:pPr>
          </w:p>
        </w:tc>
        <w:tc>
          <w:tcPr>
            <w:tcW w:w="3200" w:type="dxa"/>
            <w:vAlign w:val="bottom"/>
            <w:gridSpan w:val="3"/>
            <w:vMerge w:val="continue"/>
          </w:tcPr>
          <w:p>
            <w:pPr>
              <w:spacing w:after="0"/>
              <w:rPr>
                <w:sz w:val="11"/>
                <w:szCs w:val="11"/>
                <w:color w:val="auto"/>
              </w:rPr>
            </w:pPr>
          </w:p>
        </w:tc>
        <w:tc>
          <w:tcPr>
            <w:tcW w:w="2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7246620" cy="969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9690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8920" w:type="dxa"/>
            <w:vAlign w:val="bottom"/>
          </w:tcPr>
          <w:p>
            <w:pPr>
              <w:ind w:left="5620"/>
              <w:spacing w:after="0" w:line="200" w:lineRule="exact"/>
              <w:rPr>
                <w:sz w:val="20"/>
                <w:szCs w:val="20"/>
                <w:color w:val="auto"/>
              </w:rPr>
            </w:pPr>
            <w:r>
              <w:rPr>
                <w:rFonts w:ascii="Arial" w:cs="Arial" w:eastAsia="Arial" w:hAnsi="Arial"/>
                <w:sz w:val="18"/>
                <w:szCs w:val="18"/>
                <w:color w:val="auto"/>
              </w:rPr>
              <w:t>Probability and timing of down-round</w:t>
            </w:r>
          </w:p>
        </w:tc>
        <w:tc>
          <w:tcPr>
            <w:tcW w:w="2500" w:type="dxa"/>
            <w:vAlign w:val="bottom"/>
            <w:vMerge w:val="restart"/>
          </w:tcPr>
          <w:p>
            <w:pPr>
              <w:ind w:left="540"/>
              <w:spacing w:after="0"/>
              <w:rPr>
                <w:sz w:val="20"/>
                <w:szCs w:val="20"/>
                <w:color w:val="auto"/>
              </w:rPr>
            </w:pPr>
            <w:r>
              <w:rPr>
                <w:rFonts w:ascii="Arial" w:cs="Arial" w:eastAsia="Arial" w:hAnsi="Arial"/>
                <w:sz w:val="18"/>
                <w:szCs w:val="18"/>
                <w:color w:val="auto"/>
              </w:rPr>
              <w:t>30% in September 2012</w:t>
            </w:r>
          </w:p>
        </w:tc>
        <w:tc>
          <w:tcPr>
            <w:tcW w:w="0" w:type="dxa"/>
            <w:vAlign w:val="bottom"/>
          </w:tcPr>
          <w:p>
            <w:pPr>
              <w:spacing w:after="0"/>
              <w:rPr>
                <w:sz w:val="1"/>
                <w:szCs w:val="1"/>
                <w:color w:val="auto"/>
              </w:rPr>
            </w:pPr>
          </w:p>
        </w:tc>
      </w:tr>
      <w:tr>
        <w:trPr>
          <w:trHeight w:val="122"/>
        </w:trPr>
        <w:tc>
          <w:tcPr>
            <w:tcW w:w="8920" w:type="dxa"/>
            <w:vAlign w:val="bottom"/>
            <w:vMerge w:val="restart"/>
          </w:tcPr>
          <w:p>
            <w:pPr>
              <w:ind w:left="5620"/>
              <w:spacing w:after="0"/>
              <w:rPr>
                <w:sz w:val="20"/>
                <w:szCs w:val="20"/>
                <w:color w:val="auto"/>
              </w:rPr>
            </w:pPr>
            <w:r>
              <w:rPr>
                <w:rFonts w:ascii="Arial" w:cs="Arial" w:eastAsia="Arial" w:hAnsi="Arial"/>
                <w:sz w:val="18"/>
                <w:szCs w:val="18"/>
                <w:color w:val="auto"/>
              </w:rPr>
              <w:t>triggering event</w:t>
            </w: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920" w:type="dxa"/>
            <w:vAlign w:val="bottom"/>
            <w:vMerge w:val="continue"/>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8"/>
        </w:trPr>
        <w:tc>
          <w:tcPr>
            <w:tcW w:w="892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15</w:t>
            </w: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3—Fair Value Measurements—(cont'd)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inputs to estimate the fair value of the Company’s derivative warrant liability are the current market price of the Company’s common stock, the exercise price of the warrant, its remaining term, the volatility of the Company’s common stock market price, Company’s estimations regarding the probability and timing of a down-round protection triggering event and the risk-free interest rate. Significant changes in any of those inputs in the isolation can result in a significant change in the fair value measurement. Generally, a positive change in the market price of the Company’s common stock, and an increase in the volatility of the Company’s commons stock, or an increase in the remaining term of the warrant, or an increase of a probability of a down-round triggering event would result in a directionally similar change in the estimated fair value of the Company’s Special Bridge Warrants, Conversion Warrants and Preferential Reload Warrants and thus an increase in the associated liability. An increase in the risk-free interest rate or a decrease in the positive differential between the warrant’s exercise price and the market price of the Company’s common stock would result in a decrease in the estimated fair value measurement of the Special Bridge Warrants, Conversion Warrants and Preferential Reload Warrants and thus a decrease in the associated liability. The Company has not, nor plans to, declare dividends on its common stock, and thus, there is no directionally similar change in the estimated fair value of the warrants due to the dividend assumption.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Accrued Severance Pay</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Under Israeli law, the Subsidiary is required to make severance payments to dismissed employees, and employees leaving employment in certain other circumstances. All of the Subsidiary’s employees signed agreements with the Subsidiary, limiting the Subsidiary’s severance liability to actual deposits in the insurance policies, as per Section 14 of the Severance Payment Law of 1963.</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March 2012, the Company signed a separation agreement with its former CEO, Jonathan Medved. According to the terms of the separation agreement and consistent with Mr. Medved’s employment agreement and amendment hereto, Mr. Medved will be entitled to receive salary and benefits during a ninety day notice period and a nine month severance period, until February 2013, and continue to vest stock options after his termination (refer also to Note 5). As a result, the accrued severance pay provision was recorded as a short-term liability. There are no statutory or agreed-upon severance arrangements with U.S. employees, other than with the current CEO, should there be a merger subsequent to the Merger with I/P.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January 2012, the Company's Board of Directors (the "Board") approved a one year acceleration of option vesting for all option holders, except for the Company’s new Chief Executive Officer (CEO) who will obtain 50% acceleration on all his unvested options, should the Company be subject to a change of control in a merger and/or acquisition transaction. In addition, in March 2012, the Board approved participation of all outstanding options, as of the consummation of the Merger with I/P, except for grants pursuant to separation arrangements, in future dividends, if any, as well as the acceleration of vesting of certain outstanding options, according to the following market conditions: should the target of a $5.00 price or $250 million market cap be reached for twenty of thirty consecutive trading days, a 50% acceleration of all granted would occur; should the target of a $10.00 price or $500 million market cap be reached for twenty of thirty consecutive trading days, a 75% acceleration of all granted would occur would occur; should the target of a $20.00 price or $1,000 million market cap be reached for twenty of thirty consecutive trading days, a 100% acceleration of all granted would occur would occur. In addition, upon a subsequent change of control, defined as a more than 50% change in shareholder ownership excluding the transaction with I/P, 75% of the then unvested options held by each grantee shall automatically vest. Moreover, all outstanding options granted to members of the Board shall fully vest if a Board member ceases to be a director at any time during the six-month period immediately following a change of control. As of March 31, 2012, the Company expects to account for no dividend payouts, acceleration of vesting triggered by the Merger with I/P will be accounted for upon the consummation of the Merger; moreover, as of the date the abovementioned market conditions were introduced, the Company estimated that the effect of acceleration under the new terms to be immaterial, due to low probability of occurrence.</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January and February 2012, the Board approved the granting of 81,300 fully vested options to management and consultants at an exercise price of $0.01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January 2012, the Board also approved the granting of 604,500 options at an exercise price of $0.96 to the Company’s management, employees and consultants. These options will vest over four years (according to the applicable schedule of each optionee).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February 2012, Board also approved the granting of 130,000 options at an exercise price of $1.21 to the Company’s management. These options will vest over four years.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March 2012, the Board approved the granting of 1,700,000 options to Board members and management (including 100,000 options granted to its former CEO) at an exercise price of $1.65 per share. These options will vest quarterly over three years.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5—Stockholders' Equity—(cont'd)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 period ended March 31, 2012 and 2011, 124 thousand and 189 thousand stock options were forfeited and 27 thousand and 0 stock options were exercised, respectively.</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three month period ended March 31, 2012 and 2011 the Company recorded compensation expense of $864 thousand and $431 thousand, respectively. Cumulative from inception the Company has recorded compensation expense of $3,887 thousand, in respect of stock options granted.</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2012, there was approximately $2.8 million of total unrecognized share-based payment cost related to non-vested share-based compensation arrangements granted under the incentive plans. That cost is expected to be recognized over an estimated 3 years period. As of March 31, 2012, there were approximately 9.1 million shares of common stock available for grant under the Stock Option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option activity for the year 2012 by grant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No. of options to</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04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Employees, Management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5"/>
              </w:rPr>
              <w:t>No. of options to</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 of</w:t>
            </w:r>
          </w:p>
        </w:tc>
      </w:tr>
      <w:tr>
        <w:trPr>
          <w:trHeight w:val="234"/>
        </w:trPr>
        <w:tc>
          <w:tcPr>
            <w:tcW w:w="504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and Directors</w:t>
            </w:r>
          </w:p>
        </w:tc>
        <w:tc>
          <w:tcPr>
            <w:tcW w:w="12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Consultants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price</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granted option</w:t>
            </w:r>
          </w:p>
        </w:tc>
      </w:tr>
      <w:tr>
        <w:trPr>
          <w:trHeight w:val="210"/>
        </w:trPr>
        <w:tc>
          <w:tcPr>
            <w:tcW w:w="5040" w:type="dxa"/>
            <w:vAlign w:val="bottom"/>
            <w:tcBorders>
              <w:bottom w:val="single" w:sz="8" w:color="CCFFCC"/>
            </w:tcBorders>
          </w:tcPr>
          <w:p>
            <w:pPr>
              <w:spacing w:after="0"/>
              <w:rPr>
                <w:sz w:val="18"/>
                <w:szCs w:val="18"/>
                <w:color w:val="auto"/>
              </w:rPr>
            </w:pPr>
          </w:p>
        </w:tc>
        <w:tc>
          <w:tcPr>
            <w:tcW w:w="1940" w:type="dxa"/>
            <w:vAlign w:val="bottom"/>
            <w:tcBorders>
              <w:top w:val="single" w:sz="8" w:color="auto"/>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U.S.$</w:t>
            </w:r>
          </w:p>
        </w:tc>
        <w:tc>
          <w:tcPr>
            <w:tcW w:w="100" w:type="dxa"/>
            <w:vAlign w:val="bottom"/>
            <w:tcBorders>
              <w:bottom w:val="single" w:sz="8" w:color="CCFFCC"/>
            </w:tcBorders>
          </w:tcPr>
          <w:p>
            <w:pPr>
              <w:spacing w:after="0"/>
              <w:rPr>
                <w:sz w:val="18"/>
                <w:szCs w:val="18"/>
                <w:color w:val="auto"/>
              </w:rPr>
            </w:pPr>
          </w:p>
        </w:tc>
      </w:tr>
      <w:tr>
        <w:trPr>
          <w:trHeight w:val="210"/>
        </w:trPr>
        <w:tc>
          <w:tcPr>
            <w:tcW w:w="5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January 2012</w:t>
            </w:r>
          </w:p>
        </w:tc>
        <w:tc>
          <w:tcPr>
            <w:tcW w:w="2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599,500</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FFC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January – February 2012</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61,300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$0.95-$1.2</w:t>
            </w:r>
          </w:p>
        </w:tc>
      </w:tr>
      <w:tr>
        <w:trPr>
          <w:trHeight w:val="216"/>
        </w:trPr>
        <w:tc>
          <w:tcPr>
            <w:tcW w:w="5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February 2012</w:t>
            </w:r>
          </w:p>
        </w:tc>
        <w:tc>
          <w:tcPr>
            <w:tcW w:w="2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130,000</w:t>
            </w: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0.68</w:t>
            </w: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March 2012</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1,600,000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0.99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Exercise and New Issuance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Between February 6 and February 14, 2012, the Company entered into agreements with Holders, pursuant to which the Holders exercised 2,274,235 Special Bridge and 1,554,758 Conversion Warrants to purchase an aggregate of 3,828,993 shares of our common stock for aggregate proceeds of $3.65 million. In addition, the Company issued new warrants to purchase an aggregate of 2,660,922 shares of common stock at an exercise price of $1.76 per share, in consideration for the immediate exercise of the warrants (“Reload Warrants”). 1,392,972 of the Reload Warrants bear down-round protection clauses; as a result, they were classified as a long term derivative liability and recorded at fair value (“Preferential Reload Warrants”). Fair value of the Preferential Reload Warrants, in the total amount of $1,476 thousand was calculated using the Black-Scholes-Merton and the Monte-Carlo models, using the following assumptions: 72.89% expected volatility, a risk-free interest rate of 0.79%, estimated life of 5 years and no dividend yield. The fair value of the common stock was $1.76. The Company estimated there is a 30% probability that down-round protection will be activated in September 2012. The remaining 1,268,950 non-Preferential Reload Warrants were recorded as equity. The transaction was accounted for as an inducement to convert convertible debt, due to the fact that the exercised Special Bridge and Conversion Warrants were recorded as a derivative long-term liability. According to ASC 470-20-40-16, the Company recorded additional non-operating expense, in the total amount of $2,567 thousand, equal to the fair value of both the Preferential and the non-Preferential Reload Warrants on the date of the induced exercise of the above mentioned Special Bridge and Conversion Warrants.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lease payments under non-cancelable operating leases for office space and cars, as of March 31, 2012,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U.S.$</w:t>
            </w:r>
          </w:p>
        </w:tc>
      </w:tr>
      <w:tr>
        <w:trPr>
          <w:trHeight w:val="234"/>
        </w:trPr>
        <w:tc>
          <w:tcPr>
            <w:tcW w:w="1006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thousands</w:t>
            </w:r>
          </w:p>
        </w:tc>
      </w:tr>
      <w:tr>
        <w:trPr>
          <w:trHeight w:val="210"/>
        </w:trPr>
        <w:tc>
          <w:tcPr>
            <w:tcW w:w="100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Year ending December 31,</w:t>
            </w:r>
          </w:p>
        </w:tc>
        <w:tc>
          <w:tcPr>
            <w:tcW w:w="12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10060" w:type="dxa"/>
            <w:vAlign w:val="bottom"/>
          </w:tcPr>
          <w:p>
            <w:pPr>
              <w:ind w:left="180"/>
              <w:spacing w:after="0"/>
              <w:rPr>
                <w:sz w:val="20"/>
                <w:szCs w:val="20"/>
                <w:color w:val="auto"/>
              </w:rPr>
            </w:pPr>
            <w:r>
              <w:rPr>
                <w:rFonts w:ascii="Arial" w:cs="Arial" w:eastAsia="Arial" w:hAnsi="Arial"/>
                <w:sz w:val="18"/>
                <w:szCs w:val="18"/>
                <w:color w:val="auto"/>
              </w:rPr>
              <w:t>2012 (nine month period from April 1, 2012 through December 31, 2012)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r>
      <w:tr>
        <w:trPr>
          <w:trHeight w:val="230"/>
        </w:trPr>
        <w:tc>
          <w:tcPr>
            <w:tcW w:w="100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2013</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FFCC"/>
          </w:tcPr>
          <w:p>
            <w:pPr>
              <w:spacing w:after="0"/>
              <w:rPr>
                <w:sz w:val="19"/>
                <w:szCs w:val="19"/>
                <w:color w:val="auto"/>
              </w:rPr>
            </w:pPr>
          </w:p>
        </w:tc>
      </w:tr>
      <w:tr>
        <w:trPr>
          <w:trHeight w:val="223"/>
        </w:trPr>
        <w:tc>
          <w:tcPr>
            <w:tcW w:w="100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Rental expense for operating leases for both office space and cars for the three month period ended March 31, 2012 and 2011 was $34 thousand, and $33 thousand,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7—Risks and Uncertainties</w:t>
      </w:r>
    </w:p>
    <w:p>
      <w:pPr>
        <w:spacing w:after="0" w:line="229" w:lineRule="exact"/>
        <w:rPr>
          <w:sz w:val="20"/>
          <w:szCs w:val="20"/>
          <w:color w:val="auto"/>
        </w:rPr>
      </w:pPr>
    </w:p>
    <w:p>
      <w:pPr>
        <w:ind w:left="740" w:hanging="408"/>
        <w:spacing w:after="0" w:line="25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and accounts receivable. The Company maintains its cash and cash equivalents with various major financial institutions. These major financial institutions are located in Israel and the United States, and the Company’s policy is designed to limit exposure to any one institution. With respect to accounts receivable, the Company is subject to a concentration of credit risk, as a majority of its outstanding trade receivables relate to sales to a limited number of customers.</w:t>
      </w:r>
    </w:p>
    <w:p>
      <w:pPr>
        <w:spacing w:after="0" w:line="188" w:lineRule="exact"/>
        <w:rPr>
          <w:rFonts w:ascii="Arial" w:cs="Arial" w:eastAsia="Arial" w:hAnsi="Arial"/>
          <w:sz w:val="18"/>
          <w:szCs w:val="18"/>
          <w:color w:val="auto"/>
        </w:rPr>
      </w:pPr>
    </w:p>
    <w:p>
      <w:pPr>
        <w:ind w:left="740" w:right="100" w:hanging="408"/>
        <w:spacing w:after="0" w:line="308"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Company's video ringtone data is hosted at a remote location. Although the Company has full alternative site data backed up, it does not have data hosting redundancy and are thus exposed to the business risk of significant service interruptions to its video ringtone service.</w:t>
      </w:r>
    </w:p>
    <w:p>
      <w:pPr>
        <w:spacing w:after="0" w:line="146" w:lineRule="exact"/>
        <w:rPr>
          <w:rFonts w:ascii="Arial" w:cs="Arial" w:eastAsia="Arial" w:hAnsi="Arial"/>
          <w:sz w:val="17"/>
          <w:szCs w:val="17"/>
          <w:color w:val="auto"/>
        </w:rPr>
      </w:pPr>
    </w:p>
    <w:p>
      <w:pPr>
        <w:ind w:left="740" w:right="48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subscription based video ringtone products are subject to regulation in the markets in which the service operates. Regulatory changes can adversely affect the Company’s ability to generate revenue from its products in that market.</w:t>
      </w:r>
    </w:p>
    <w:p>
      <w:pPr>
        <w:spacing w:after="0" w:line="170" w:lineRule="exact"/>
        <w:rPr>
          <w:rFonts w:ascii="Arial" w:cs="Arial" w:eastAsia="Arial" w:hAnsi="Arial"/>
          <w:sz w:val="18"/>
          <w:szCs w:val="18"/>
          <w:color w:val="auto"/>
        </w:rPr>
      </w:pPr>
    </w:p>
    <w:p>
      <w:pPr>
        <w:jc w:val="both"/>
        <w:ind w:left="740" w:right="140" w:hanging="408"/>
        <w:spacing w:after="0" w:line="286"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Company’s Facetones™ application creates an automated video slideshow using friends' photos from social media web sites, primarily from Facebook®, the world's leading social media site. In the event Facebook® prohibits or restricts the ability of the Company’s application to access photos on its site, the Company’s revenue from this application and projected growth could be harmed.</w:t>
      </w:r>
    </w:p>
    <w:p>
      <w:pPr>
        <w:spacing w:after="0" w:line="165" w:lineRule="exact"/>
        <w:rPr>
          <w:rFonts w:ascii="Arial" w:cs="Arial" w:eastAsia="Arial" w:hAnsi="Arial"/>
          <w:sz w:val="17"/>
          <w:szCs w:val="17"/>
          <w:color w:val="auto"/>
        </w:rPr>
      </w:pPr>
    </w:p>
    <w:p>
      <w:pPr>
        <w:ind w:left="740" w:right="60" w:hanging="408"/>
        <w:spacing w:after="0" w:line="25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86" w:lineRule="exact"/>
        <w:rPr>
          <w:rFonts w:ascii="Arial" w:cs="Arial" w:eastAsia="Arial" w:hAnsi="Arial"/>
          <w:sz w:val="18"/>
          <w:szCs w:val="18"/>
          <w:color w:val="auto"/>
        </w:rPr>
      </w:pPr>
    </w:p>
    <w:p>
      <w:pPr>
        <w:ind w:left="740" w:right="76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229" w:lineRule="exact"/>
        <w:rPr>
          <w:sz w:val="20"/>
          <w:szCs w:val="20"/>
          <w:color w:val="auto"/>
        </w:rPr>
      </w:pPr>
    </w:p>
    <w:p>
      <w:pPr>
        <w:ind w:left="720" w:right="160" w:hanging="388"/>
        <w:spacing w:after="0" w:line="30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April 26, 2012, the NYSE Amex notified the Company that it had resolved the continued listing deficiency referenced in the NYSE Amex's letter dated May 24, 2011, which stated that the Company was not in compliance with Section 1003(a) (iv) of the NYSE Amex's continued listing standards. The NYSE Amex's conclusion was based on a review of available information with respect to the Company, including its filings with the Securities and Exchange Commission. The Company's continued listing eligibility will be assessed on an ongoing basis.</w:t>
      </w:r>
    </w:p>
    <w:p>
      <w:pPr>
        <w:spacing w:after="0" w:line="154" w:lineRule="exact"/>
        <w:rPr>
          <w:rFonts w:ascii="Arial" w:cs="Arial" w:eastAsia="Arial" w:hAnsi="Arial"/>
          <w:sz w:val="16"/>
          <w:szCs w:val="16"/>
          <w:color w:val="auto"/>
        </w:rPr>
      </w:pPr>
    </w:p>
    <w:p>
      <w:pPr>
        <w:ind w:left="720" w:right="80" w:hanging="388"/>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April 6, 2012, the Company filed a Form S-4 Registration Statement with the Securities Exchange Commission regarding the proposed Merger with I/P, and is currently addressing comments received from the Securities Exchange Commission regarding this Registration Statement.</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18" w:name="page19"/>
    <w:bookmarkEnd w:id="18"/>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filed on March 30, 2012.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Our applications and services have been launched with ten carriers in eight markets. The billing integrations that we have with these operators are of significant strategic value to our operations. In addition, we have deals in place with two of the four largest handset makers in the world. We believe that social network information and updates will be shared regularly when friends regularly communicate by voice and by text.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 While our current portfolio of applications and services represents what we believe to be cutting edge mobile technology that can work across many operating systems, we recognize that the pace at which the mobile landscape is changing has increased and the two most dominant operating systems are Google’s Android and Apple’s iOS. Moving forward, we intend to develop additional applications and services for these two key operating systems, as well as other dominant smartphone operating systems that may emerge. We believe that we can leverage our existing distribution and relationships to promote apps and services for these two operating systems.</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a development stage company. From inception through March 31, 2012, we have raised approximately $34.8 million. These amounts have been used to finance our operations, as until now, we have not yet generated any significant revenues. From inception through March 31, 2012, we recorded losses of $43.2 million and net cash outflow from operations of $30.5 million. Our average monthly cash burn rate from operations for the three month period ended March 31, 2012, was approximately $0.4 million. For the three month period ended March 31, 2012, the operational cash burn included expenses incurred in connection with merger and acquisition activities, in the total amount of approximately $0.45 million.</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February 2012, we raised approximately $3.6 million through warrant exercises. Pursuant to agreements with warrant holders, we issued new warrants to purchase an aggregate of 2,660,922 shares of common stock at an exercise price of $1.76 per share (the “Reload Warrants”), with the potential of raising up to an additional $5.0 million. The shares of common stock issuable upon the exercise of these warrants are pending registration approval by the Securities Exchange Commission, pursuant to a Form S-3 Registration Statement filed on March 30, 2012.</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12, 2012, we entered into an Agreement and Plan of Merger (the “Merger Agreement”) with VIP Merger Sub, Inc., a Delaware corporation, which will be our wholly-owned subsidiary (“Merger Sub”), and Innovate/Protect, Inc., a Delaware corporation and an intellectual property firm founded in 2011 whose wholly-owned subsidiary, I/P Engine, holds eight patents that were acquired from Lycos Inc. (“Innovate/Protect”), pursuant to which Innovate/Protect will merge with and into Merger Sub, with Merger Sub being the surviving corporation (the “Surviving Corporation”) through an exchange of capital stock of Innovate/Protect for our capital stock (the “Merger”).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9" w:name="page20"/>
    <w:bookmarkEnd w:id="19"/>
    <w:p>
      <w:pPr>
        <w:jc w:val="both"/>
        <w:ind w:firstLine="648"/>
        <w:spacing w:after="0" w:line="267" w:lineRule="auto"/>
        <w:rPr>
          <w:sz w:val="20"/>
          <w:szCs w:val="20"/>
          <w:color w:val="auto"/>
        </w:rPr>
      </w:pPr>
      <w:r>
        <w:rPr>
          <w:rFonts w:ascii="Arial" w:cs="Arial" w:eastAsia="Arial" w:hAnsi="Arial"/>
          <w:sz w:val="17"/>
          <w:szCs w:val="17"/>
          <w:color w:val="auto"/>
        </w:rPr>
        <w:t>Under the terms of the Merger Agreement, upon completion of the Merger, (i) each share of then-outstanding common stock of Innovate/Protect, par value $0.0001 per share (other than shares held by us, Innovate/Protect or any of our and their subsidiaries, which will be cancelled at the completion of the Merger) will be automatically converted into the right to receive the number of shares of our common stock, par value $0.01 per share multiplied by the Common Stock Exchange Ratio (as defined below) and (ii) each share of then-outstanding Series A Convertible Preferred Stock of Innovate/Protect, par value $0.0001 per share (other than shares held by us, Innovate/Protect or any of our and their subsidiaries, which will be cancelled at the completion of the Merger) will be automatically converted into the right to receive the same number of shares of our Series A Convertible Preferred Stock, which as of March 31, 2012, 6,818 shares shall be initially convertible into an aggregate of 20,573,998 shares of our common stock (or at a current conversion rate of 3,017.6). The preferred stock to be issued, will have the powers, designations, preferences and other rights as will be set forth in a Certificate of Designations, Preferences and Rights of Series A Convertible Preferred Stock to be filed by us prior to closing.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we will issue to the holders of Innovate/Protect capital stock and the holder of Innovate/Protect’s issued and outstanding warrant (on a pro rata as-converted basis) an aggregate of 15,959,838 warrants to purchase an aggregate of 15,959,838 shares of our common stock with an exercise price of $1.76 per share, each subject to equitable adjustment in the event of a reverse stock split. The issued and outstanding warrant to purchase Innovate/Protect common stock shall be exchanged for 250,000 shares of our common stock and 850,000 warrants to purchase 850,000 shares of our common stock with an exercise price of $1.76 per share, each subject to equitable adjustment in the event of a reverse stock split. In addition, the aggregate number of shares of our common stock and the aggregate number of warrants (and the aggregate number of shares of our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at the effective time of the Merger, each outstanding and unexercised option to purchase Innovate/Protect common stock, whether vested or unvested will be converted into and become an option to purchase our common stock and we will assume such Innovate/Protect stock option in accordance with the terms of the Innovate/Protect 2011 Equity Incentive Plan. After the effective time of the Merger, (a) each Innovate/Protect stock option assumed by us may be exercised solely for shares of our common stock and (b) the number of shares of our common stock and the exercise price subject to each Innovate/Protect stock option assumed by us shall be determined by the Common Stock Exchange Ratio.</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Immediately following the completion of the Merger, the former stockholders of Innovate/Protect are expected to own approximately 56.05% of the outstanding common stock of the combined company, and our current stockholders are expected to own approximately 43.95% of the outstanding common stock of the combined company. On a fully diluted basis, the former stockholders of Innovate/Protect are expected to own approximately 67.55% of the outstanding common stock of the combined company, and our current stockholders are expected to own approximately 32.45% of the outstanding common stock of the combined company.</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expended significant effort and management attention on the proposed transaction. There is no assurance that the transaction contemplated by the Merger Agreement will be consummated. If the transaction is not consummated for any reason, our business and operations, as well as the market price of our stock and warrants may be adversely affected. For accounting purposes, based on our preliminary assessment, Innovate/Protect was identified as the “Acquirer”, as it is defined in FASB Topic ASC 805. As a result, in the post-combination consolidated financial statements, Innovate/Protect’s assets and liabilities will be presented at its pre-combination amounts, and our assets and liabilities will be recognized and measured in accordance with the guidance for business combinations in ASC 805. On April 6, 2012, we filed a Form S-4 Registration Statement with the Securities Exchange Commission regarding the proposed Merger with Innovate/Protect, although the Registration Statement is pending approval by the SEC. The Merger requires approval by the stockholders of both companies. We currently estimate that the Merger will be consummated in the third quarter of 2012.</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of March 31, 2012, we had approximately $3.6 million in cash and cash equivalents. We believe that current cash levels, after taking into effect the Merger with Innovate/Protect, will be sufficient to support our activity into the fourth quarter of 2012. The continuation of our business, as a going concern is dependent upon the successful consummation of our Merger with Innovate/Protect, or additional merger or acquisition, financing, and upon the further development of our products. In addition a significant portion of our issued and outstanding warrants are currently “in the money” and the shares of common stock underlying such warrants will become freely tradable upon exercise after registration, with the potential of up to $5 million of incoming funds for us. A Form S-3 Registration Statement was filed on March 30, 2012 and is pending approval by the Securities Exchange Commission. Provided that our stock price remains at or near its current level, we expect that the exercise of these instruments will generate substantial additional funds for our operations. There can be no assurance, however, that any such opportunities will materialize. All of our audited consolidated financial statements since inception have contained a “going concern” reference by our auditors, expressing substantial doubt about our ability to continue as a going concern.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jc w:val="both"/>
        <w:ind w:firstLine="648"/>
        <w:spacing w:after="0" w:line="312" w:lineRule="auto"/>
        <w:rPr>
          <w:sz w:val="20"/>
          <w:szCs w:val="20"/>
          <w:color w:val="auto"/>
        </w:rPr>
      </w:pPr>
      <w:r>
        <w:rPr>
          <w:rFonts w:ascii="Arial" w:cs="Arial" w:eastAsia="Arial" w:hAnsi="Arial"/>
          <w:sz w:val="16"/>
          <w:szCs w:val="16"/>
          <w:color w:val="auto"/>
        </w:rPr>
        <w:t>Our financial statements were prepared using principles applicable to a going concern, which contemplate the realizations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if we are not able to continue as a going concern.</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26, 2012, the NYSE Amex notified us that it had resolved the continued listing deficiency referenced in the NYSE Amex's letter dated May 24, 2011, which stated that we were not in compliance with Section 1003(a) (iv) of the NYSE Amex's continued listing standards. The NYSE Amex's conclusion was based on a review of available information, including our filings with the Securities and Exchange Commission. Our continued listing eligibility will be assessed on an ongoing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goal is to become a leading global provider and licensor of mobile video and mobile social applications, services and software, including mobile personalization, and interactive services via our different software platforms and maximize the benefits of our intellectual property. To achieve this goal, we plan to:</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Grow our business</w:t>
      </w:r>
      <w:r>
        <w:rPr>
          <w:rFonts w:ascii="Arial" w:cs="Arial" w:eastAsia="Arial" w:hAnsi="Arial"/>
          <w:sz w:val="18"/>
          <w:szCs w:val="18"/>
          <w:color w:val="auto"/>
        </w:rPr>
        <w:t>. On March 12, 2012, we announced the entry into a Merger Agreement with Innovate/Protect. The objectives of the Merger are to</w:t>
      </w:r>
      <w:r>
        <w:rPr>
          <w:rFonts w:ascii="Arial" w:cs="Arial" w:eastAsia="Arial" w:hAnsi="Arial"/>
          <w:sz w:val="18"/>
          <w:szCs w:val="18"/>
          <w:i w:val="1"/>
          <w:iCs w:val="1"/>
          <w:color w:val="auto"/>
        </w:rPr>
        <w:t xml:space="preserve"> </w:t>
      </w:r>
      <w:r>
        <w:rPr>
          <w:rFonts w:ascii="Arial" w:cs="Arial" w:eastAsia="Arial" w:hAnsi="Arial"/>
          <w:sz w:val="18"/>
          <w:szCs w:val="18"/>
          <w:color w:val="auto"/>
        </w:rPr>
        <w:t>maximize the economic benefits of our intellectual property assets, add significant talent in technological innovation, and be positioned to enhance its opportunities for revenue generation through the monetization of the combined company’s assets. Innovate/Protect is the owner of certain patent assets acquired from Lycos, one of the largest search engine websites of its kind in the mid-late 1990s, including technologies that remain critical to current search platforms. We believe that the Merger, if consummated, will potentially enhance our technology, our portfolio of intellectual property, and as a result, open new business opportunities for our company.</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Maintain and grow our product technology and monetization of intellectual property</w:t>
      </w:r>
      <w:r>
        <w:rPr>
          <w:rFonts w:ascii="Arial" w:cs="Arial" w:eastAsia="Arial" w:hAnsi="Arial"/>
          <w:sz w:val="17"/>
          <w:szCs w:val="17"/>
          <w:color w:val="auto"/>
        </w:rPr>
        <w:t>. Our technical team is made up of highly regarded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professionals that continually ensure that our product is on the cutting-edge in terms of ease of use, functionality and look and feel. Our applications and services have millions of downloads and registered users, however there is no guarantee that we can maintain this leadership position. Separately, the mobile video and mobile social networking industries are in their infancy and in order to create a user base with scale and ultimately substantial revenue we will need to spend additional capital resources. In addition to product leadership we continue to grow our portfolio of intellectual property through internal development. We plan to continue to allocate technical resources to remain ahead of our competition and provide users with a product that is easy-to-use and cutting-edge. We have filed 24 patent applications for our platform (three of which have been issued to date) and we continue to create new intellectual property. We believe that, if consummated, the Merger will add significant talent in technological innovation, and position the combined company for potential enhanced opportunities and revenue generation through the monetization of the combined company’s assets.</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Continue to maintain a base of strategically important intellectual property. </w:t>
      </w:r>
      <w:r>
        <w:rPr>
          <w:rFonts w:ascii="Arial" w:cs="Arial" w:eastAsia="Arial" w:hAnsi="Arial"/>
          <w:sz w:val="18"/>
          <w:szCs w:val="18"/>
          <w:color w:val="auto"/>
        </w:rPr>
        <w:t>If consummated, the Merger will substantially increase our intellectual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portfolio, we believe that there are additional intellectual property assets that we will be able to partner with, license or acquire. Our success depends on not just the monetization of the existing portfolio of patents, but expanding it further.</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Create additional applications and services. </w:t>
      </w:r>
      <w:r>
        <w:rPr>
          <w:rFonts w:ascii="Arial" w:cs="Arial" w:eastAsia="Arial" w:hAnsi="Arial"/>
          <w:sz w:val="17"/>
          <w:szCs w:val="17"/>
          <w:color w:val="auto"/>
        </w:rPr>
        <w:t>We intend to develop, license or acquire additional applications and services to distribute through our</w:t>
      </w:r>
      <w:r>
        <w:rPr>
          <w:rFonts w:ascii="Arial" w:cs="Arial" w:eastAsia="Arial" w:hAnsi="Arial"/>
          <w:sz w:val="17"/>
          <w:szCs w:val="17"/>
          <w:i w:val="1"/>
          <w:iCs w:val="1"/>
          <w:color w:val="auto"/>
        </w:rPr>
        <w:t xml:space="preserve"> </w:t>
      </w:r>
      <w:r>
        <w:rPr>
          <w:rFonts w:ascii="Arial" w:cs="Arial" w:eastAsia="Arial" w:hAnsi="Arial"/>
          <w:sz w:val="17"/>
          <w:szCs w:val="17"/>
          <w:color w:val="auto"/>
        </w:rPr>
        <w:t>carrier, handset and application store partners. While we have gained significant user adoption for our products and services we believe that to achieve substantial revenue we will need to create new products in particular for Apple’s iOS devices. Apple is currently the dominant operating system for the monetization of mobile applications followed by Android. We have already deployed 4 applications for Apple’s iOS and generated over 1 million downloads on Android alone for our Facetones product. To be competitive we will continue to focus on the two most dominant smartphone platforms.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Grow our subscription services through mobile carrier partnerships</w:t>
      </w:r>
      <w:r>
        <w:rPr>
          <w:rFonts w:ascii="Arial" w:cs="Arial" w:eastAsia="Arial" w:hAnsi="Arial"/>
          <w:sz w:val="18"/>
          <w:szCs w:val="18"/>
          <w:color w:val="auto"/>
        </w:rPr>
        <w:t>. We have built our products so as to be easily integrated with mobile carriers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content aggregators. We believe the mobile carrier channel is one of the most cost effective channels to grow our user base and to monetize our products. Our subscription services are currently live in Belgium, India, Malaysia, Singapore, the United Kingdom and the United Arab Emirates and in limited release in the United States.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Generate revenue via software licensing partnerships. </w:t>
      </w:r>
      <w:r>
        <w:rPr>
          <w:rFonts w:ascii="Arial" w:cs="Arial" w:eastAsia="Arial" w:hAnsi="Arial"/>
          <w:sz w:val="18"/>
          <w:szCs w:val="18"/>
          <w:color w:val="auto"/>
        </w:rPr>
        <w:t>We have licensed our software to 2 of the 4 largest handset makers in the world, ZTE and</w:t>
      </w:r>
      <w:r>
        <w:rPr>
          <w:rFonts w:ascii="Arial" w:cs="Arial" w:eastAsia="Arial" w:hAnsi="Arial"/>
          <w:sz w:val="18"/>
          <w:szCs w:val="18"/>
          <w:i w:val="1"/>
          <w:iCs w:val="1"/>
          <w:color w:val="auto"/>
        </w:rPr>
        <w:t xml:space="preserve"> </w:t>
      </w:r>
      <w:r>
        <w:rPr>
          <w:rFonts w:ascii="Arial" w:cs="Arial" w:eastAsia="Arial" w:hAnsi="Arial"/>
          <w:sz w:val="18"/>
          <w:szCs w:val="18"/>
          <w:color w:val="auto"/>
        </w:rPr>
        <w:t>Nokia. We believe that the market for pre-loaded software for mobile devices is a fast growing market that provides broad reach and sustainable recurring revenue.</w:t>
      </w:r>
    </w:p>
    <w:p>
      <w:pPr>
        <w:spacing w:after="0" w:line="181" w:lineRule="exact"/>
        <w:rPr>
          <w:sz w:val="20"/>
          <w:szCs w:val="20"/>
          <w:color w:val="auto"/>
        </w:rPr>
      </w:pPr>
    </w:p>
    <w:p>
      <w:pPr>
        <w:jc w:val="both"/>
        <w:ind w:firstLine="693"/>
        <w:spacing w:after="0" w:line="264"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products,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critical for our growth. We will continue to add features to the product platforms to enhance their viral and social aspects and which enable users to connect with their existing social networks on platforms such as Facebook™, Twitter™ and LinkedIn™.</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Build a strong revenue base of recurring revenue. </w:t>
      </w:r>
      <w:r>
        <w:rPr>
          <w:rFonts w:ascii="Arial" w:cs="Arial" w:eastAsia="Arial" w:hAnsi="Arial"/>
          <w:sz w:val="16"/>
          <w:szCs w:val="16"/>
          <w:color w:val="auto"/>
        </w:rPr>
        <w:t>We will focus on recurring revenue stream generated by operator partners and advertising.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that our products and services are well suited for monetization through these avenues. While the mobile advertising market is promising, it is still in its infancy and our success is dependent on the growth of the market as a whole. Our aim is to penetrate this market through our established partnerships; however we recognize that the realization of this model on a significant scale will continue to require investment over a sustained period of time.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Find new forms of distribution. </w:t>
      </w:r>
      <w:r>
        <w:rPr>
          <w:rFonts w:ascii="Arial" w:cs="Arial" w:eastAsia="Arial" w:hAnsi="Arial"/>
          <w:sz w:val="18"/>
          <w:szCs w:val="18"/>
          <w:color w:val="auto"/>
        </w:rPr>
        <w:t>While we are currently focused on the mobile carrier distribution channel, we believe there are other avenues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be 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video ringtone platform was our primary product of focus from inception through the launch of our Facetones product in the third quarter of 2011. We continue to develop business for this product. We believe that our comprehensive video ringtone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Furthermore, our solution, provides our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12,000 video ringtones that we provide for our users in various territories. Certain portions of this library are geographically restricted. We also have developed substantial tools for users to create their own video ringtones and for mobile carriers and other partners to include their own content and deliver it exclusively to their customers. Our VringForward™ video ringtone technology allows users to enjoy a rich social experience by sharing video ringtones from our library or which they created.</w:t>
      </w:r>
    </w:p>
    <w:p>
      <w:pPr>
        <w:spacing w:after="0" w:line="17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Until the end of 2009, our video ringtone service was offered to consumers for free. At that point, we moved to a paid service model together with mobile carriers and other partners around the world. The revenue model for our video ringtone service offered through the carriers is generally a subscription-based model where users pay a monthly fee for access to our service and additional fees for premium content. Our free version is still available in markets where we have not entered into commercial arrangements with carriers or other partners. We have built our video ringtone platform with a flexible back-end and front-end that is easy to integrate with the back-end systems of mobile carriers and easy to co-brand with mobile carriers. To date, we have filed 24 patent applications for our platform, three of which have been issued in the United States and we have received one notice of allowance in Europe to date, and we continue to create new intellectual property.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May 15, 2012, we have commercial video ringtone services with the following eight carriers and partners.</w:t>
      </w:r>
    </w:p>
    <w:p>
      <w:pPr>
        <w:spacing w:after="0" w:line="225" w:lineRule="exact"/>
        <w:rPr>
          <w:sz w:val="20"/>
          <w:szCs w:val="20"/>
          <w:color w:val="auto"/>
        </w:rPr>
      </w:pPr>
    </w:p>
    <w:p>
      <w:pPr>
        <w:ind w:left="640" w:right="120" w:hanging="308"/>
        <w:spacing w:after="0" w:line="259"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Celcom AxiataBerhad, or Celcom, a mobile carrier in Malaysia, with 11.0 million subscribers. Celcom is one of the largest mobile telecommunications operators in Malaysia with the widest national 2G and 3G coverage in the country, with 25 thousand subscribers to our paid service. Celcom is a Vodafone partner and is part of the Axiata Group of Companies, one of the world’s largest telecommunications companies with more than 160 million customers across 10 Asian markets (launched in October 2011);</w:t>
      </w:r>
    </w:p>
    <w:p>
      <w:pPr>
        <w:spacing w:after="0" w:line="186" w:lineRule="exact"/>
        <w:rPr>
          <w:rFonts w:ascii="Arial" w:cs="Arial" w:eastAsia="Arial" w:hAnsi="Arial"/>
          <w:sz w:val="18"/>
          <w:szCs w:val="18"/>
          <w:color w:val="auto"/>
        </w:rPr>
      </w:pPr>
    </w:p>
    <w:p>
      <w:pPr>
        <w:ind w:left="640" w:right="20" w:hanging="308"/>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139 thousand subscribers to our paid service and an additional 7 thousand subscribers on a free trial basis (launched in September 2009);</w:t>
      </w:r>
    </w:p>
    <w:p>
      <w:pPr>
        <w:spacing w:after="0" w:line="170" w:lineRule="exact"/>
        <w:rPr>
          <w:rFonts w:ascii="Arial" w:cs="Arial" w:eastAsia="Arial" w:hAnsi="Arial"/>
          <w:sz w:val="18"/>
          <w:szCs w:val="18"/>
          <w:color w:val="auto"/>
        </w:rPr>
      </w:pPr>
    </w:p>
    <w:p>
      <w:pPr>
        <w:ind w:left="640" w:hanging="308"/>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and which has more than 94.0 million subscribers worldwide, where we have launched our products and services and have 23 thousand subscribers to our paid service, (launched in January 2010);</w:t>
      </w:r>
    </w:p>
    <w:p>
      <w:pPr>
        <w:spacing w:after="0" w:line="181" w:lineRule="exact"/>
        <w:rPr>
          <w:rFonts w:ascii="Arial" w:cs="Arial" w:eastAsia="Arial" w:hAnsi="Arial"/>
          <w:sz w:val="18"/>
          <w:szCs w:val="18"/>
          <w:color w:val="auto"/>
        </w:rPr>
      </w:pPr>
    </w:p>
    <w:p>
      <w:pPr>
        <w:ind w:left="640" w:right="220" w:hanging="308"/>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Everything Everywhere Limited (EEL), a mobile carrier with almost 30.0 million subscribers in the United Kingdom. Our video ringtone platform launched was with Orange UK, a large mobile communications company and subsidiary of EEL, with 16.0 million subscribers and we have 33 thousand subscribers to our paid service (launched in February 2011);</w:t>
      </w:r>
    </w:p>
    <w:p>
      <w:pPr>
        <w:spacing w:after="0" w:line="181"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Starhub, a mobile carrier with 2.0 million subscribers in Singapore (initially launched in February 2011 and re-launched in the first quarter 2012);</w:t>
      </w:r>
    </w:p>
    <w:p>
      <w:pPr>
        <w:spacing w:after="0" w:line="248" w:lineRule="exact"/>
        <w:rPr>
          <w:rFonts w:ascii="Arial" w:cs="Arial" w:eastAsia="Arial" w:hAnsi="Arial"/>
          <w:sz w:val="16"/>
          <w:szCs w:val="16"/>
          <w:color w:val="auto"/>
        </w:rPr>
      </w:pPr>
    </w:p>
    <w:p>
      <w:pPr>
        <w:ind w:left="640" w:right="20" w:hanging="308"/>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RTL in Belgium, part of the Bertelsman RTL Television network, has offered together with us, a subscription service on all three Belgian mobile operators (with a combined subscriber base of 1 million) that includes RTL content (launched in June 2010 with limited subscribers due to regulatory limitations introduced on mobile services);</w:t>
      </w:r>
    </w:p>
    <w:p>
      <w:pPr>
        <w:spacing w:after="0" w:line="181" w:lineRule="exact"/>
        <w:rPr>
          <w:rFonts w:ascii="Arial" w:cs="Arial" w:eastAsia="Arial" w:hAnsi="Arial"/>
          <w:sz w:val="18"/>
          <w:szCs w:val="18"/>
          <w:color w:val="auto"/>
        </w:rPr>
      </w:pPr>
    </w:p>
    <w:p>
      <w:pPr>
        <w:ind w:left="640" w:right="60" w:hanging="308"/>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Hungama, a content and mobile services aggregator in India. The service with Hungama is being offered to customers of 15 different mobile carriers in India. Our paid service was on temporary hold as a result of regional legalities in India, however we re-launched the service in March 2012 in partnership with Hungama and Tata DOCOMO;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ind w:left="640" w:right="100" w:hanging="308"/>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Emirates Integrated Telecommunications Company (du Networks), a mobile carrier with 5.0 million subscribers in the United Arab Emirates, where we have launched our products and services in February 2012.</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 As of May 15, 2012, our partners have an aggregate of approximately 700 million subscribers, of which 227 thousand are paid subscribers to our service, and another 9 thousand subscribers have enrolled on a free-trial basis.</w:t>
      </w:r>
    </w:p>
    <w:p>
      <w:pPr>
        <w:spacing w:after="0" w:line="181" w:lineRule="exact"/>
        <w:rPr>
          <w:sz w:val="20"/>
          <w:szCs w:val="20"/>
          <w:color w:val="auto"/>
        </w:rPr>
      </w:pPr>
    </w:p>
    <w:p>
      <w:pPr>
        <w:jc w:val="both"/>
        <w:ind w:firstLine="542"/>
        <w:spacing w:after="0" w:line="257" w:lineRule="auto"/>
        <w:rPr>
          <w:sz w:val="20"/>
          <w:szCs w:val="20"/>
          <w:color w:val="auto"/>
        </w:rPr>
      </w:pPr>
      <w:r>
        <w:rPr>
          <w:rFonts w:ascii="Arial" w:cs="Arial" w:eastAsia="Arial" w:hAnsi="Arial"/>
          <w:sz w:val="18"/>
          <w:szCs w:val="18"/>
          <w:color w:val="auto"/>
        </w:rPr>
        <w:t>Our new Facetones™ social ringtone platform generates social visual ringtone content automatically by aggregating and displaying a user’s friends’ pictures from social networks and then displaying as a video ringtone, as well as a video ringback tone. These ringtones do not replace, but rather enhance, standard ringtone and ringback tones with relevant, current social content that is visually displayed. The Facetones™ product is available for devices running Android, iOS, and Nokia’s Symbian S3. We are currently working together with mobile handset makers to develop this application for other operating systems.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Facetones™ is experiencing growth both in consumer downloads and in the number of commercial deals with major partners already announced. The product is being made available to consumers in several different configurations and with a variety of distribution and monetization methods. As of May 5, 2012, the Facetones™ free ad-supported version had more than a million downloads and is generating more than 3.8 million requests in mobile ad inventory on a weekly basis.</w:t>
      </w:r>
    </w:p>
    <w:p>
      <w:pPr>
        <w:spacing w:after="0" w:line="18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Facetones™ is offered directly to consumers via leading mobile application stores and download sites where both for purchase versions (at prices ranging from $1 to $5), as well as ad-supported free versions are available. Facetones is available in application stores integrated into popular handsets such as the Google Android Market and Apple App Store. We have announced placement deals for the app with GetJar, the world’s largest independent app store, Mobango and AppBrain. In August 2011, we launched Facetones™ in Japan for Android users through the DOCOMO market, a mobile internet portal operated by NTT DOCOMO, INC., the largest mobile phone operator in Japan, with more than 50 million users. In October 2011, Verizon, the largest mobile operator in the United States, announced the launch of Facetones™ as a subscription service for Verizon subscribers for $0.99 a month. We continue to pursue business for Facetones™ together with handset manufacturers. In December 2011, we launched Facetones™ for Symbian in cooperation with Nokia. In January 2012, we launched Facetones™ for iPhone which generates, as of the end of February 2012, close to a thousand daily downloads without any promotion. In March 2012, we shifted from providing an ad-based free-of-charge for iPhone to a one-time fee ads-free app.</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our direct to consumer and carrier marketed versions of the Facetones™ application, we believe that licensing our software to handset makers will provide a growing and significant revenue stream during 2012 and beyond. In November 2011, we announced an agreement with ZTE Corporation, the largest handset maker in China and fourth-largest globally, to preload the Facetones™ application on Android handsets manufactured by ZTE. ZTE will pay us a royalty for each device that our software is pre-loaded on. These ZTE handsets will be sold via mobile phone operators and through various OEM contracts to brand name handset manufacturers. In addition, we have entered into a development contract with Nokia, the world’s largest handset maker, to supply Facetones for Nokia’s S3 devices, subsequent to delivering this version of our application it was recently launched on the Nokia Ovi Store.</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Early in 2011, we launched our new Video ReMix platform that allows users to download an application for iOS (iPhone, iPad, iPod) or Android phones and create their own music video by tapping on a variety of music beats and video files. Essentially, the user is able to “Remix” this music video content and add his own user generated video to the mix and then view this content or share it with friends via Facebook® or other social networks. This application turns the smartphone or tablet into a virtual video ReMix sound/video board where this “mixing” is accomplished by simple tapping on the touch screen interface. The Video ReMix applications are branded with an artist or sponsor and then monetized via advertising, sponsorship, a-la carte sales or in app store purchases.</w:t>
      </w:r>
    </w:p>
    <w:p>
      <w:pPr>
        <w:spacing w:after="0" w:line="193" w:lineRule="exact"/>
        <w:rPr>
          <w:sz w:val="20"/>
          <w:szCs w:val="20"/>
          <w:color w:val="auto"/>
        </w:rPr>
      </w:pPr>
    </w:p>
    <w:p>
      <w:pPr>
        <w:jc w:val="both"/>
        <w:ind w:firstLine="724"/>
        <w:spacing w:after="0" w:line="255" w:lineRule="auto"/>
        <w:rPr>
          <w:sz w:val="20"/>
          <w:szCs w:val="20"/>
          <w:color w:val="auto"/>
        </w:rPr>
      </w:pPr>
      <w:r>
        <w:rPr>
          <w:rFonts w:ascii="Arial" w:cs="Arial" w:eastAsia="Arial" w:hAnsi="Arial"/>
          <w:sz w:val="18"/>
          <w:szCs w:val="18"/>
          <w:color w:val="auto"/>
        </w:rPr>
        <w:t>The initial Video ReMix application was developed with Nappy Boy Enterprises, the music production company of the artist T-Pain. Booty Symphony was released in an ad-supported free Android version as well as paid versions for iOS and Android. Our newest application on our Video ReMix platform was delivered in the second quarter of 2011 to partner Corso Communications and its client Heineken. This sponsored version highlighted music and video of the group Dirty Vegas, and was used by Heineken “brand ambassadors” at the Coachella Music festival. We later created an additional version of this application for Heineken in the third quarter of 2011. We continue to seek new business for this platform with other recording artists and sponsored by additional major brands.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Fan Loyalty platform was launched in mid-2011 by co-branding our Fan-Loyalty application with Star Academy 8, the largest music competition in the Middle East and Nokia, the world’s largest handset maker. This platform enables users to obtain video content from the show as well as from behind the scenes, retrieve information regarding the show and vote for their favorite contestants. The free app was launched in partnership with Rotana, a diversified media company and the world's largest producer of music and music television in the Middle East, and sponsored by Nokia. The application featured exclusive content and fully integrated live voting capabilities for the blockbuster "Star Academy" reality music show, which reached over 300 million viewers and was available in over 10 countries in the region. In the first quarter of 2012, we entered into an agreement with Endemol, a producer of entertainment and reality TV programming, to work together on additional sponsored versions of this application.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firstLine="648"/>
        <w:spacing w:after="0" w:line="308" w:lineRule="auto"/>
        <w:rPr>
          <w:sz w:val="20"/>
          <w:szCs w:val="20"/>
          <w:color w:val="auto"/>
        </w:rPr>
      </w:pPr>
      <w:r>
        <w:rPr>
          <w:rFonts w:ascii="Arial" w:cs="Arial" w:eastAsia="Arial" w:hAnsi="Arial"/>
          <w:sz w:val="17"/>
          <w:szCs w:val="17"/>
          <w:color w:val="auto"/>
        </w:rPr>
        <w:t>The Fan Loyalty application for Star Academy was made available exclusively for download on the Ovi Store, and had more than 200 thousand downloads during the season. We are in discussions with several other entertainment groups regarding potential deals for this Fan Loyalty platform.</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2012, we had 24 full time employees and 4 part-time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recognize revenue from monthly subscription from carriers, development projects and content sales when all the conditions for revenue recognition are met: (i) persuasive evidence of an arrangement exists, (ii) collection of the fee is probable, (iii) the sales price is fixed and determinable and</w:t>
      </w:r>
    </w:p>
    <w:p>
      <w:pPr>
        <w:jc w:val="both"/>
        <w:ind w:firstLine="8"/>
        <w:spacing w:after="0" w:line="290" w:lineRule="auto"/>
        <w:tabs>
          <w:tab w:leader="none" w:pos="307"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delivery has occurred or services have been rendered. Our subscription service arrangements are evidenced by a written document signed by both parties. Our revenues from monthly subscription fees, content purchases and advertisement revenues are recognized when we have received confirmation that the amount is due to us, which provides proof that the services have been rendered, and making collection probable. We recognize revenue from non-refundable up-front fees relating to set-up and billing integration across the period of the contract for the subscription service as these fees are part of hosting solution that we provide to the carrier. The hosting is provided on our servers for the entire period of the arrangement with this carrier, and the revenues relating to the monthly subscription, set-up fees and billing integration have been recognized over the period in the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primarily of third party expenses directly related to providing our service in launched markets. In addition, these costs include royalty fees for content sales and amortization of prepaid content licenses. Cost of revenue does not include expenses related to product development, integration, and support. These costs are included in research and development and marketing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706"/>
        <w:spacing w:after="0" w:line="264" w:lineRule="auto"/>
        <w:rPr>
          <w:sz w:val="20"/>
          <w:szCs w:val="20"/>
          <w:color w:val="auto"/>
        </w:rPr>
      </w:pPr>
      <w:r>
        <w:rPr>
          <w:rFonts w:ascii="Arial" w:cs="Arial" w:eastAsia="Arial" w:hAnsi="Arial"/>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labor cost incurred in connection with customer integration, server and support functions for our development environment.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Marketing expenses include the salary of all business development and marketing personnel, travel expenses relating to business development activity and trade shows, as well as public relations, advertising, ongoing customer relations and customer acquisition expenses. As we increase our sales, certain commissions to agents will affect marketing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primarily include the salary of our finance and administrative personnel, rental costs, legal and accounting fees, insurance, telephone and other office expenses including depreciation and amortization.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Non-operating income (expenses) includes transaction gains (losses) from foreign exchange rate differences, interest on deposits, bank charges, as well as fair value adjustments of derivative liabilities on account of the Preferential Reload Warrants, Special Bridge Warrants and the Conversion Warrants, which are highly influenced by our stock price at the period end (revaluation date). Finally, in the first quarter of 2012, non-operating income included non-recurring expense related to the issuance of the Reload Warrants (see also Notes 3 and 5 to the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foreign income from our wholly owned subsidiary. At March 31, 2012, our deferred tax assets generated from our U.S. activities were entirely offset by a valuation allowance because realization depends on generating future taxable income, which, in our estimation, is not more likely than not to be generated. The deferred tax assets and liabilities generated from our subsidiary's operations are not offset by an allowance, as in our estimation, they are more likely than not to be realized.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4" w:name="page25"/>
    <w:bookmarkEnd w:id="24"/>
    <w:p>
      <w:pPr>
        <w:jc w:val="both"/>
        <w:ind w:firstLine="648"/>
        <w:spacing w:after="0" w:line="270" w:lineRule="auto"/>
        <w:rPr>
          <w:sz w:val="20"/>
          <w:szCs w:val="20"/>
          <w:color w:val="auto"/>
        </w:rPr>
      </w:pPr>
      <w:r>
        <w:rPr>
          <w:rFonts w:ascii="Arial" w:cs="Arial" w:eastAsia="Arial" w:hAnsi="Arial"/>
          <w:sz w:val="17"/>
          <w:szCs w:val="17"/>
          <w:color w:val="auto"/>
        </w:rPr>
        <w:t>Our subsidiary generates net taxable income from services it provides to us. The subsidiary charges us for research, development, certain management and other services provided to us, plus a profit margin on such costs, which is currently 8%. On December 5, 2011, the Knesset (Israel’s Parliament) approved the Law to Change the Tax Burden (Legislative Amendments) - 2011. According to the new law, the corporate tax rate will be 25% starting in 2012.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 zero percent tax benefits for the fiscal years of 2007-2008. In January 2011, new legislation amending the Investment Law was enacted. According to the amendment, the uniform tax rate applicable to a “Beneficiary Enterprise” in the zone where the production facilities of the subsidiary are located would be 15% in 2011 and 2012, 12.5% in 2013 and 2014, and 12% in 2015 and thereafter. Under the transitory provisions of the newly legislated amendment, the subsidiary irrevocably implemented the new law while waiving benefits provided under the current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Three months ended March 31, 2012, compared to the three months ended March 31, 2011 and the development stage period (cumulative from inception through March 31, 2012)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analysis compares the results of our operations for the three month period ended March 31, 2012, to the results of operations for the three month period ended March 31, 2011 and the results of our operations from inception through March 31, 2012.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r>
      <w:tr>
        <w:trPr>
          <w:trHeight w:val="243"/>
        </w:trPr>
        <w:tc>
          <w:tcPr>
            <w:tcW w:w="5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from inception</w:t>
            </w:r>
          </w:p>
        </w:tc>
      </w:tr>
      <w:tr>
        <w:trPr>
          <w:trHeight w:val="257"/>
        </w:trPr>
        <w:tc>
          <w:tcPr>
            <w:tcW w:w="5040" w:type="dxa"/>
            <w:vAlign w:val="bottom"/>
          </w:tcPr>
          <w:p>
            <w:pPr>
              <w:spacing w:after="0"/>
              <w:rPr>
                <w:sz w:val="22"/>
                <w:szCs w:val="22"/>
                <w:color w:val="auto"/>
              </w:rPr>
            </w:pPr>
          </w:p>
        </w:tc>
        <w:tc>
          <w:tcPr>
            <w:tcW w:w="4460" w:type="dxa"/>
            <w:vAlign w:val="bottom"/>
            <w:gridSpan w:val="8"/>
          </w:tcPr>
          <w:p>
            <w:pPr>
              <w:jc w:val="right"/>
              <w:ind w:right="900"/>
              <w:spacing w:after="0"/>
              <w:rPr>
                <w:sz w:val="20"/>
                <w:szCs w:val="20"/>
                <w:color w:val="auto"/>
              </w:rPr>
            </w:pPr>
            <w:r>
              <w:rPr>
                <w:rFonts w:ascii="Arial" w:cs="Arial" w:eastAsia="Arial" w:hAnsi="Arial"/>
                <w:sz w:val="18"/>
                <w:szCs w:val="18"/>
                <w:b w:val="1"/>
                <w:bCs w:val="1"/>
                <w:color w:val="auto"/>
              </w:rPr>
              <w:t>Three month period ended March 31,</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 March 31,</w:t>
            </w:r>
          </w:p>
        </w:tc>
      </w:tr>
      <w:tr>
        <w:trPr>
          <w:trHeight w:val="223"/>
        </w:trPr>
        <w:tc>
          <w:tcPr>
            <w:tcW w:w="50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r>
      <w:tr>
        <w:trPr>
          <w:trHeight w:val="210"/>
        </w:trPr>
        <w:tc>
          <w:tcPr>
            <w:tcW w:w="5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 - in thousands)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 - in thousands)</w:t>
            </w:r>
          </w:p>
        </w:tc>
        <w:tc>
          <w:tcPr>
            <w:tcW w:w="100" w:type="dxa"/>
            <w:vAlign w:val="bottom"/>
          </w:tcPr>
          <w:p>
            <w:pPr>
              <w:spacing w:after="0"/>
              <w:rPr>
                <w:sz w:val="18"/>
                <w:szCs w:val="18"/>
                <w:color w:val="auto"/>
              </w:rPr>
            </w:pPr>
          </w:p>
        </w:tc>
      </w:tr>
      <w:tr>
        <w:trPr>
          <w:trHeight w:val="243"/>
        </w:trPr>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106</w:t>
            </w:r>
          </w:p>
        </w:tc>
        <w:tc>
          <w:tcPr>
            <w:tcW w:w="16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147</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w:t>
            </w: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1,055</w:t>
            </w:r>
          </w:p>
        </w:tc>
      </w:tr>
      <w:tr>
        <w:trPr>
          <w:trHeight w:val="20"/>
        </w:trPr>
        <w:tc>
          <w:tcPr>
            <w:tcW w:w="504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During the three month period ended March 31, 2012, we recorded total revenues of $106 thousand, which represents decrease of $41 thousand (or 28%) compared to revenues recorded in the three month period ended March 31, 2011. The decrease, compared to the first quarter of 2011, was mainly due to a decrease in revenue recorded in connection with one time set up fees in Singapore and Armenia. Additional decrease in revenues was due to Video ReMix platform revenue recorded in the first quarter of 2011, in the total amount of $23 thousand, which did not occur in 2012. In addition, in the first quarter of 2012, the number of subscribers in Maxis was reduced due to system updates of recycled numbers from the regulated carrier database, as a result revenue decreased by $40 thousand (or 50%), compared to the first quarter of 2011. The decrease was offset by revenue from new subscription agreement in Malaysia ($16 thousand recorded in the first quarter of 2012) and an increase in revenue in the UK (an increase of $17 thousand, compared to the first quarter of 2011). Overall, we do not expect the abovementioned decrease in subscribers in Maxis to have a material effect on our future revenue.</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 period ended March 31, 2011, we recorded revenues of $147 thousand, which represents an increase of $117 thousand (or 390%) from revenues recorded for the three month period ended March 31, 2010. The recognized revenue in the first quarter of 2011 was mainly from our revenue-sharing agreements in Malaysia ($77 thousand recorded, an increase of $67 thousand compared to the first quarter of 2010). In addition, we recognized revenue for one time set up fees in Singapore ($9 thousand in the first quarter of 2011 and Armenia ($9 thousand in the first quarter of 2011). Revenue for our Video ReMix platform commenced this quarter, with the recognition of $23 thousand in March 2011. The revenue in the first quarter of 2010 was mainly comprised of our then new revenue-sharing agreements in Malaysia, the United Arab Emirates and Armenia, whereby we recognized approximately $10 thousand for each one of these customers.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inception through March 31, 2012, we recorded revenues of $1,055 thousand, which includes $726 thousand from revenue share subscription services, $118 thousand from one-time setup fees, $91 thousand from Facetones™, $80 thousand from Fan Loyalty application formats, $30 thousand from Video ReMix platform and $10 thousand from applications sold.</w:t>
      </w:r>
    </w:p>
    <w:p>
      <w:pPr>
        <w:spacing w:after="0" w:line="181" w:lineRule="exact"/>
        <w:rPr>
          <w:sz w:val="20"/>
          <w:szCs w:val="20"/>
          <w:color w:val="auto"/>
        </w:rPr>
      </w:pPr>
    </w:p>
    <w:p>
      <w:pPr>
        <w:jc w:val="both"/>
        <w:ind w:firstLine="702"/>
        <w:spacing w:after="0" w:line="257" w:lineRule="auto"/>
        <w:rPr>
          <w:sz w:val="20"/>
          <w:szCs w:val="20"/>
          <w:color w:val="auto"/>
        </w:rPr>
      </w:pPr>
      <w:r>
        <w:rPr>
          <w:rFonts w:ascii="Arial" w:cs="Arial" w:eastAsia="Arial" w:hAnsi="Arial"/>
          <w:sz w:val="18"/>
          <w:szCs w:val="18"/>
          <w:color w:val="auto"/>
        </w:rPr>
        <w:t>We expect to continue to generate a substantial portion of our future revenues from: (i) Facetones™ preloads through the agreement with ZTE as well as the development of additional business from handset makers, (ii) Facetones™ app, and Fan Loyalty application platforms, (iii) revenue-sharing agreements in India, Malaysia, Singapore, United Arab Emirates and UK, (iv) new revenue-sharing agreements for subscription-based services in new territories, (v) one-time service fees for customized production and development of the Facetones and Fan Loyalty application platforms, (vi) monetization of our intellectual property.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6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Cost of Revenue</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5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from inception</w:t>
            </w:r>
          </w:p>
        </w:tc>
      </w:tr>
      <w:tr>
        <w:trPr>
          <w:trHeight w:val="234"/>
        </w:trPr>
        <w:tc>
          <w:tcPr>
            <w:tcW w:w="5040" w:type="dxa"/>
            <w:vAlign w:val="bottom"/>
          </w:tcPr>
          <w:p>
            <w:pPr>
              <w:spacing w:after="0"/>
              <w:rPr>
                <w:sz w:val="20"/>
                <w:szCs w:val="20"/>
                <w:color w:val="auto"/>
              </w:rPr>
            </w:pPr>
          </w:p>
        </w:tc>
        <w:tc>
          <w:tcPr>
            <w:tcW w:w="4460" w:type="dxa"/>
            <w:vAlign w:val="bottom"/>
            <w:gridSpan w:val="8"/>
          </w:tcPr>
          <w:p>
            <w:pPr>
              <w:jc w:val="right"/>
              <w:ind w:right="900"/>
              <w:spacing w:after="0"/>
              <w:rPr>
                <w:sz w:val="20"/>
                <w:szCs w:val="20"/>
                <w:color w:val="auto"/>
              </w:rPr>
            </w:pPr>
            <w:r>
              <w:rPr>
                <w:rFonts w:ascii="Arial" w:cs="Arial" w:eastAsia="Arial" w:hAnsi="Arial"/>
                <w:sz w:val="18"/>
                <w:szCs w:val="18"/>
                <w:b w:val="1"/>
                <w:bCs w:val="1"/>
                <w:color w:val="auto"/>
              </w:rPr>
              <w:t>Three month period ended March 31,</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 March 31,</w:t>
            </w:r>
          </w:p>
        </w:tc>
      </w:tr>
      <w:tr>
        <w:trPr>
          <w:trHeight w:val="223"/>
        </w:trPr>
        <w:tc>
          <w:tcPr>
            <w:tcW w:w="50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r>
      <w:tr>
        <w:trPr>
          <w:trHeight w:val="210"/>
        </w:trPr>
        <w:tc>
          <w:tcPr>
            <w:tcW w:w="5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 - in thousands)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 - in thousands)</w:t>
            </w:r>
          </w:p>
        </w:tc>
        <w:tc>
          <w:tcPr>
            <w:tcW w:w="100" w:type="dxa"/>
            <w:vAlign w:val="bottom"/>
          </w:tcPr>
          <w:p>
            <w:pPr>
              <w:spacing w:after="0"/>
              <w:rPr>
                <w:sz w:val="18"/>
                <w:szCs w:val="18"/>
                <w:color w:val="auto"/>
              </w:rPr>
            </w:pPr>
          </w:p>
        </w:tc>
      </w:tr>
      <w:tr>
        <w:trPr>
          <w:trHeight w:val="243"/>
        </w:trPr>
        <w:tc>
          <w:tcPr>
            <w:tcW w:w="6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Cost of revenue</w:t>
            </w:r>
          </w:p>
        </w:tc>
        <w:tc>
          <w:tcPr>
            <w:tcW w:w="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w:t>
            </w:r>
          </w:p>
        </w:tc>
        <w:tc>
          <w:tcPr>
            <w:tcW w:w="16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25</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w:t>
            </w: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397</w:t>
            </w:r>
          </w:p>
        </w:tc>
      </w:tr>
      <w:tr>
        <w:trPr>
          <w:trHeight w:val="20"/>
        </w:trPr>
        <w:tc>
          <w:tcPr>
            <w:tcW w:w="504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three month period ended March 31, 2012, our cost of revenue was $31 thousand, which represents an increase of $6 thousand (or 24%) compared to our cost of revenue for the three month period ended March 31, 2011. During the three month period ended March 31, 2011 and 2010, our cost of revenue was $25 thousand and $34 thousand, respectively, which represents a decrease of $9 thousand (or 26%) compared to cost of revenue for the three month period ended March 31, 2010. Our cost of revenue is mainly comprised of cost of services related to the provision of content to end-users and cost of hosted servers needed to support our service in markets where we have launched our product. The change in cost of revenue, between the presented periods was mainly related to changes in content amortization expenses.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that cost of revenue will increase over time, as we diversify the portfolio of our products. As some of these costs are fixed irrespective of our revenues, we expect our gross margin to increase, as our revenues increase.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198"/>
        </w:trPr>
        <w:tc>
          <w:tcPr>
            <w:tcW w:w="5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from inception</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4460" w:type="dxa"/>
            <w:vAlign w:val="bottom"/>
            <w:gridSpan w:val="8"/>
          </w:tcPr>
          <w:p>
            <w:pPr>
              <w:jc w:val="right"/>
              <w:ind w:right="900"/>
              <w:spacing w:after="0"/>
              <w:rPr>
                <w:sz w:val="20"/>
                <w:szCs w:val="20"/>
                <w:color w:val="auto"/>
              </w:rPr>
            </w:pPr>
            <w:r>
              <w:rPr>
                <w:rFonts w:ascii="Arial" w:cs="Arial" w:eastAsia="Arial" w:hAnsi="Arial"/>
                <w:sz w:val="18"/>
                <w:szCs w:val="18"/>
                <w:b w:val="1"/>
                <w:bCs w:val="1"/>
                <w:color w:val="auto"/>
              </w:rPr>
              <w:t>Three month period ended March 31,</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 March 31,</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 - in thousands)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 - 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512</w:t>
            </w:r>
          </w:p>
        </w:tc>
        <w:tc>
          <w:tcPr>
            <w:tcW w:w="16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519</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w:t>
            </w: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13,883</w:t>
            </w:r>
          </w:p>
        </w:tc>
        <w:tc>
          <w:tcPr>
            <w:tcW w:w="0" w:type="dxa"/>
            <w:vAlign w:val="bottom"/>
          </w:tcPr>
          <w:p>
            <w:pPr>
              <w:spacing w:after="0"/>
              <w:rPr>
                <w:sz w:val="1"/>
                <w:szCs w:val="1"/>
                <w:color w:val="auto"/>
              </w:rPr>
            </w:pPr>
          </w:p>
        </w:tc>
      </w:tr>
      <w:tr>
        <w:trPr>
          <w:trHeight w:val="20"/>
        </w:trPr>
        <w:tc>
          <w:tcPr>
            <w:tcW w:w="504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expenses decreased from $519 thousand to $512 thousand (or 1%) during the three month period ended March 31, 2012, compared to the three month period ended March 31, 2011. In the first quarter of 2012, our research and development expenses mainly consisted of workforce and consulting related costs ($371 thousand, compared to $374 thousand in the first quarter of 2011), as well as share based compensation costs ($35 thousand, compared to $82 thousand in the first quarter of 2011). The decrease was mainly due to a decrease in shares based compensation expense, offset by higher patent expenses (an increase of $36 thousand in the first quarter of 2012), following our decision to enhance and diversify our intellectual property portfolio.</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Research and development expenses decreased from $587 thousand to $519 thousand (12%) during the three month period ended March 31, 2011, compared to the three month period ended March 31, 2010. The decrease is mainly due to a separation agreement we entered into with our former Chief Technology Officer. This was offset by an increase in share based compensation expense in connection with 2011 and 2010 grants.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inception through March 31, 2012, research and development expenses amounted to approximately $13.9 million. Of this amount, approximately $9.0 million was attributed to salaries and related expenses, $0.6 million to share based payments, $2.2 million was attributed to sub-contracting and consulting services, $0.9 million was attributed to operating expenses, $0.3 million was attributed to overhead and $0.9 million was attributed to patent expenses.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anticipate that our research and development costs will remain constant until after the consummation of the proposed Merger with Innovate/Protect. Following the completion of the proposed Merger, those costs may increase, should we seek to develop additional technology and intellectual property to diversify and enhance our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5620" w:type="dxa"/>
            <w:vAlign w:val="bottom"/>
            <w:gridSpan w:val="3"/>
          </w:tcPr>
          <w:p>
            <w:pPr>
              <w:jc w:val="right"/>
              <w:ind w:right="4750"/>
              <w:spacing w:after="0"/>
              <w:rPr>
                <w:sz w:val="20"/>
                <w:szCs w:val="20"/>
                <w:color w:val="auto"/>
              </w:rPr>
            </w:pPr>
            <w:r>
              <w:rPr>
                <w:rFonts w:ascii="Arial" w:cs="Arial" w:eastAsia="Arial" w:hAnsi="Arial"/>
                <w:sz w:val="18"/>
                <w:szCs w:val="18"/>
                <w:b w:val="1"/>
                <w:bCs w:val="1"/>
                <w:i w:val="1"/>
                <w:iCs w:val="1"/>
                <w:color w:val="auto"/>
                <w:w w:val="89"/>
              </w:rPr>
              <w:t>Marketing</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from inception</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00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1"/>
              </w:rPr>
              <w:t>Three month period ended March 31,</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 March 31,</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 - in thousands)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 - 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040" w:type="dxa"/>
            <w:vAlign w:val="bottom"/>
            <w:gridSpan w:val="2"/>
            <w:shd w:val="clear" w:color="auto" w:fill="CCFFCC"/>
          </w:tcPr>
          <w:p>
            <w:pPr>
              <w:jc w:val="right"/>
              <w:ind w:right="4190"/>
              <w:spacing w:after="0"/>
              <w:rPr>
                <w:sz w:val="20"/>
                <w:szCs w:val="20"/>
                <w:color w:val="auto"/>
              </w:rPr>
            </w:pPr>
            <w:r>
              <w:rPr>
                <w:rFonts w:ascii="Arial" w:cs="Arial" w:eastAsia="Arial" w:hAnsi="Arial"/>
                <w:sz w:val="18"/>
                <w:szCs w:val="18"/>
                <w:color w:val="auto"/>
                <w:w w:val="93"/>
              </w:rPr>
              <w:t>Marketing</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759</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FFCC"/>
          </w:tcPr>
          <w:p>
            <w:pPr>
              <w:spacing w:after="0"/>
              <w:rPr>
                <w:sz w:val="21"/>
                <w:szCs w:val="21"/>
                <w:color w:val="auto"/>
              </w:rPr>
            </w:pPr>
          </w:p>
        </w:tc>
        <w:tc>
          <w:tcPr>
            <w:tcW w:w="1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11,970</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the three month period ended March 31, 2012, marketing expenses increased by $138 thousand (or 22%), to $759 thousand, from $621 thousand in the three month period ended March 31, 2011. The increase in our marketing expenses in the first quarter of 2012, was mainly due to an increase of $254 thousand in non-cash share-based compensation expenses, related to new grants in 2012 and the effect of the separation agreement signed between us and our former CEO (an increase of $0.16 million). This increase was offset by a decrease of $81 thousand in payroll expenses related to reclassification of 50% of the cost of our President and newly appointed CEO in the United States, as of March 2012, to general and administrative expenses.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our marketing expenses for the three month period ended March 31, 2011, was in part due to the hiring, in April 2010, of our President in the United States, whose efforts are focused on marketing and business development. In addition, the increase relates to the 2011 and 2010 options grants for marketing employees, thereby increasing the respective compensation expense. Furthermore, we had an increase in public relations and advertising costs in connection with new commercial launches in 2011.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inception through March 31, 2012, marketing expenses amounted to approximately $12 million. Of this amount, approximately $5.2 million was attributed to salaries, $1.4 million was attributed to share based payments and related expenses, $2.2 million was attributed to travel and trade shows, $1.6 million was attributed to sub-contracting and consulting services, $1.4 million was attributed to public relations services and customer acquisition expenses and $0.2 million was attributed to overhead expenses.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significant portion of our marketing activity relates to the launching of services with our global partners and building a pipeline for further agreements. In addition, we conduct direct-to-consumer marketing activities in countries where we have launched our services to build on the efforts of our partners. While we do not expect to invest heavily in direct-to-consumer marketing activities in the future, we do expect an increase in marketing expenses as we continue launching our service in different global markets. In certain markets, our marketing efforts may include hiring local personnel to introduce us to the market and purchasing rights to certain local content. As our market reach grows, we expect our marketing expenses to continue to increase our visibility to potential partners.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5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from inception</w:t>
            </w:r>
          </w:p>
        </w:tc>
      </w:tr>
      <w:tr>
        <w:trPr>
          <w:trHeight w:val="234"/>
        </w:trPr>
        <w:tc>
          <w:tcPr>
            <w:tcW w:w="5040" w:type="dxa"/>
            <w:vAlign w:val="bottom"/>
          </w:tcPr>
          <w:p>
            <w:pPr>
              <w:spacing w:after="0"/>
              <w:rPr>
                <w:sz w:val="20"/>
                <w:szCs w:val="20"/>
                <w:color w:val="auto"/>
              </w:rPr>
            </w:pPr>
          </w:p>
        </w:tc>
        <w:tc>
          <w:tcPr>
            <w:tcW w:w="4460" w:type="dxa"/>
            <w:vAlign w:val="bottom"/>
            <w:gridSpan w:val="8"/>
          </w:tcPr>
          <w:p>
            <w:pPr>
              <w:jc w:val="right"/>
              <w:ind w:right="900"/>
              <w:spacing w:after="0"/>
              <w:rPr>
                <w:sz w:val="20"/>
                <w:szCs w:val="20"/>
                <w:color w:val="auto"/>
              </w:rPr>
            </w:pPr>
            <w:r>
              <w:rPr>
                <w:rFonts w:ascii="Arial" w:cs="Arial" w:eastAsia="Arial" w:hAnsi="Arial"/>
                <w:sz w:val="18"/>
                <w:szCs w:val="18"/>
                <w:b w:val="1"/>
                <w:bCs w:val="1"/>
                <w:color w:val="auto"/>
              </w:rPr>
              <w:t>Three month period ended March 31,</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 March 31,</w:t>
            </w:r>
          </w:p>
        </w:tc>
      </w:tr>
      <w:tr>
        <w:trPr>
          <w:trHeight w:val="223"/>
        </w:trPr>
        <w:tc>
          <w:tcPr>
            <w:tcW w:w="50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r>
      <w:tr>
        <w:trPr>
          <w:trHeight w:val="210"/>
        </w:trPr>
        <w:tc>
          <w:tcPr>
            <w:tcW w:w="5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 - in thousands)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 - in thousands)</w:t>
            </w:r>
          </w:p>
        </w:tc>
        <w:tc>
          <w:tcPr>
            <w:tcW w:w="100" w:type="dxa"/>
            <w:vAlign w:val="bottom"/>
          </w:tcPr>
          <w:p>
            <w:pPr>
              <w:spacing w:after="0"/>
              <w:rPr>
                <w:sz w:val="18"/>
                <w:szCs w:val="18"/>
                <w:color w:val="auto"/>
              </w:rPr>
            </w:pPr>
          </w:p>
        </w:tc>
      </w:tr>
      <w:tr>
        <w:trPr>
          <w:trHeight w:val="243"/>
        </w:trPr>
        <w:tc>
          <w:tcPr>
            <w:tcW w:w="5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3"/>
              </w:rPr>
              <w:t>1,460</w:t>
            </w:r>
          </w:p>
        </w:tc>
        <w:tc>
          <w:tcPr>
            <w:tcW w:w="16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665</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795</w:t>
            </w: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9,729</w:t>
            </w:r>
          </w:p>
        </w:tc>
      </w:tr>
      <w:tr>
        <w:trPr>
          <w:trHeight w:val="20"/>
        </w:trPr>
        <w:tc>
          <w:tcPr>
            <w:tcW w:w="504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three month period ended March 31, 2012, general and administrative expenses increased by $795 thousand (or 120%), to $1,460 thousand, from $665 thousand during the three month period ended March 31, 2011. General and administrative expenses increased mostly due to the increase in various professional fees in connection with increased merger and acquisition activity (an increase of approximately $0.4 million, compared to the first quarter of 2011). In addition, there was an increase due to non-cash share based compensation expenses due to new option grants in 2012 and the effect of the separation agreement signed between us and our former CEO (an increase of $0.16 million). Finally, an additional increase in expense in the first quarter of 2012, compared to the first quarter of 2011, was due an increase in payroll expenses of $76 thousand, related mainly to reclassification of 50% of the cost of our President and new CEO in the United States to general and administrative expenses.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 period ended March 31, 2011, general and administrative expenses increased $471 thousand (or 242%), to $665 thousand, from $194 thousand in the three month period ended March 31, 2010. The increase is mostly due to increase in various professional fees in connection with becoming a public company. In addition, there was an increase due to additional insurance costs for our directors' and officers' liability insurance and an increase in share based compensation expenses due to new option grants in 2011 and 2010.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ind w:firstLine="648"/>
        <w:spacing w:after="0" w:line="286" w:lineRule="auto"/>
        <w:rPr>
          <w:sz w:val="20"/>
          <w:szCs w:val="20"/>
          <w:color w:val="auto"/>
        </w:rPr>
      </w:pPr>
      <w:r>
        <w:rPr>
          <w:rFonts w:ascii="Arial" w:cs="Arial" w:eastAsia="Arial" w:hAnsi="Arial"/>
          <w:sz w:val="17"/>
          <w:szCs w:val="17"/>
          <w:color w:val="auto"/>
        </w:rPr>
        <w:t>From inception through March 31, 2012, general and administrative expenses totaled approximately $9.7 million. Of this amount, approximately $2.4 million was attributed to salaries and related expenses, $2.1 million was attributed to share based payments, $1.8 million was attributed to various office expenses, $2.8 million was attributed to professional fees and $0.6 million was attributed to depreciation and amortization.</w:t>
      </w:r>
    </w:p>
    <w:p>
      <w:pPr>
        <w:spacing w:after="0" w:line="166" w:lineRule="exact"/>
        <w:rPr>
          <w:sz w:val="20"/>
          <w:szCs w:val="20"/>
          <w:color w:val="auto"/>
        </w:rPr>
      </w:pPr>
    </w:p>
    <w:p>
      <w:pPr>
        <w:jc w:val="both"/>
        <w:ind w:firstLine="699"/>
        <w:spacing w:after="0" w:line="286" w:lineRule="auto"/>
        <w:rPr>
          <w:sz w:val="20"/>
          <w:szCs w:val="20"/>
          <w:color w:val="auto"/>
        </w:rPr>
      </w:pPr>
      <w:r>
        <w:rPr>
          <w:rFonts w:ascii="Arial" w:cs="Arial" w:eastAsia="Arial" w:hAnsi="Arial"/>
          <w:sz w:val="17"/>
          <w:szCs w:val="17"/>
          <w:color w:val="auto"/>
        </w:rPr>
        <w:t>We expect that our general and administrative expenses will remain high, as we expect to incur significant costs in connection with future merger, acquisition and financing activities. These costs will be reflected in increased accounting, legal and insurance costs. We also expect that our compensation costs will increase significantly due to the recording of expense related to management share based compensation.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Non-operating Expense (Income), Net</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5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from inception</w:t>
            </w:r>
          </w:p>
        </w:tc>
      </w:tr>
      <w:tr>
        <w:trPr>
          <w:trHeight w:val="234"/>
        </w:trPr>
        <w:tc>
          <w:tcPr>
            <w:tcW w:w="5040" w:type="dxa"/>
            <w:vAlign w:val="bottom"/>
          </w:tcPr>
          <w:p>
            <w:pPr>
              <w:spacing w:after="0"/>
              <w:rPr>
                <w:sz w:val="20"/>
                <w:szCs w:val="20"/>
                <w:color w:val="auto"/>
              </w:rPr>
            </w:pPr>
          </w:p>
        </w:tc>
        <w:tc>
          <w:tcPr>
            <w:tcW w:w="446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Three month period ended March 31,</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 March 31,</w:t>
            </w:r>
          </w:p>
        </w:tc>
      </w:tr>
      <w:tr>
        <w:trPr>
          <w:trHeight w:val="223"/>
        </w:trPr>
        <w:tc>
          <w:tcPr>
            <w:tcW w:w="50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r>
      <w:tr>
        <w:trPr>
          <w:trHeight w:val="223"/>
        </w:trPr>
        <w:tc>
          <w:tcPr>
            <w:tcW w:w="5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 - in thousands)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 - in thousands)</w:t>
            </w:r>
          </w:p>
        </w:tc>
        <w:tc>
          <w:tcPr>
            <w:tcW w:w="100" w:type="dxa"/>
            <w:vAlign w:val="bottom"/>
          </w:tcPr>
          <w:p>
            <w:pPr>
              <w:spacing w:after="0"/>
              <w:rPr>
                <w:sz w:val="19"/>
                <w:szCs w:val="19"/>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Non-operating income (expense), net</w:t>
            </w:r>
          </w:p>
        </w:tc>
        <w:tc>
          <w:tcPr>
            <w:tcW w:w="14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(2,968)</w:t>
            </w: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592</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(3,560)</w:t>
            </w:r>
          </w:p>
        </w:tc>
        <w:tc>
          <w:tcPr>
            <w:tcW w:w="1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(8,127)</w:t>
            </w:r>
          </w:p>
        </w:tc>
      </w:tr>
      <w:tr>
        <w:trPr>
          <w:trHeight w:val="20"/>
        </w:trPr>
        <w:tc>
          <w:tcPr>
            <w:tcW w:w="5040" w:type="dxa"/>
            <w:vAlign w:val="bottom"/>
            <w:tcBorders>
              <w:top w:val="single" w:sz="8" w:color="CCFFC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 period ended March 31, 2012, non-operating income (expense) changed by $3.6 million (or -603%), to an expense of $3.0 million, from an income of $0.6 million, in the three month period ended March 31, 2011.</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three month period ended March 31, 2012, we recorded non-operating expense in the amount of $3.0 million, which was mainly comprised of an expense of $2.6 million recorded in connection with issuance of the Reload Warrants accounted for as an inducement to convert convertible debt (see Notes 3 and 5 to the accompanying financial statements), as well as an additional expense of $0.4 million, recorded due to adjustment of fair value of the Preferential Reload Warrants, Special Bridge Warrants and the Conversion Warrants.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three month period ended March 31, 2011, we recorded non-operating income in the amount of $0.6 million, which was mainly comprised of an income of $0.7 million recorded due to decrease in the fair value of the Special Bridge Warrants and the Conversion Warrants and an expense on $0.1 million in connection with interest on venture loan.</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non-operating expense in the first quarter of 2010 was mainly comprised of $0.5 million in connection with the bridge financing and an interest expense of $0.1 million relating to the bridge notes and the venture loan.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inception through March 31, 2012, non-operating income (expense) totaled approximately $8.1 million. This amount mainly included: income from interest on deposits of $0.2 million, interest expense on venture loan of $1.6 million, $0.1 million of debt extinguishment expense related to the Series B Convertible Preferred Stock, $0.2 million of debt extinguishment expenses as a result of the loan modification agreement with SVB/Gold Hill, $1.0 million of additional interest expense as a result of the conversion of the convertible loan, $0.3 million of warrant amortization and $1.1 million of additional interest expense from the Bridge Notes, $1.3 million as additional interest expense for warrants granted to lead investors of the Bridge Financing, $1.0 million income in connection with the settlement of the venture loan and $1.3 million expense recorded in connection with amortization of discount on convertible notes, and non-operating income of $0.1 million for the adjustment of the fair value of the Preferential Reload, Special Bridge and the Conversion Warrants. Finally, additional non-operating expense of approximately $2.6 million was recorded due to issuance of the Reload Warrants, accounted for as an inducement to convert convertible debt.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6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Taxes on Income</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5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from inception</w:t>
            </w:r>
          </w:p>
        </w:tc>
      </w:tr>
      <w:tr>
        <w:trPr>
          <w:trHeight w:val="234"/>
        </w:trPr>
        <w:tc>
          <w:tcPr>
            <w:tcW w:w="5040" w:type="dxa"/>
            <w:vAlign w:val="bottom"/>
          </w:tcPr>
          <w:p>
            <w:pPr>
              <w:spacing w:after="0"/>
              <w:rPr>
                <w:sz w:val="20"/>
                <w:szCs w:val="20"/>
                <w:color w:val="auto"/>
              </w:rPr>
            </w:pPr>
          </w:p>
        </w:tc>
        <w:tc>
          <w:tcPr>
            <w:tcW w:w="4460" w:type="dxa"/>
            <w:vAlign w:val="bottom"/>
            <w:gridSpan w:val="8"/>
          </w:tcPr>
          <w:p>
            <w:pPr>
              <w:jc w:val="right"/>
              <w:ind w:right="900"/>
              <w:spacing w:after="0"/>
              <w:rPr>
                <w:sz w:val="20"/>
                <w:szCs w:val="20"/>
                <w:color w:val="auto"/>
              </w:rPr>
            </w:pPr>
            <w:r>
              <w:rPr>
                <w:rFonts w:ascii="Arial" w:cs="Arial" w:eastAsia="Arial" w:hAnsi="Arial"/>
                <w:sz w:val="18"/>
                <w:szCs w:val="18"/>
                <w:b w:val="1"/>
                <w:bCs w:val="1"/>
                <w:color w:val="auto"/>
              </w:rPr>
              <w:t>Three month period ended March 31,</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 March 31,</w:t>
            </w:r>
          </w:p>
        </w:tc>
      </w:tr>
      <w:tr>
        <w:trPr>
          <w:trHeight w:val="223"/>
        </w:trPr>
        <w:tc>
          <w:tcPr>
            <w:tcW w:w="50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r>
      <w:tr>
        <w:trPr>
          <w:trHeight w:val="223"/>
        </w:trPr>
        <w:tc>
          <w:tcPr>
            <w:tcW w:w="5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 - in thousands)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 - in thousands)</w:t>
            </w:r>
          </w:p>
        </w:tc>
        <w:tc>
          <w:tcPr>
            <w:tcW w:w="100" w:type="dxa"/>
            <w:vAlign w:val="bottom"/>
          </w:tcPr>
          <w:p>
            <w:pPr>
              <w:spacing w:after="0"/>
              <w:rPr>
                <w:sz w:val="19"/>
                <w:szCs w:val="19"/>
                <w:color w:val="auto"/>
              </w:rPr>
            </w:pPr>
          </w:p>
        </w:tc>
      </w:tr>
      <w:tr>
        <w:trPr>
          <w:trHeight w:val="243"/>
        </w:trPr>
        <w:tc>
          <w:tcPr>
            <w:tcW w:w="6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tax expense (benefit)</w:t>
            </w:r>
          </w:p>
        </w:tc>
        <w:tc>
          <w:tcPr>
            <w:tcW w:w="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w:t>
            </w:r>
          </w:p>
        </w:tc>
        <w:tc>
          <w:tcPr>
            <w:tcW w:w="16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18</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w:t>
            </w: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w:t>
            </w:r>
          </w:p>
        </w:tc>
      </w:tr>
      <w:tr>
        <w:trPr>
          <w:trHeight w:val="20"/>
        </w:trPr>
        <w:tc>
          <w:tcPr>
            <w:tcW w:w="504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 period ended March 31, 2012, we recorded an income tax expense in the total amount of $20 thousand, which reflects an increase of $2 thousand compared to tax expense of $18 thousand recorded in the three month period ended March 31, 2011. In addition, income tax expense recorded during the three month period ended March 31, 2011, reflect a decrease of $2 thousand compared to tax expense of $20 thousand recorded in the three month period ended March 31, 2010.</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Taxes on income are mainly due to taxable profits generated by our subsidiary, as a result of the intercompany cost plus agreement between us and the subsidiary, whereby the subsidiary performs development and other services for us and is reimbursed for its expenses plus 8%. For financial statements purposes, these profits are eliminated upon consolidation. The profits of the subsidiary benefitted from a tax holiday in the 2007-2008 tax years and a taxable loss in 2009, 2010 and 2011. We expect a taxable income in our subsidiary, in 2012, under the terms of the intercompany agreement. In addition, during the three month period ended March 31, 2012, 2011 and 2010, we recorded income tax expense of $7 thousand, $12 thousand and $0 thousand, respectively, in connection with tax withheld at source by our partner in Malaysia, which we do not expect to be reclaimed.</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From inception through March 31, 2012, income tax expense totaled $139 thousand. We expect tax expense to increase as our business grows and as our subsidiary continues to generate taxable income under the intercompany cost plus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2012, we had a cash balance of $3.6 million and $2.7 million in net working capital. The increase of $2.4 million in our cash balance from December 31, 2011, was mainly due to $3.65 million received from exercise of approximately 90% of the then outstanding Special Bridge and Conversion Warrants, offset by net cash used by us in our business operations ($0.8 million) and funds used in connection with the Merger (approximately $0.4 million). As of March 31, 2012, our total stockholders' equity was $1.0 million, mainly due to the exercise of the abovementioned warrants, offset by continued operating deficits from inception to date.</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believes that its current cash levels will be sufficient to support its activity into the first quarter of 2013. Based on current operating plans, additional resources that may be required for the continuation of our operations approximates $0.9 million and $4.4 million, for the twelve month periods ending March 31, 2013 and March 31, 2014, respectively. After taking into effect the Merger with Innovate/Protect, additional resources that may be required for the continuation of our combined operations approximates $4.3 million and $11.8 million, for the twelve month periods ending March 31, 2013 and March 31, 2014, respectively. These estimates include a projected $0.7 million cash outflow for merger and integration costs relating to the Innovate/Protect combination, specifically for legal, accounting and exchange fees, as well as an expected increase in D&amp;O insurance.</w:t>
      </w:r>
    </w:p>
    <w:p>
      <w:pPr>
        <w:spacing w:after="0" w:line="165" w:lineRule="exact"/>
        <w:rPr>
          <w:sz w:val="20"/>
          <w:szCs w:val="20"/>
          <w:color w:val="auto"/>
        </w:rPr>
      </w:pPr>
    </w:p>
    <w:p>
      <w:pPr>
        <w:jc w:val="both"/>
        <w:ind w:firstLine="707"/>
        <w:spacing w:after="0" w:line="257" w:lineRule="auto"/>
        <w:rPr>
          <w:sz w:val="20"/>
          <w:szCs w:val="20"/>
          <w:color w:val="auto"/>
        </w:rPr>
      </w:pPr>
      <w:r>
        <w:rPr>
          <w:rFonts w:ascii="Arial" w:cs="Arial" w:eastAsia="Arial" w:hAnsi="Arial"/>
          <w:sz w:val="18"/>
          <w:szCs w:val="18"/>
          <w:color w:val="auto"/>
        </w:rPr>
        <w:t>In addition a significant portion of our issued and outstanding warrants are currently “in the money” and the shares of common stock underlying such warrants will become freely tradable upon exercise after registration, with the potential of up to $5 million of incoming funds for us. A Form S-3 Registration Statement was filed on March 30, 2012 and is pending approval by the Securities Exchange Commission. Provided that our stock price remains at or near its current level, we expect that the exercise of these instruments will generate substantial additional funds for our operations. There can be no assurance, however, that any such opportunities will materialize.</w:t>
      </w:r>
    </w:p>
    <w:p>
      <w:pPr>
        <w:spacing w:after="0" w:line="188" w:lineRule="exact"/>
        <w:rPr>
          <w:sz w:val="20"/>
          <w:szCs w:val="20"/>
          <w:color w:val="auto"/>
        </w:rPr>
      </w:pPr>
    </w:p>
    <w:p>
      <w:pPr>
        <w:jc w:val="both"/>
        <w:ind w:firstLine="691"/>
        <w:spacing w:after="0" w:line="255" w:lineRule="auto"/>
        <w:rPr>
          <w:sz w:val="20"/>
          <w:szCs w:val="20"/>
          <w:color w:val="auto"/>
        </w:rPr>
      </w:pPr>
      <w:r>
        <w:rPr>
          <w:rFonts w:ascii="Arial" w:cs="Arial" w:eastAsia="Arial" w:hAnsi="Arial"/>
          <w:sz w:val="18"/>
          <w:szCs w:val="18"/>
          <w:color w:val="auto"/>
        </w:rPr>
        <w:t>The continuation of our business, as a going concern is dependent upon the successful consummation of the proposed Merger with Innovate/Protect, or similar merger or acquisition, financing, and upon the further development of our products. There can be no assurance, however, that any such opportunities will materialize. We anticipate that we will continue to issue equity and/or debt securities as a source of liquidity, when needed, until we generate positive cash flow to support our operations. We cannot give any assurance that the necessary capital will be raised or that, if funds are raised, it will be on favorable terms. Any future sales of securities to finance our operations may require stockholder approval and will dilute existing stockholders' ownership. We cannot guarantee when or if we will ever generate positive cash flow.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5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from inception</w:t>
            </w:r>
          </w:p>
        </w:tc>
      </w:tr>
      <w:tr>
        <w:trPr>
          <w:trHeight w:val="234"/>
        </w:trPr>
        <w:tc>
          <w:tcPr>
            <w:tcW w:w="5040" w:type="dxa"/>
            <w:vAlign w:val="bottom"/>
          </w:tcPr>
          <w:p>
            <w:pPr>
              <w:spacing w:after="0"/>
              <w:rPr>
                <w:sz w:val="20"/>
                <w:szCs w:val="20"/>
                <w:color w:val="auto"/>
              </w:rPr>
            </w:pPr>
          </w:p>
        </w:tc>
        <w:tc>
          <w:tcPr>
            <w:tcW w:w="446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Three month period ended March 31,</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 March 31,</w:t>
            </w:r>
          </w:p>
        </w:tc>
      </w:tr>
      <w:tr>
        <w:trPr>
          <w:trHeight w:val="223"/>
        </w:trPr>
        <w:tc>
          <w:tcPr>
            <w:tcW w:w="504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6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2011</w:t>
            </w:r>
          </w:p>
        </w:tc>
        <w:tc>
          <w:tcPr>
            <w:tcW w:w="11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r>
      <w:tr>
        <w:trPr>
          <w:trHeight w:val="237"/>
        </w:trPr>
        <w:tc>
          <w:tcPr>
            <w:tcW w:w="5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 - in thousands)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(1,215)</w:t>
            </w:r>
          </w:p>
        </w:tc>
        <w:tc>
          <w:tcPr>
            <w:tcW w:w="16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(1,517)</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302</w:t>
            </w:r>
          </w:p>
        </w:tc>
        <w:tc>
          <w:tcPr>
            <w:tcW w:w="1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(30,518)</w:t>
            </w:r>
          </w:p>
        </w:tc>
      </w:tr>
      <w:tr>
        <w:trPr>
          <w:trHeight w:val="257"/>
        </w:trPr>
        <w:tc>
          <w:tcPr>
            <w:tcW w:w="50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(611)</w:t>
            </w:r>
          </w:p>
        </w:tc>
      </w:tr>
      <w:tr>
        <w:trPr>
          <w:trHeight w:val="257"/>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1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3,652</w:t>
            </w:r>
          </w:p>
        </w:tc>
        <w:tc>
          <w:tcPr>
            <w:tcW w:w="16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(345)</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3,997</w:t>
            </w: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34,812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 period ended March 31, 2012, net cash used in operating activities totaled $1.2 million. During the three month period ended March 31, 2011, net cash used in operating activities totaled $1.5 million. The decrease of $0.3 million in cash used in operating activities was mainly due to increased collection of receivables ($0.3 million the first quarter of 2012, compared to $0.1 million in the first quarter of 2011), as well as reduction in workforce related costs. The operating activities included merger and acquisition related expenses (increase of $0.45 million compared to the first quarter of 2011).</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 period ended March 31, 2011, net cash used in operating activities totaled $1.5 million. During the quarter ended March 31, 2010, net cash used in operating activities totaled $1.7 million. The decrease of $0.2 million used in operating activities was mainly due to reduction in workforce related costs in connection with the cost reduction plan implemented in the first quarter of 2011.</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expect our net cash used in operating activities to increase due to costs related to merger and acquisition activity, as well as due to possible future financing activity. As we move towards greater revenue generation, we expect that these amounts will be offset by revenue. Since we receive most of our revenues directly from carriers whose payment schedules are generally net 90 days or longer, and our suppliers' payment schedules are generally net 30 days, we do not expect the increase in revenue will initially increase our net cash from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the three month period ended March 31, 2012, net cash used in investing activities totaled $5 thousand. During the three month period ended March 31, 2011, net cash provided by investing activities totaled $14 thousand. This change of $19 thousand in cash provided by investing activities was primarily due to the release of a short term deposit, which was offset by the purchase of fixed assets in the first quarter of 2011. Fixed asset purchases in the three month period ended March 31, 2012, amounted to $5 thousand compared to $7 thousand for the three month period ended March 31, 2011.</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upgrade our computers and software in 2012. Moreover, as our service continues to grow, we will need to increase our server capacity to meet the needs of our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 period ended March 31, 2012, net cash provided by financing activities totaled $3.65 million, which relates to the exercise of warrants in February 2012. Pursuant to agreements with warrant holders, we issued Reload Warrants at an exercise price of $1.76 per share, with the potential for raising up to an additional $5.0 million.</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expect to continue to see a net cash inflow from financing activities, as a result of possible inflows from the exercise of warrants and options granted to employees management and consultants.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2012, we entered into the Merger Agreement with Innovate/Protect. We believe that the Merger, if consummated, will maximize the economic benefits of our intellectual property portfolio, add significant talent in technological innovation, and potentially enhance our opportunities for revenue generation through the monetization of the combined company’s assets. Innovate/Protect is the owner of certain patent assets acquired from Lycos, one of the largest search engine websites of its kind in the mid-late 1990s, including technologies that remain critical to current search platforms. The completion of the Merger is subject to a number of conditions and there can be no assurance that the conditions to the completion of the Merger will be satisfied and the Merger will be consummated.</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fourth quarter of 2011, we announced an agreement with ZTE Corporation, the largest handset maker in China and fourth-largest globally, to preload the Facetones™ application on Android handsets, which is scheduled to commence late in the second quarter or third quarter of 2012. As part of the commercial terms of the agreement, these handsets will be sold via mobile phone operators and through various OEM contracts. Similar arrangement are being pursued with other handset manufacturers, although there can be no assurance that any such opportunities may arise.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color w:val="auto"/>
        </w:rPr>
        <w:t>We are currently in discussions with several potential strategic partners and mobile carriers and we will be pursuing additional agreements over the next 12 to 24 months. In addition, we are continuing to explore further opportunities for strategic business alliances, however, there can be no assurance that any such opportunities may arise, or that any such opportunities will be consummated.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Together with the executive team from Innovate/Protect we anticipate the creation of additional products and services that will be distributed through our existing operator and handset relationships.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for the years ended December 31, 2011, we believe the following accounting policies to be the most critical in understanding the judgments and estimates we use in preparing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account for stock-based awards under ASC 718, "Compensation—Stock Compensation"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Arial" w:cs="Arial" w:eastAsia="Arial" w:hAnsi="Arial"/>
          <w:sz w:val="18"/>
          <w:szCs w:val="18"/>
          <w:i w:val="1"/>
          <w:iCs w:val="1"/>
          <w:color w:val="auto"/>
        </w:rPr>
        <w:t>Equity-Based Payments to Non</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Employees</w:t>
      </w:r>
      <w:r>
        <w:rPr>
          <w:rFonts w:ascii="Arial" w:cs="Arial" w:eastAsia="Arial" w:hAnsi="Arial"/>
          <w:sz w:val="18"/>
          <w:szCs w:val="18"/>
          <w:color w:val="auto"/>
        </w:rPr>
        <w:t>" is applied. Under this pronouncement, the measurement date of the option occurs on the earlier of counterparty performance or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determine the fair value of stock options granted to employees, directors and consultants using the Black-Scholes-Merton, the Lattice (for out-of-money option grants) and the Monte-Carlo (for grants that include market conditions)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we estimate our expected stock volatility based on historical stock volatility from comparable companies.</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January 2012, our board of directors approved an acceleration of option vesting for all option holders, should we will be subject to a change of control in a merger and/or acquisition transaction. In addition, in March 2012, the board of director approved participation of all outstanding options, except for those grants pursuant to separation arrangements, in future dividends, if any, as well as the acceleration of vesting of certain outstanding options, according certain market conditions. In addition, upon a subsequent change of control, defined as a more than 50% change in shareholder ownership excluding the transaction Innovate/Protect, 75% of the then unvested options held by each grantee shall automatically vest. Moreover, all outstanding options granted to members of the board of directors shall fully vest if a member of the board of directors ceases to be a director at any time during the six-month period immediately following a change of control. As of March 31, 2012, the Company expects to account for no dividends payouts, acceleration of vesting triggered by the Merger with Innovate/Protect will be accounted for upon the consummation of the proposed Merger; moreover, it assumes that the estimated effect of acceleration pursuant to meeting the abovementioned market conditions will be immaterial, due to low probability of occurrence, please refer to Note 5 to the accompanying financial statements.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option pricing models utilize various inputs and assumptions, which are highly subjective. Had we used different assumptions, our results may have been significantly different. For further information on judgments and assessments used, please refer to Note 11 in our consolidated financial statements for the year ended December 31,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December 29, 2009, we consummated a bridge financing pursuant to which we issued 5% subordinated convertible promissory notes, ("Bridge Notes"), in the aggregate amount of $2.98 million in a private placement, as well as warrants to purchase 795,200 shares of common stock (the "Special Bridge Warrants", and collectively with the Bridge Notes, the "Bridge Financing"). Proceeds from the Bridge Financing were first allocated to the Special Bridge Warrants, which were classified as a derivative liability and recorded at fair value, with the residual amount allocated to the Bridge Notes.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jc w:val="both"/>
        <w:ind w:firstLine="648"/>
        <w:spacing w:after="0" w:line="289" w:lineRule="auto"/>
        <w:rPr>
          <w:sz w:val="20"/>
          <w:szCs w:val="20"/>
          <w:color w:val="auto"/>
        </w:rPr>
      </w:pPr>
      <w:r>
        <w:rPr>
          <w:rFonts w:ascii="Arial" w:cs="Arial" w:eastAsia="Arial" w:hAnsi="Arial"/>
          <w:sz w:val="16"/>
          <w:szCs w:val="16"/>
          <w:color w:val="auto"/>
        </w:rPr>
        <w:t>On December 1, 2011, we entered into financing agreements which triggered anti-dilution provisions in certain of our outstanding warrants. As a result, the exercise price was reduced to $0.94 and the number of Special Bridge Warrants outstanding was adjusted to 2,528,615. Between February 6 and February 14, 2012, we entered into agreements with holders of the Special Bridge Warrants, pursuant to which such holders exercised 2,274,235 Special Bridge Warrants (see also to Notes 3 and 5 to the accompanying financial statements). As of March 31, 2012, the Special Bridge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exercisable value remains as under the original terms. As of March 31, 2012, we estimated 30% probability of such protection being activated in September 2012. We have estimated the value of the down-round protection using a Monte-Carlo simulation. The following assumptions were used: 82.95% expected volatility, a risk-free interest rate of 0.50%, estimated life of 2.75 years and no dividend yield.</w:t>
      </w:r>
    </w:p>
    <w:p>
      <w:pPr>
        <w:spacing w:after="0" w:line="3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Upon the consummation of the IPO, the Bridge Notes automatically converted into 864,332 shares of common stock and 1,728,664 warrants (the "Conversion Warrants"). The Conversion Warrants have down-round protection clauses, i.e. in a new issuance of common shares at a lower price than the current exercise price, the current exercise price will be adjusted to the new issuance price. On December 1, 2011, we entered into financing agreements which triggered anti-dilution provisions in certain of our outstanding warrants. As a result, the exercise price was reduced to $0.94. Between February 6 and February 14, 2012, we entered into agreements with holders of the Special Bridge Warrants and Conversion Warrants, pursuant to which such holders exercised 1,554,758 Conversion Warrants (see also to Notes 3 and 5 to the accompanying financial statements). As of March 31, 2012, the Conversion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exercisable value remains as under the original terms. As of March 31, 2012, we estimated 30% probability of such protection being activated in September, 2012. We have estimated the value of the down-round protection using a Monte-Carlo simulation. The following assumptions were used: 79.26% expected volatility, a risk-free interest rate of 0.60%, estimated life of 3.23 years and no dividend yield.</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Between February 6 and February 14, 2012, we entered into agreements with holders of the Special Bridge Warrants and Conversion Warrants, pursuant to which such holders exercised 2,274,235 Special Bridge Warrants and 1,554,758 Conversion Warrants to purchase an aggregate of 3,828,993 shares of our common stock for aggregate proceeds of approximately $3.6 million. In addition, we issued Reload Warrants to purchase an aggregate of 2,660,922 shares of common stock at an exercise price of $1.76 per share in consideration for the immediate exercise of the warrants. 1,392,972 of the Reload Warrants bear down-round protection clauses; as a result, they will be classified as a long term derivative liability and recorded at fair value (“Preferential Reload Warrants”). At the issuance date fair value, in the total amount of $1,476 thousand was calculated using the Black-Scholes-Merton and the Monte-Carlo models (see also to Notes 3 and 5 to the accompanying financial statements), using the following assumptions: 72.89% expected volatility, a risk-free interest rate of 0.79%, estimated life of 5 years and no dividend yield. The fair value of the common stock was $1.76. We estimated there is a 30% probability that down-round protection will be activated in September 2012. As of March 31, 2012 fair value of the Preferential Reload Warrants was calculated using the Black-Scholes-Merton and the Monte-Carlo models, using the following assumptions: 73.13% expected volatility, a risk-free interest rate of 1.05%, estimated life of 4.86 years and no dividend yield. We estimated there is a 30% probability that down-round protection will be activated in September 2012.</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Had we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March 31, 2012,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 Also, refer to Note 14 of our consolidated financial statements for the year ended December 31, 2011.</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740, "Income Taxes" (formerly FASB Interpretation No. 48, "Accounting for Uncertainty in Income Taxes—an Interpretation of FASB Statement 109"),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2011, the Financial Accounting Standards Board (FASB) issued ASU 2011-04, Fair Value Measurement (Topic 820): Amendments to Achieve Common Fair Value Measurement and Disclosure Requirements in U.S. GAAP and IFRS. This ASU amends current fair value measurement and disclosure guidance to include increased transparency around valuation input and investment categorization. ASU 2011-04 is effective for fiscal years and interim periods beginning after December 15, 2011, with early adoption not permitted. The adoption of ASU 2011-04 in the first quarter of 2012 did not have an impact on our financial position, results of operations, or cash flows.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allows an entity to present components of net income and other comprehensive income in one continuous statement, referred to as the statement of comprehensive income, or in two separate, but consecutive statements. ASU 2011-05 eliminates the option to present the components of other comprehensive income as part of the statement of changes in stockholders’ equity. In December 2011, the FASB issued ASU 2011-12 Comprehensive Income (Topic 220): Deferral of the Effective Date for Amendments to the Presentation of Reclassifications of Items Out of Accumulated Other Comprehensive Income in Accounting Standards Update No. 2011-05.”ASU 2011-12 deferred the effective date of the specific requirement to present items that are reclassified out of accumulated other comprehensive income to net income alongside their respective components of net income and other comprehensive income. While the new guidance changes the presentation of comprehensive income, there are no changes to the components that are recognized in net income or other comprehensive income under current accounting guidance. ASU 2011-05 is effective for fiscal years and interim periods beginning after December 15, 2011 and must be applied retrospectively. The adoption of ASU 2011-05 in the first quarter of 2012 did not have an impact on our financial position, results of operations, or cash flows.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2011, the FASB issued ASU 2011-11, Balance Sheet (Topic 210), Disclosures about Offsetting Assets and Liabilities, which require companies to disclose information about financial instruments that have been offset and related arrangements to enable users of their financial statements to understand the effect of those arrangements on their financial position. Companies will be required to provide both net (offset amounts) and gross information in the notes to the financial statements for relevant assets and liabilities that are offset. ASU 2011-11 is effective for fiscal years, and interim periods within those years, beginning on or after January 1, 2013. We do not expect the adoption of ASU 2011-11 in the first quarter of 2013 to have an impact on our financial position, results of operations, or cash flows.</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 smaller reporting company and therefore, we are not required to provide information required by this Item of Form 10-Q.</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(principal executive officer) and our Chief Financial Officer (principal financial officer), evaluated the effectiveness of our disclosure controls and procedures as of March 31,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2012, our Chief Executive Officer and Chief Financial Officer concluded that, as of such date, our disclosure controls and procedures were ineffective for the reasons set forth below.</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has identified a material weakness in our disclosure controls and procedures relating to insufficient controls in connection with recognition, valuation and accounting for equity, debt and derivative instruments. We are enhancing our proficiency of the professional literature on these subjects. In addition, we are in the process of remediating this material weakness by broadening the role of external qualified valuation and accounting experts, to allow for our stronger oversight in this area.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 period ended March 31, 2012, there were no changes in our internal control over financial reporting identified in connection with the evaluation required by paragraph (d) of Rule 13a-15 or Rule 15d-15 that has materially affected, or is reasonably likely to materially affect, our internal control over financial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16"/>
        <w:spacing w:after="0" w:line="302" w:lineRule="auto"/>
        <w:rPr>
          <w:sz w:val="20"/>
          <w:szCs w:val="20"/>
          <w:color w:val="auto"/>
        </w:rPr>
      </w:pPr>
      <w:r>
        <w:rPr>
          <w:rFonts w:ascii="Arial" w:cs="Arial" w:eastAsia="Arial" w:hAnsi="Arial"/>
          <w:sz w:val="16"/>
          <w:szCs w:val="16"/>
          <w:i w:val="1"/>
          <w:iCs w:val="1"/>
          <w:color w:val="auto"/>
        </w:rPr>
        <w:t>The risk factors set forth below update the risk factors in Part I, “Item 1A. Risk Factors” in our Annual Report on Form 10-K for the year ended December 31, 2011. In addition to the risk factors below, you should carefully consider the other risks highlighted elsewhere in this report or in our other filings with the Securities and Exchange Commission, which could materially affect our business, financial position and results of operations. Additional risks and uncertainties not presently known to us or that we currently deem immaterial also may impair our business, financial position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consummate our Merger with Innovate/Protect.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12, 2012, we entered into a Merger Agreement, pursuant to which Innovate/Protect will merge with and into our wholly owned subsidiary, Merger Sub, with Merger Sub being the surviving corporation through an exchange of capital stock of Innovate/Protect for our capital stock. The consummation of the transaction with Innovate/Protect is subject to stockholders approval and other closing conditions. We have expended significant effort and management attention on the proposed transaction. There is no assurance that the transaction will be approved. For example, our stockholders may not approve the transaction. If the transaction is not consummated for any reason, our business and operations, as well as the market price of our stock and warrants may be adversely affected.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issuance of our shares of common stock to Innovate/Protect stockholders in connection with the Merger will substantially dilute the voting power of our current stockholders.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terms of the Merger Agreement, it is anticipated that we will issue equity instruments to Innovate/Protect stockholders representing approximately 67.55% of the outstanding equity instruments of the combined company calculated on a fully diluted basis as of immediately following the completion of the Merger. After such issuance, our equity instruments outstanding immediately prior to the completion of the Merger will represent approximately 32.45% of the outstanding equity instruments of the combined company, calculated on a fully diluted basis as of immediately following the completion of the Merger. Accordingly, the issuance of our equity instruments Innovate/Protect stockholders in connection with the Merger will significantly reduce the relative voting power of each share of our common stock held by our current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2012, we had a cash balance of $3.6 million and $2.7 million of net working capital. For the three month period ended March 31, 2012 and 2011 and for the cumulative period from inception until March 31, 2012, we incurred net losses of $5.6 million, $1.1 million and $43.2 million, respectively. As of March 31, 2012, our stockholders' equity was $1.0 million.</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expect our net losses to continue in the foreseeable future, as we continue to grow our user base through carrier partnerships, continue to ensure we have broad handset reach, enhance our viral and social tools, maintain and grow our product and technology portfolio, build a strong revenue base of recurring monthly subscription revenue, find new forms of distribution, and explore monetization through advertising and revenue through content sales.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 development stage company with no significant source of income and our there is a significant doubt about our ability to continue our activities as a going concern.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management that raises significant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jc w:val="both"/>
        <w:ind w:firstLine="486"/>
        <w:spacing w:after="0" w:line="255" w:lineRule="auto"/>
        <w:rPr>
          <w:sz w:val="20"/>
          <w:szCs w:val="20"/>
          <w:color w:val="auto"/>
        </w:rPr>
      </w:pPr>
      <w:r>
        <w:rPr>
          <w:rFonts w:ascii="Arial" w:cs="Arial" w:eastAsia="Arial" w:hAnsi="Arial"/>
          <w:sz w:val="18"/>
          <w:szCs w:val="18"/>
          <w:color w:val="auto"/>
        </w:rPr>
        <w:t>We believe that its current cash levels will be sufficient to support our activity into the first quarter of 2013. The continuation of our business is dependent upon the successful consummation of our Merger with Innovate/Protect, or similar merger or acquisition, financing and upon the further development of our products. Since it is impossible to predict the timing and amount of any recovery, if any, resulting from the Innovate/Protect litigation, we anticipate that we will need to raise additional funds through equity offerings in order to meet our liquidity requirements in the second half of 2012. After taking into effect the Merger with Innovate/Protect, additional resources that may be required for the continuation of our combined operations approximates $4.3 million and $11.8 million, for the twelve month periods ending March 31, 2013 and March 31, 2014, respectively. Any such financing that we undertake will likely be dilutive to our current stockholders.</w:t>
      </w:r>
    </w:p>
    <w:p>
      <w:pPr>
        <w:spacing w:after="0" w:line="185" w:lineRule="exact"/>
        <w:rPr>
          <w:sz w:val="20"/>
          <w:szCs w:val="20"/>
          <w:color w:val="auto"/>
        </w:rPr>
      </w:pPr>
    </w:p>
    <w:p>
      <w:pPr>
        <w:jc w:val="both"/>
        <w:ind w:firstLine="45"/>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Should our currently outstanding warrants be exercised, there will be an additional 7,706,591 shares of common stock eligible for trading in the public market. In addition, we currently have options outstanding to purchase 4,623,863 shares of common stock, granted as of the reporting date, to our management, employees, directors and consultants. In March 2012, our board of directors approved participation of outstanding options in future dividends. In addition, the vesting of all outstanding options will accelerate if our common stock reaches certain price or market capitalization targets for 20 of 30 consecutive trading dates, as follows: (i) 50% acceleration if either the price of our common stock is at least $5 or our market capitalization is at least $250,000,000; (ii) 75% acceleration if either the price of our common stock is at least $10 or our market capitalization is $500,000,000 or more; and (iii) 100% acceleration if either the price of our common stock is at least $20 or our market capitalization is at least $1,000,000,000. Furthermore, all outstanding options granted to members of the board of directors shall fully vest if a member of the board of directors ceases to be a director at any time during the six-month period immediately following a change of control. Certain options which are outstanding have exercise prices that are below, and in some cases significantly below, recent market price.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May 15, 2012, is $3.19 per share</w:t>
      </w:r>
    </w:p>
    <w:p>
      <w:pPr>
        <w:spacing w:after="0" w:line="18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Under the terms of the Merger Agreement, we will issue Innovate/Protect shareholders warrants to purchase 15,959,838 shares of our common stock at an exercise price of $1.76 per share. In addition, all outstanding warrants to purchase Innovate/Protect’s common stock that are outstanding and unexercised immediately prior to the Merger agreement, shall be exchanged for 250,000 shares of our common stock and 850,000 warrants to purchase 850,000 shares of our common stock with an exercise price of $1.76 per share. Finally, additional 41,178 options at an exercise price of $0.994 will be issued. As a result of an approval of our proposed Merger with Innovate/Protect, the total number of warrants and options held by our security holders will be increased by 16,851,016.</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166"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We currently have 14,060,424 shares of common stock issued and outstanding, excluding shares of common stock issuable upon exercise of warrants or options. As shares saleable under Rule 144 are sold or as restrictions on resale need, the market price of our stock could drop significantly, if the holders of restricted shares sell them, or are perceived by the market as intending to sell them. This decline in our stock price could occur even if our business is otherwise performing well. We anticipate filing Registration Statements in the near term for the common stock shares underlying (a) the 2,672,756 new warrants issued in February 2012 (including 11,834 warrants issued to our placement agent) and (b) 4,623,863 options currently outstanding under our 2006 Stock Option Plan.</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the terms of the Merger Agreement, we will issue Innovate/Protect shareholders 17,425,617 of our common stock shares and Series A Convertible Preferred stock, convertible into 20,573,997 of our common stock shares. In addition, all outstanding warrants to purchase Innovate/Protect’s common stock that are outstanding and unexercised immediately prior to the Merger agreement, shall be exchanged for 250,000 shares of our common stock and 850,000 warrants to purchase 850,000 shares of our common stock with an exercise price of $1.76 per share. Upon the consummation of the Merger, if consummated, the number of outstanding shares of common stock (calculated on a fully diluted basis) held by our security holders will significantly increase.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If we are unable to adequately protect our intellectual property, we may not be able to compete effectively.</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 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possibility of extensive delays in the patent issuance process could effectively reduce the term during which a marketed product is protected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patents.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jc w:val="both"/>
        <w:ind w:firstLine="648"/>
        <w:spacing w:after="0" w:line="268" w:lineRule="auto"/>
        <w:rPr>
          <w:sz w:val="20"/>
          <w:szCs w:val="20"/>
          <w:color w:val="auto"/>
        </w:rPr>
      </w:pPr>
      <w:r>
        <w:rPr>
          <w:rFonts w:ascii="Arial" w:cs="Arial" w:eastAsia="Arial" w:hAnsi="Arial"/>
          <w:sz w:val="17"/>
          <w:szCs w:val="17"/>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 be unable to distribute our products effectively or generate significant revenue.</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strategy for distributing our applications and services is dependent upon establishing distribution arrangements with major mobile carriers and other partners. We currently have distribution arrangements with Etisalat (Emirates Telecom), Orange (Everything Everywhere), Vodafone, Verizon, Maxis, Celcom (Axiata Berhard), Hungama Mobile and Du. We need to develop and maintain strategic relationships with these entities in order for them to market its service to their end users. While we have entered into agreements with the aforementioned mobile carriers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it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35 content license agreements with various content providers.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Some of our applications are compatible with various mobile operating systems including Android, Blackberry, Sony Ericsson, Symbian, Apple’s iOS, Java, and Windows Mobile operating systems. While Windows Mobile, Blackberry and Android do not support video ringtones natively, our development team has enabled its application to work on many devices which utilize these operating systems. While the user base for the video ringtone service is spread out amongst a number of smartphone and feature phone operating systems, with applications on each aforementioned operating system representing less than 5% of the total subscribers to our video ringtone platform. Our FacetonesTM platform is heavily reliant upon our user base on Android devices. Currently, over 96% of our FacetonesTM users utilize the Android operating system. In addition, our commercial agreement with ZTE is solely reliant on our ability to maintain its support for the Android operating system. Since these operating systems do not support our applications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may impair our ability to generate revenue via our video ringtone product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video ringtone product operates under a paid-for premium subscription business model. Mobile subscription services have been the subject of regulatory changes in recent years in Europe and Asia. In the fourth quarter of 2012, we were informed by Maxis, our operator partner in Malaysia that we would have to change the manner by which we allowed users to opt-out and the period of time that we could continue to bill users who did not interact with our service. This adversely affected our subscriber numbers. While we are not currently aware of other pending regulatory actions in other markets in which we operate, there cannot be any assurance that such regulatory changes, if occur, will not adversely affect our business.</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Facetones™ application depends upon our continued access to Facebook® photos.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Our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application creates automated video slideshow using friends’ photos from social media web sites, primarily from Facebook®, the world’s leading social media site.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represented less than 5% of our revenue for the three months ended March 31, 2012, however, we believe that the rapid growth of its user base is critical to the value of its mobile application business. In the event Facebook® prohibits or restricts our application ability to access photos on its site, our business, financial condition, operating results and projected growth could be harmed. In February 2012, we entered into an agreement with Facebook®, which clarifies Vringo’s permitted use of the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mark and domain name.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38" w:name="page39"/>
    <w:bookmarkEnd w:id="38"/>
    <w:p>
      <w:pPr>
        <w:jc w:val="both"/>
        <w:spacing w:after="0" w:line="282" w:lineRule="auto"/>
        <w:rPr>
          <w:sz w:val="20"/>
          <w:szCs w:val="20"/>
          <w:color w:val="auto"/>
        </w:rPr>
      </w:pPr>
      <w:r>
        <w:rPr>
          <w:rFonts w:ascii="Arial" w:cs="Arial" w:eastAsia="Arial" w:hAnsi="Arial"/>
          <w:sz w:val="18"/>
          <w:szCs w:val="18"/>
          <w:b w:val="1"/>
          <w:bCs w:val="1"/>
          <w:color w:val="auto"/>
        </w:rPr>
        <w:t>The majority of Facetones users experience the product through a free-to-user ad-supported model. The mobile advertising market is nascent and there can be no assurance that it will be able to generate substantial revenue.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mobile advertising market is still small. Mobile advertising generates a small portion of the marketing dollars that advertiser spend on digital marketing. The ability to generate significant revenue from our Facetones product is largely dependent on the mobile advertising market maturing, as well as on our ability to increase our user base.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Facetones™ trademark is challenged by another party, our revenue from this application may be adversely affected.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9, 2012, we entered into an agreement with Facebook, Inc. an online social network, relating to the use of our Facetones™ mark and domain name (collectively, the "Facetones Mark"). The Agreement resolved a potential dispute between the parties regarding the Facetones Mark. Nonetheless, Facebook reserves the right to challenge the Facetones Mark in the future if we violate certain limitations on our use of the Facetones Mark and/or certain conditions are not met. If Facebook or any other party successfully challenges our Facetones Mark, we will need to rebrand our application, which may have a negative impact on our revenue from this application.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order for us to raise capital through equity or equity-linked transactions, stockholder approval is required to enable us to issue more than 19.99% of our outstanding shares of common stock pursuant to the rules and regulations of the NYSE Amex. Should stockholders not approve such issuances, our sole means to raise capital would be through debt, which could have a material adverse effect on our balance sheet and overall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liquidity is largely dependent on our common stock being traded on a major exchange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common stock and warrants are listed on the NYSE Amex, a national securities exchange, which imposes continued listing requirements with respect to listed shares. On April 26, 2012, the NYSE Amex notified us that it had resolved the continued listing deficiency referenced in the NYSE Amex's letter dated May 24, 2011, which stated that we were not in compliance with Section 1003(a) (iv) of the NYSE Amex's continued listing standards. The NYSE Amex's conclusion was based on a review of available information, including our filings with the Securities and Exchange Commission. Our continued listing eligibility will be assessed on an ongoing basis. While the NYSE Amex has not initiated delisting proceedings in the past, there is no assurance that it will not do so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If the NYSE Amex delists our securities from trading, we could face significant consequences, including:</w:t>
      </w:r>
    </w:p>
    <w:p>
      <w:pPr>
        <w:spacing w:after="0" w:line="22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25" w:lineRule="exact"/>
        <w:rPr>
          <w:rFonts w:ascii="Arial" w:cs="Arial" w:eastAsia="Arial" w:hAnsi="Arial"/>
          <w:sz w:val="18"/>
          <w:szCs w:val="18"/>
          <w:color w:val="auto"/>
        </w:rPr>
      </w:pPr>
    </w:p>
    <w:p>
      <w:pPr>
        <w:ind w:left="1300" w:right="500" w:hanging="644"/>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9" w:name="page40"/>
    <w:bookmarkEnd w:id="39"/>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addition, we would no longer be subject to the NYSE Amex rules, including rules requiring us to have a certain number of independent directors and to meet other corporate governance standards.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research and development facility is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enforce covenants not-to-compete under current Israeli law, which may result in added competition.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a substantial portion of our revenues is generated in dollars and euros, while a significant portion of our expenses is incurred in Israeli currency, our revenue may be reduced due to inflation in Israel and currency exchange rate fluctuations.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substantial portion of our revenues is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18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166" w:lineRule="exact"/>
        <w:rPr>
          <w:sz w:val="20"/>
          <w:szCs w:val="20"/>
          <w:color w:val="auto"/>
        </w:rPr>
      </w:pPr>
    </w:p>
    <w:p>
      <w:pPr>
        <w:jc w:val="both"/>
        <w:ind w:firstLine="695"/>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10380" w:type="dxa"/>
            <w:vAlign w:val="bottom"/>
          </w:tcPr>
          <w:p>
            <w:pPr>
              <w:spacing w:after="0"/>
              <w:rPr>
                <w:sz w:val="18"/>
                <w:szCs w:val="18"/>
                <w:color w:val="auto"/>
              </w:rPr>
            </w:pPr>
          </w:p>
        </w:tc>
      </w:tr>
      <w:tr>
        <w:trPr>
          <w:trHeight w:val="234"/>
        </w:trPr>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No.</w:t>
            </w:r>
          </w:p>
        </w:tc>
        <w:tc>
          <w:tcPr>
            <w:tcW w:w="220" w:type="dxa"/>
            <w:vAlign w:val="bottom"/>
          </w:tcPr>
          <w:p>
            <w:pPr>
              <w:spacing w:after="0"/>
              <w:rPr>
                <w:sz w:val="20"/>
                <w:szCs w:val="20"/>
                <w:color w:val="auto"/>
              </w:rPr>
            </w:pPr>
          </w:p>
        </w:tc>
        <w:tc>
          <w:tcPr>
            <w:tcW w:w="10380" w:type="dxa"/>
            <w:vAlign w:val="bottom"/>
            <w:tcBorders>
              <w:bottom w:val="single" w:sz="8" w:color="auto"/>
            </w:tcBorders>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82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Agreement and Plan of Merger by and among Vringo, Inc., VIP Merger Sub, Inc. and Innovate/Protect, Inc., dated as of March 12, 2012</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(incorporated by reference from Exhibit 2.1 to Vringo’s Current Report on form 8-K filed on March 14, 2012)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Preferential Reload Warrant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Reload Warrants</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Separation Agreement between Jonathan Medved and Vringo (Israel) Ltd., dated as of March 8, 2012 (incorporated by reference from Exhibit</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99.5 to Vringo’s Current Report on Form 8-K filed on March 14, 2012)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Agreement dated February 9, 2012, by and between the Company and Facebook, Inc.</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Certification of Principal Executive Officer Pursuant to Rule 13-14(a) of the Securities Exchange Act of 1934, pursuant to Section 302 of the</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Certification of Principal Financial Officer Pursuant to Rule 13-14(a) of the Securities Exchange Act of 1934, pursuant to Section 302 of the</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Certification of Principal Executive Officer Pursuant to 18 U.S.C. Section 1350, pursuant to Section 906 of the Sarbanes-Oxley Act of 2002.</w:t>
            </w: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Certification of Principal Financial Officer Pursuant to 18 U.S.C. Section 1350, pursuant to Section 906 of the Sarbanes-Oxley Act of 2002.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The following information from Vringo’s Quarterly Report on Form 10-Q for the quarter ended March 31, 2012 formatted in XBRL: (i)</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Unaudited Consolidated Statements of Operations for the three months ended March 31, 2012 and 2011; (ii) Consolidated Balance Sheets as of</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March 31, 2012 (Unaudited) and December 31, 2011; (iii) Unaudited Consolidated Statements of Stockholders’ Equity as of March 31, 2012;</w:t>
            </w:r>
          </w:p>
        </w:tc>
      </w:tr>
    </w:tbl>
    <w:p>
      <w:pPr>
        <w:ind w:left="1040" w:firstLine="8"/>
        <w:spacing w:after="0" w:line="261" w:lineRule="auto"/>
        <w:tabs>
          <w:tab w:leader="none" w:pos="1365" w:val="left"/>
        </w:tabs>
        <w:numPr>
          <w:ilvl w:val="1"/>
          <w:numId w:val="12"/>
        </w:numPr>
        <w:rPr>
          <w:rFonts w:ascii="Arial" w:cs="Arial" w:eastAsia="Arial" w:hAnsi="Arial"/>
          <w:sz w:val="18"/>
          <w:szCs w:val="18"/>
          <w:color w:val="auto"/>
        </w:rPr>
      </w:pPr>
      <w:r>
        <w:rPr>
          <w:rFonts w:ascii="Arial" w:cs="Arial" w:eastAsia="Arial" w:hAnsi="Arial"/>
          <w:sz w:val="18"/>
          <w:szCs w:val="18"/>
          <w:color w:val="auto"/>
        </w:rPr>
        <w:t>Unaudited Consolidated Statements of Cash Flows for the three months ended March 31, 2012 and 2011; and (v) Notes to Unaudited Consolidated Financial Statements tagged as blocks of text.*</w:t>
      </w:r>
    </w:p>
    <w:p>
      <w:pPr>
        <w:spacing w:after="0" w:line="210" w:lineRule="exact"/>
        <w:rPr>
          <w:rFonts w:ascii="Arial" w:cs="Arial" w:eastAsia="Arial" w:hAnsi="Arial"/>
          <w:sz w:val="18"/>
          <w:szCs w:val="18"/>
          <w:color w:val="auto"/>
        </w:rPr>
      </w:pPr>
    </w:p>
    <w:p>
      <w:pPr>
        <w:ind w:left="1040" w:hanging="1040"/>
        <w:spacing w:after="0" w:line="28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15th day of May,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spacing w:after="0"/>
        <w:tabs>
          <w:tab w:leader="none" w:pos="5540" w:val="left"/>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w:t>
      </w:r>
      <w:r>
        <w:rPr>
          <w:rFonts w:ascii="Arial" w:cs="Arial" w:eastAsia="Arial" w:hAnsi="Arial"/>
          <w:sz w:val="11"/>
          <w:szCs w:val="11"/>
          <w:color w:val="auto"/>
        </w:rPr>
        <w:t>LLEN</w:t>
      </w:r>
      <w:r>
        <w:rPr>
          <w:rFonts w:ascii="Arial" w:cs="Arial" w:eastAsia="Arial" w:hAnsi="Arial"/>
          <w:sz w:val="17"/>
          <w:szCs w:val="17"/>
          <w:color w:val="auto"/>
        </w:rPr>
        <w:t xml:space="preserve"> C</w:t>
      </w:r>
      <w:r>
        <w:rPr>
          <w:rFonts w:ascii="Arial" w:cs="Arial" w:eastAsia="Arial" w:hAnsi="Arial"/>
          <w:sz w:val="11"/>
          <w:szCs w:val="11"/>
          <w:color w:val="auto"/>
        </w:rPr>
        <w:t>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6"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Ellen Cohl</w:t>
      </w:r>
    </w:p>
    <w:p>
      <w:pPr>
        <w:spacing w:after="0" w:line="36"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Chief Financial Officer</w:t>
      </w:r>
    </w:p>
    <w:p>
      <w:pPr>
        <w:spacing w:after="0" w:line="36"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877" w:right="439" w:bottom="1440" w:gutter="0" w:footer="0" w:header="0"/>
        </w:sectPr>
      </w:pPr>
    </w:p>
    <w:bookmarkStart w:id="42" w:name="page43"/>
    <w:bookmarkEnd w:id="42"/>
    <w:p>
      <w:pPr>
        <w:jc w:val="both"/>
        <w:spacing w:after="0" w:line="255"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3"/>
          </w:tcPr>
          <w:p>
            <w:pPr>
              <w:spacing w:after="0"/>
              <w:rPr>
                <w:sz w:val="20"/>
                <w:szCs w:val="20"/>
                <w:color w:val="auto"/>
              </w:rPr>
            </w:pPr>
            <w:r>
              <w:rPr>
                <w:rFonts w:ascii="Arial" w:cs="Arial" w:eastAsia="Arial" w:hAnsi="Arial"/>
                <w:sz w:val="18"/>
                <w:szCs w:val="18"/>
                <w:color w:val="auto"/>
              </w:rPr>
              <w:t>Warrant No. W-___</w:t>
            </w:r>
          </w:p>
        </w:tc>
        <w:tc>
          <w:tcPr>
            <w:tcW w:w="1900" w:type="dxa"/>
            <w:vAlign w:val="bottom"/>
          </w:tcPr>
          <w:p>
            <w:pPr>
              <w:spacing w:after="0"/>
              <w:rPr>
                <w:sz w:val="20"/>
                <w:szCs w:val="20"/>
                <w:color w:val="auto"/>
              </w:rPr>
            </w:pPr>
          </w:p>
        </w:tc>
        <w:tc>
          <w:tcPr>
            <w:tcW w:w="4200" w:type="dxa"/>
            <w:vAlign w:val="bottom"/>
          </w:tcPr>
          <w:p>
            <w:pPr>
              <w:ind w:left="1700"/>
              <w:spacing w:after="0"/>
              <w:rPr>
                <w:sz w:val="20"/>
                <w:szCs w:val="20"/>
                <w:color w:val="auto"/>
              </w:rPr>
            </w:pPr>
            <w:r>
              <w:rPr>
                <w:rFonts w:ascii="Arial" w:cs="Arial" w:eastAsia="Arial" w:hAnsi="Arial"/>
                <w:sz w:val="18"/>
                <w:szCs w:val="18"/>
                <w:color w:val="auto"/>
                <w:w w:val="89"/>
              </w:rPr>
              <w:t>Number of Shares: ____________</w:t>
            </w:r>
          </w:p>
        </w:tc>
      </w:tr>
      <w:tr>
        <w:trPr>
          <w:trHeight w:val="392"/>
        </w:trPr>
        <w:tc>
          <w:tcPr>
            <w:tcW w:w="4760" w:type="dxa"/>
            <w:vAlign w:val="bottom"/>
            <w:gridSpan w:val="3"/>
          </w:tcPr>
          <w:p>
            <w:pPr>
              <w:spacing w:after="0"/>
              <w:rPr>
                <w:sz w:val="20"/>
                <w:szCs w:val="20"/>
                <w:color w:val="auto"/>
              </w:rPr>
            </w:pPr>
            <w:r>
              <w:rPr>
                <w:rFonts w:ascii="Arial" w:cs="Arial" w:eastAsia="Arial" w:hAnsi="Arial"/>
                <w:sz w:val="18"/>
                <w:szCs w:val="18"/>
                <w:color w:val="auto"/>
              </w:rPr>
              <w:t>Date of Issuance: February 6, 2012 (“Issuance Date”)</w:t>
            </w:r>
          </w:p>
        </w:tc>
        <w:tc>
          <w:tcPr>
            <w:tcW w:w="19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453"/>
        </w:trPr>
        <w:tc>
          <w:tcPr>
            <w:tcW w:w="27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6100" w:type="dxa"/>
            <w:vAlign w:val="bottom"/>
            <w:gridSpan w:val="2"/>
          </w:tcPr>
          <w:p>
            <w:pPr>
              <w:jc w:val="center"/>
              <w:ind w:right="4090"/>
              <w:spacing w:after="0"/>
              <w:rPr>
                <w:sz w:val="20"/>
                <w:szCs w:val="20"/>
                <w:color w:val="auto"/>
              </w:rPr>
            </w:pPr>
            <w:r>
              <w:rPr>
                <w:rFonts w:ascii="Arial" w:cs="Arial" w:eastAsia="Arial" w:hAnsi="Arial"/>
                <w:sz w:val="18"/>
                <w:szCs w:val="18"/>
                <w:b w:val="1"/>
                <w:bCs w:val="1"/>
                <w:color w:val="auto"/>
              </w:rPr>
              <w:t>VRINGO, INC.</w:t>
            </w:r>
          </w:p>
        </w:tc>
      </w:tr>
      <w:tr>
        <w:trPr>
          <w:trHeight w:val="392"/>
        </w:trPr>
        <w:tc>
          <w:tcPr>
            <w:tcW w:w="2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00" w:type="dxa"/>
            <w:vAlign w:val="bottom"/>
            <w:gridSpan w:val="2"/>
          </w:tcPr>
          <w:p>
            <w:pPr>
              <w:jc w:val="center"/>
              <w:ind w:right="4110"/>
              <w:spacing w:after="0"/>
              <w:rPr>
                <w:sz w:val="20"/>
                <w:szCs w:val="20"/>
                <w:color w:val="auto"/>
              </w:rPr>
            </w:pPr>
            <w:r>
              <w:rPr>
                <w:rFonts w:ascii="Arial" w:cs="Arial" w:eastAsia="Arial" w:hAnsi="Arial"/>
                <w:sz w:val="18"/>
                <w:szCs w:val="18"/>
                <w:b w:val="1"/>
                <w:bCs w:val="1"/>
                <w:color w:val="auto"/>
                <w:w w:val="92"/>
              </w:rPr>
              <w:t>Common Stock Warrant</w:t>
            </w:r>
          </w:p>
        </w:tc>
      </w:tr>
      <w:tr>
        <w:trPr>
          <w:trHeight w:val="20"/>
        </w:trPr>
        <w:tc>
          <w:tcPr>
            <w:tcW w:w="2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Vringo, Inc. </w:t>
      </w:r>
      <w:r>
        <w:rPr>
          <w:rFonts w:ascii="Arial" w:cs="Arial" w:eastAsia="Arial" w:hAnsi="Arial"/>
          <w:sz w:val="17"/>
          <w:szCs w:val="17"/>
          <w:color w:val="auto"/>
        </w:rPr>
        <w:t>(the “</w:t>
      </w:r>
      <w:r>
        <w:rPr>
          <w:rFonts w:ascii="Arial" w:cs="Arial" w:eastAsia="Arial" w:hAnsi="Arial"/>
          <w:sz w:val="17"/>
          <w:szCs w:val="17"/>
          <w:u w:val="single" w:color="auto"/>
          <w:color w:val="auto"/>
        </w:rPr>
        <w:t>Company</w:t>
      </w:r>
      <w:r>
        <w:rPr>
          <w:rFonts w:ascii="Arial" w:cs="Arial" w:eastAsia="Arial" w:hAnsi="Arial"/>
          <w:sz w:val="17"/>
          <w:szCs w:val="17"/>
          <w:color w:val="auto"/>
        </w:rPr>
        <w:t>”), for value received, hereby certifies that ________, or its registered assigns (the “</w:t>
      </w:r>
      <w:r>
        <w:rPr>
          <w:rFonts w:ascii="Arial" w:cs="Arial" w:eastAsia="Arial" w:hAnsi="Arial"/>
          <w:sz w:val="17"/>
          <w:szCs w:val="17"/>
          <w:u w:val="single" w:color="auto"/>
          <w:color w:val="auto"/>
        </w:rPr>
        <w:t>Registered Holder</w:t>
      </w:r>
      <w:r>
        <w:rPr>
          <w:rFonts w:ascii="Arial" w:cs="Arial" w:eastAsia="Arial" w:hAnsi="Arial"/>
          <w:sz w:val="17"/>
          <w:szCs w:val="17"/>
          <w:color w:val="auto"/>
        </w:rPr>
        <w:t>”), is entitled,</w:t>
      </w:r>
    </w:p>
    <w:p>
      <w:pPr>
        <w:spacing w:after="0" w:line="3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subject to the terms of this Common Stock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set forth below, to purchase from the Company, at any time after the date hereof and on or before February 6, 2017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up to ________ (_______) shares of common stock of the Company (the “</w:t>
      </w:r>
      <w:r>
        <w:rPr>
          <w:rFonts w:ascii="Arial" w:cs="Arial" w:eastAsia="Arial" w:hAnsi="Arial"/>
          <w:sz w:val="16"/>
          <w:szCs w:val="16"/>
          <w:u w:val="single" w:color="auto"/>
          <w:color w:val="auto"/>
        </w:rPr>
        <w:t>Warrant Stock</w:t>
      </w:r>
      <w:r>
        <w:rPr>
          <w:rFonts w:ascii="Arial" w:cs="Arial" w:eastAsia="Arial" w:hAnsi="Arial"/>
          <w:sz w:val="16"/>
          <w:szCs w:val="16"/>
          <w:color w:val="auto"/>
        </w:rPr>
        <w:t>”), par value $0.01</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at a per share exercise price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equal to One Dollar and Seventy-Six Cents ($1.76) per share (subject to adjustment as set forth in Section 2).</w:t>
      </w:r>
    </w:p>
    <w:p>
      <w:pPr>
        <w:spacing w:after="0" w:line="180" w:lineRule="exact"/>
        <w:rPr>
          <w:sz w:val="20"/>
          <w:szCs w:val="20"/>
          <w:color w:val="auto"/>
        </w:rPr>
      </w:pPr>
    </w:p>
    <w:p>
      <w:pPr>
        <w:ind w:left="1340" w:hanging="684"/>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7" w:lineRule="auto"/>
        <w:tabs>
          <w:tab w:leader="none" w:pos="2162" w:val="left"/>
        </w:tabs>
        <w:numPr>
          <w:ilvl w:val="1"/>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Method of Exercise</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may be exercised by the Registered Holder, in whole or in part, by delivering the form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appended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duly executed by such Registered Holder (the “</w:t>
      </w:r>
      <w:r>
        <w:rPr>
          <w:rFonts w:ascii="Arial" w:cs="Arial" w:eastAsia="Arial" w:hAnsi="Arial"/>
          <w:sz w:val="17"/>
          <w:szCs w:val="17"/>
          <w:u w:val="single" w:color="auto"/>
          <w:color w:val="auto"/>
        </w:rPr>
        <w:t>Exercise Notice</w:t>
      </w:r>
      <w:r>
        <w:rPr>
          <w:rFonts w:ascii="Arial" w:cs="Arial" w:eastAsia="Arial" w:hAnsi="Arial"/>
          <w:sz w:val="17"/>
          <w:szCs w:val="17"/>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168" w:lineRule="exact"/>
        <w:rPr>
          <w:rFonts w:ascii="Arial" w:cs="Arial" w:eastAsia="Arial" w:hAnsi="Arial"/>
          <w:sz w:val="17"/>
          <w:szCs w:val="17"/>
          <w:color w:val="auto"/>
        </w:rPr>
      </w:pPr>
    </w:p>
    <w:p>
      <w:pPr>
        <w:jc w:val="both"/>
        <w:ind w:firstLine="1305"/>
        <w:spacing w:after="0" w:line="281" w:lineRule="auto"/>
        <w:tabs>
          <w:tab w:leader="none" w:pos="1970" w:val="left"/>
        </w:tabs>
        <w:numPr>
          <w:ilvl w:val="1"/>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 Time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Each exercise of this Warrant shall be deemed to have been effected immediately prior to the close of</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on the day on which the Exercise Notice has been delivered to the Company (the “</w:t>
      </w:r>
      <w:r>
        <w:rPr>
          <w:rFonts w:ascii="Arial" w:cs="Arial" w:eastAsia="Arial" w:hAnsi="Arial"/>
          <w:sz w:val="17"/>
          <w:szCs w:val="17"/>
          <w:u w:val="single" w:color="auto"/>
          <w:color w:val="auto"/>
        </w:rPr>
        <w:t>Exercise Date</w:t>
      </w:r>
      <w:r>
        <w:rPr>
          <w:rFonts w:ascii="Arial" w:cs="Arial" w:eastAsia="Arial" w:hAnsi="Arial"/>
          <w:sz w:val="17"/>
          <w:szCs w:val="17"/>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164" w:lineRule="exact"/>
        <w:rPr>
          <w:rFonts w:ascii="Arial" w:cs="Arial" w:eastAsia="Arial" w:hAnsi="Arial"/>
          <w:sz w:val="17"/>
          <w:szCs w:val="17"/>
          <w:color w:val="auto"/>
        </w:rPr>
      </w:pPr>
    </w:p>
    <w:p>
      <w:pPr>
        <w:jc w:val="both"/>
        <w:ind w:firstLine="1305"/>
        <w:spacing w:after="0" w:line="273" w:lineRule="auto"/>
        <w:tabs>
          <w:tab w:leader="none" w:pos="1987" w:val="left"/>
        </w:tabs>
        <w:numPr>
          <w:ilvl w:val="1"/>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Cashless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provisions herein to the contrary, if at any time between the three (3) month anniversary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Issuance Date and the Expiration Date, there is no effective Registration Statement under the Securities Act registering the resale of the Warrant Stock by the Registered Holder, then the Registered Holder may elect to exercise this Warrant, or a portion hereof, and to pay for the Warrant Stock by way of cashless exercise (a “</w:t>
      </w:r>
      <w:r>
        <w:rPr>
          <w:rFonts w:ascii="Arial" w:cs="Arial" w:eastAsia="Arial" w:hAnsi="Arial"/>
          <w:sz w:val="17"/>
          <w:szCs w:val="17"/>
          <w:u w:val="single" w:color="auto"/>
          <w:color w:val="auto"/>
        </w:rPr>
        <w:t>Cashless Exercise</w:t>
      </w:r>
      <w:r>
        <w:rPr>
          <w:rFonts w:ascii="Arial" w:cs="Arial" w:eastAsia="Arial" w:hAnsi="Arial"/>
          <w:sz w:val="17"/>
          <w:szCs w:val="17"/>
          <w:color w:val="auto"/>
        </w:rPr>
        <w:t>”). 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981075</wp:posOffset>
            </wp:positionH>
            <wp:positionV relativeFrom="page">
              <wp:posOffset>568960</wp:posOffset>
            </wp:positionV>
            <wp:extent cx="84074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840740" cy="27432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 where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 = the number of shares of Warrant Stock to be issued to the Registered Holder.</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Y = the Warrant Stock purchasable under this Warrant or, if only a portion of the Warrant is being exercised, the portion of the Warrant Stock being exercised.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 the Fair Market Value (defined below) of one share of Common Stock on the Exercise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 the Exercise Price (as adjusted pursuant to the provisions of this Warrant).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For purposes of this Section 1(c), the “Fair Market Value” of one share of Common Stock on the Exercise Date shall have one of the following meanings:</w:t>
      </w:r>
    </w:p>
    <w:p>
      <w:pPr>
        <w:spacing w:after="0" w:line="170" w:lineRule="exact"/>
        <w:rPr>
          <w:sz w:val="20"/>
          <w:szCs w:val="20"/>
          <w:color w:val="auto"/>
        </w:rPr>
      </w:pPr>
    </w:p>
    <w:p>
      <w:pPr>
        <w:jc w:val="both"/>
        <w:ind w:firstLine="1305"/>
        <w:spacing w:after="0" w:line="264" w:lineRule="auto"/>
        <w:tabs>
          <w:tab w:leader="none" w:pos="19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181" w:lineRule="exact"/>
        <w:rPr>
          <w:rFonts w:ascii="Arial" w:cs="Arial" w:eastAsia="Arial" w:hAnsi="Arial"/>
          <w:sz w:val="18"/>
          <w:szCs w:val="18"/>
          <w:color w:val="auto"/>
        </w:rPr>
      </w:pPr>
    </w:p>
    <w:p>
      <w:pPr>
        <w:ind w:firstLine="1305"/>
        <w:spacing w:after="0" w:line="277" w:lineRule="auto"/>
        <w:tabs>
          <w:tab w:leader="none" w:pos="19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Common Stock is traded over-the-counter, the Fair Market Value shall be deemed to be the average of the closing sales price over the thirty (30) day period ending three (3) days before the Exercise Date; or</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X = </w:t>
      </w:r>
      <w:r>
        <w:rPr>
          <w:rFonts w:ascii="Arial" w:cs="Arial" w:eastAsia="Arial" w:hAnsi="Arial"/>
          <w:sz w:val="18"/>
          <w:szCs w:val="18"/>
          <w:u w:val="single" w:color="auto"/>
          <w:color w:val="auto"/>
        </w:rPr>
        <w:t>50,000 ($2.00-$1.00)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X =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4" w:name="page45"/>
    <w:bookmarkEnd w:id="44"/>
    <w:p>
      <w:pPr>
        <w:jc w:val="both"/>
        <w:ind w:firstLine="1297"/>
        <w:spacing w:after="0" w:line="255" w:lineRule="auto"/>
        <w:rPr>
          <w:sz w:val="20"/>
          <w:szCs w:val="20"/>
          <w:color w:val="auto"/>
        </w:rPr>
      </w:pPr>
      <w:r>
        <w:rPr>
          <w:rFonts w:ascii="Arial" w:cs="Arial" w:eastAsia="Arial" w:hAnsi="Arial"/>
          <w:sz w:val="18"/>
          <w:szCs w:val="18"/>
          <w:color w:val="auto"/>
        </w:rPr>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189" w:lineRule="exact"/>
        <w:rPr>
          <w:sz w:val="20"/>
          <w:szCs w:val="20"/>
          <w:color w:val="auto"/>
        </w:rPr>
      </w:pPr>
    </w:p>
    <w:p>
      <w:pPr>
        <w:jc w:val="both"/>
        <w:ind w:firstLine="1305"/>
        <w:spacing w:after="0" w:line="289" w:lineRule="auto"/>
        <w:tabs>
          <w:tab w:leader="none" w:pos="1983" w:val="left"/>
        </w:tabs>
        <w:numPr>
          <w:ilvl w:val="0"/>
          <w:numId w:val="15"/>
        </w:numPr>
        <w:rPr>
          <w:rFonts w:ascii="Arial" w:cs="Arial" w:eastAsia="Arial" w:hAnsi="Arial"/>
          <w:sz w:val="17"/>
          <w:szCs w:val="17"/>
          <w:color w:val="auto"/>
        </w:rPr>
      </w:pPr>
      <w:r>
        <w:rPr>
          <w:rFonts w:ascii="Arial" w:cs="Arial" w:eastAsia="Arial" w:hAnsi="Arial"/>
          <w:sz w:val="17"/>
          <w:szCs w:val="17"/>
          <w:b w:val="1"/>
          <w:bCs w:val="1"/>
          <w:u w:val="single" w:color="auto"/>
          <w:color w:val="auto"/>
        </w:rPr>
        <w:t>Delivery to Holder</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the exercise of this Warrant in whole or in part, and in any event within three (3)</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days thereafter (the “</w:t>
      </w:r>
      <w:r>
        <w:rPr>
          <w:rFonts w:ascii="Arial" w:cs="Arial" w:eastAsia="Arial" w:hAnsi="Arial"/>
          <w:sz w:val="17"/>
          <w:szCs w:val="17"/>
          <w:u w:val="single" w:color="auto"/>
          <w:color w:val="auto"/>
        </w:rPr>
        <w:t>Warrant Stock Delivery Date</w:t>
      </w:r>
      <w:r>
        <w:rPr>
          <w:rFonts w:ascii="Arial" w:cs="Arial" w:eastAsia="Arial" w:hAnsi="Arial"/>
          <w:sz w:val="17"/>
          <w:szCs w:val="17"/>
          <w:color w:val="auto"/>
        </w:rPr>
        <w:t>”), the Company will cause to be issued in the name of, and delivered to, the Registered Holder, or as such Registered Holder (upon payment by such Registered Holder of any applicable transfer taxes) may direct:</w:t>
      </w:r>
    </w:p>
    <w:p>
      <w:pPr>
        <w:spacing w:after="0" w:line="162" w:lineRule="exact"/>
        <w:rPr>
          <w:rFonts w:ascii="Arial" w:cs="Arial" w:eastAsia="Arial" w:hAnsi="Arial"/>
          <w:sz w:val="17"/>
          <w:szCs w:val="17"/>
          <w:color w:val="auto"/>
        </w:rPr>
      </w:pPr>
    </w:p>
    <w:p>
      <w:pPr>
        <w:ind w:left="2660" w:hanging="707"/>
        <w:spacing w:after="0"/>
        <w:tabs>
          <w:tab w:leader="none" w:pos="2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 certificate or certificates for the number of shares of Warrant Stock to which such Registered Holder shall be entitled,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jc w:val="both"/>
        <w:ind w:firstLine="1953"/>
        <w:spacing w:after="0" w:line="312" w:lineRule="auto"/>
        <w:tabs>
          <w:tab w:leader="none" w:pos="2778"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142" w:lineRule="exact"/>
        <w:rPr>
          <w:rFonts w:ascii="Arial" w:cs="Arial" w:eastAsia="Arial" w:hAnsi="Arial"/>
          <w:sz w:val="16"/>
          <w:szCs w:val="16"/>
          <w:color w:val="auto"/>
        </w:rPr>
      </w:pPr>
    </w:p>
    <w:p>
      <w:pPr>
        <w:jc w:val="both"/>
        <w:ind w:firstLine="1305"/>
        <w:spacing w:after="0" w:line="286" w:lineRule="auto"/>
        <w:tabs>
          <w:tab w:leader="none" w:pos="1960" w:val="left"/>
        </w:tabs>
        <w:numPr>
          <w:ilvl w:val="0"/>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 for Buy-In on Failure to Timely Deliver Certificates Upon Exercise</w:t>
      </w:r>
      <w:r>
        <w:rPr>
          <w:rFonts w:ascii="Arial" w:cs="Arial" w:eastAsia="Arial" w:hAnsi="Arial"/>
          <w:sz w:val="16"/>
          <w:szCs w:val="16"/>
          <w:color w:val="auto"/>
        </w:rPr>
        <w:t>. In addition to any other rights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Registered Holder, if the 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jc w:val="both"/>
        <w:ind w:left="-656" w:firstLine="1305"/>
        <w:spacing w:after="0" w:line="284" w:lineRule="auto"/>
        <w:tabs>
          <w:tab w:leader="none" w:pos="865" w:val="left"/>
        </w:tabs>
        <w:numPr>
          <w:ilvl w:val="1"/>
          <w:numId w:val="16"/>
        </w:numPr>
        <w:rPr>
          <w:rFonts w:ascii="Arial" w:cs="Arial" w:eastAsia="Arial" w:hAnsi="Arial"/>
          <w:sz w:val="16"/>
          <w:szCs w:val="16"/>
          <w:color w:val="auto"/>
        </w:rPr>
      </w:pPr>
      <w:r>
        <w:rPr>
          <w:rFonts w:ascii="Arial" w:cs="Arial" w:eastAsia="Arial" w:hAnsi="Arial"/>
          <w:sz w:val="16"/>
          <w:szCs w:val="16"/>
          <w:b w:val="1"/>
          <w:bCs w:val="1"/>
          <w:u w:val="single" w:color="auto"/>
          <w:color w:val="auto"/>
        </w:rPr>
        <w:t>Registered Holder’s Exercise Limitations</w:t>
      </w:r>
      <w:r>
        <w:rPr>
          <w:rFonts w:ascii="Arial" w:cs="Arial" w:eastAsia="Arial" w:hAnsi="Arial"/>
          <w:sz w:val="16"/>
          <w:szCs w:val="16"/>
          <w:color w:val="auto"/>
        </w:rPr>
        <w:t>. The Company shall not effect any exercise of this Warrant, and a Registered Holder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have 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1(f) shall continue to apply. Any such increase or decrease will not be effective until the 61st day after such notice is delivered to the Company. The provisions of this paragraph shall be construed and implemented in a 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94" w:lineRule="exact"/>
        <w:rPr>
          <w:rFonts w:ascii="Arial" w:cs="Arial" w:eastAsia="Arial" w:hAnsi="Arial"/>
          <w:sz w:val="16"/>
          <w:szCs w:val="16"/>
          <w:color w:val="auto"/>
        </w:rPr>
      </w:pPr>
    </w:p>
    <w:p>
      <w:pPr>
        <w:ind w:left="684" w:hanging="684"/>
        <w:spacing w:after="0"/>
        <w:tabs>
          <w:tab w:leader="none" w:pos="684"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5"/>
        <w:spacing w:after="0" w:line="255"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Splits and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outstanding shares of the Company’s Common Stock shall be subdivided into a greater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or a 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77" w:right="239" w:bottom="1440" w:gutter="0" w:footer="0" w:header="0"/>
        </w:sectPr>
      </w:pPr>
    </w:p>
    <w:bookmarkStart w:id="46" w:name="page47"/>
    <w:bookmarkEnd w:id="46"/>
    <w:p>
      <w:pPr>
        <w:jc w:val="both"/>
        <w:ind w:left="-8" w:firstLine="1305"/>
        <w:spacing w:after="0" w:line="293" w:lineRule="auto"/>
        <w:tabs>
          <w:tab w:leader="none" w:pos="1975" w:val="left"/>
        </w:tabs>
        <w:numPr>
          <w:ilvl w:val="2"/>
          <w:numId w:val="18"/>
        </w:numPr>
        <w:rPr>
          <w:rFonts w:ascii="Arial" w:cs="Arial" w:eastAsia="Arial" w:hAnsi="Arial"/>
          <w:sz w:val="16"/>
          <w:szCs w:val="16"/>
          <w:color w:val="auto"/>
        </w:rPr>
      </w:pPr>
      <w:r>
        <w:rPr>
          <w:rFonts w:ascii="Arial" w:cs="Arial" w:eastAsia="Arial" w:hAnsi="Arial"/>
          <w:sz w:val="16"/>
          <w:szCs w:val="16"/>
          <w:b w:val="1"/>
          <w:bCs w:val="1"/>
          <w:u w:val="single" w:color="auto"/>
          <w:color w:val="auto"/>
        </w:rPr>
        <w:t>Fundamental Transaction</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at any time while this Warrant is outstanding, (i) the Company effects any merger or consolidation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with or into another person, (ii) the Company effects any sale of all or substantially all of its assets in one or a series of related transactions,</w:t>
      </w:r>
    </w:p>
    <w:p>
      <w:pPr>
        <w:spacing w:after="0" w:line="1" w:lineRule="exact"/>
        <w:rPr>
          <w:rFonts w:ascii="Arial" w:cs="Arial" w:eastAsia="Arial" w:hAnsi="Arial"/>
          <w:sz w:val="16"/>
          <w:szCs w:val="16"/>
          <w:color w:val="auto"/>
        </w:rPr>
      </w:pPr>
    </w:p>
    <w:p>
      <w:pPr>
        <w:jc w:val="both"/>
        <w:ind w:left="-8" w:firstLine="8"/>
        <w:spacing w:after="0" w:line="284" w:lineRule="auto"/>
        <w:tabs>
          <w:tab w:leader="none" w:pos="312"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386" w:lineRule="exact"/>
        <w:rPr>
          <w:rFonts w:ascii="Arial" w:cs="Arial" w:eastAsia="Arial" w:hAnsi="Arial"/>
          <w:sz w:val="16"/>
          <w:szCs w:val="16"/>
          <w:color w:val="auto"/>
        </w:rPr>
      </w:pPr>
    </w:p>
    <w:p>
      <w:pPr>
        <w:jc w:val="both"/>
        <w:ind w:left="-8" w:firstLine="1305"/>
        <w:spacing w:after="0" w:line="261" w:lineRule="auto"/>
        <w:tabs>
          <w:tab w:leader="none" w:pos="2168" w:val="left"/>
        </w:tabs>
        <w:numPr>
          <w:ilvl w:val="2"/>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any adjustment is required to be made in the Exercise Price pursuant to this Section 2,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180" w:lineRule="exact"/>
        <w:rPr>
          <w:rFonts w:ascii="Arial" w:cs="Arial" w:eastAsia="Arial" w:hAnsi="Arial"/>
          <w:sz w:val="18"/>
          <w:szCs w:val="18"/>
          <w:color w:val="auto"/>
        </w:rPr>
      </w:pPr>
    </w:p>
    <w:p>
      <w:pPr>
        <w:ind w:left="1332" w:hanging="684"/>
        <w:spacing w:after="0"/>
        <w:tabs>
          <w:tab w:leader="none" w:pos="1332" w:val="left"/>
        </w:tabs>
        <w:numPr>
          <w:ilvl w:val="1"/>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left="-8" w:firstLine="1305"/>
        <w:spacing w:after="0" w:line="258" w:lineRule="auto"/>
        <w:tabs>
          <w:tab w:leader="none" w:pos="1938" w:val="left"/>
        </w:tabs>
        <w:numPr>
          <w:ilvl w:val="2"/>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Unregistered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of this Warrant acknowledges that this Warrant has not been registered under the 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agrees not to sell, pledge, 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w:t>
      </w:r>
    </w:p>
    <w:p>
      <w:pPr>
        <w:spacing w:after="0" w:line="183" w:lineRule="exact"/>
        <w:rPr>
          <w:rFonts w:ascii="Arial" w:cs="Arial" w:eastAsia="Arial" w:hAnsi="Arial"/>
          <w:sz w:val="18"/>
          <w:szCs w:val="18"/>
          <w:color w:val="auto"/>
        </w:rPr>
      </w:pPr>
    </w:p>
    <w:p>
      <w:pPr>
        <w:jc w:val="both"/>
        <w:ind w:left="-8" w:firstLine="1305"/>
        <w:spacing w:after="0" w:line="289" w:lineRule="auto"/>
        <w:tabs>
          <w:tab w:leader="none" w:pos="1948" w:val="left"/>
        </w:tabs>
        <w:numPr>
          <w:ilvl w:val="2"/>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Section 3(a) hereof, this Warrant and all rights hereunder are transferable, in whole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part, to (i) 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at the principal office of the Company.</w:t>
      </w:r>
    </w:p>
    <w:p>
      <w:pPr>
        <w:spacing w:after="0" w:line="158" w:lineRule="exact"/>
        <w:rPr>
          <w:rFonts w:ascii="Arial" w:cs="Arial" w:eastAsia="Arial" w:hAnsi="Arial"/>
          <w:sz w:val="17"/>
          <w:szCs w:val="17"/>
          <w:color w:val="auto"/>
        </w:rPr>
      </w:pPr>
    </w:p>
    <w:p>
      <w:pPr>
        <w:jc w:val="both"/>
        <w:ind w:left="-8" w:firstLine="1305"/>
        <w:spacing w:after="0" w:line="277" w:lineRule="auto"/>
        <w:tabs>
          <w:tab w:leader="none" w:pos="2033" w:val="left"/>
        </w:tabs>
        <w:numPr>
          <w:ilvl w:val="2"/>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Warrant Register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maintain a register containing the names and addresses of the Registered Holders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Warrant. Until any transfer of this Warrant is made in the warrant register, the Company may treat the Registered Holder of this Warrant as the absolute owner hereof for all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393065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8" w:right="239" w:bottom="1440" w:gutter="0" w:footer="0" w:header="0"/>
        </w:sectPr>
      </w:pPr>
    </w:p>
    <w:bookmarkStart w:id="47" w:name="page48"/>
    <w:bookmarkEnd w:id="47"/>
    <w:p>
      <w:pPr>
        <w:ind w:left="1340" w:hanging="684"/>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56"/>
        <w:spacing w:after="0" w:line="272" w:lineRule="auto"/>
        <w:tabs>
          <w:tab w:leader="none" w:pos="1356"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Redemption of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may be redeemed, at the option of the Company, at any time after it becomes exercisable and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its expiration, at the office of the Company or, if appointed, the Company’s warrant agent, upon the notice referred to in Section 4(b) hereof, at the price of $0.01 per share underlying the Warrant (the “</w:t>
      </w:r>
      <w:r>
        <w:rPr>
          <w:rFonts w:ascii="Arial" w:cs="Arial" w:eastAsia="Arial" w:hAnsi="Arial"/>
          <w:sz w:val="17"/>
          <w:szCs w:val="17"/>
          <w:u w:val="single" w:color="auto"/>
          <w:color w:val="auto"/>
        </w:rPr>
        <w:t>Redemption Price</w:t>
      </w:r>
      <w:r>
        <w:rPr>
          <w:rFonts w:ascii="Arial" w:cs="Arial" w:eastAsia="Arial" w:hAnsi="Arial"/>
          <w:sz w:val="17"/>
          <w:szCs w:val="17"/>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 (ii) 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172" w:lineRule="exact"/>
        <w:rPr>
          <w:rFonts w:ascii="Arial" w:cs="Arial" w:eastAsia="Arial" w:hAnsi="Arial"/>
          <w:sz w:val="17"/>
          <w:szCs w:val="17"/>
          <w:color w:val="auto"/>
        </w:rPr>
      </w:pPr>
    </w:p>
    <w:p>
      <w:pPr>
        <w:jc w:val="both"/>
        <w:ind w:firstLine="656"/>
        <w:spacing w:after="0" w:line="303" w:lineRule="auto"/>
        <w:tabs>
          <w:tab w:leader="none" w:pos="1367" w:val="left"/>
        </w:tabs>
        <w:numPr>
          <w:ilvl w:val="0"/>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Date Fixed for, and Notice of, Redemption</w:t>
      </w:r>
      <w:r>
        <w:rPr>
          <w:rFonts w:ascii="Arial" w:cs="Arial" w:eastAsia="Arial" w:hAnsi="Arial"/>
          <w:sz w:val="16"/>
          <w:szCs w:val="16"/>
          <w:color w:val="auto"/>
        </w:rPr>
        <w:t>. In the event the Company shall elect to redeem the Warrant, the Company shall fix a date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redemption. Notice of 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51" w:lineRule="exact"/>
        <w:rPr>
          <w:rFonts w:ascii="Arial" w:cs="Arial" w:eastAsia="Arial" w:hAnsi="Arial"/>
          <w:sz w:val="16"/>
          <w:szCs w:val="16"/>
          <w:color w:val="auto"/>
        </w:rPr>
      </w:pPr>
    </w:p>
    <w:p>
      <w:pPr>
        <w:jc w:val="both"/>
        <w:ind w:firstLine="656"/>
        <w:spacing w:after="0" w:line="266" w:lineRule="auto"/>
        <w:tabs>
          <w:tab w:leader="none" w:pos="1573"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After Notice of Redemption</w:t>
      </w:r>
      <w:r>
        <w:rPr>
          <w:rFonts w:ascii="Arial" w:cs="Arial" w:eastAsia="Arial" w:hAnsi="Arial"/>
          <w:sz w:val="18"/>
          <w:szCs w:val="18"/>
          <w:color w:val="auto"/>
        </w:rPr>
        <w:t>. The Warrants may be exercised in accordance with this Warrant at any time after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shall have been given by the Company and prior to the time and date fixed for redemption. On and after the redemption date, the Registered Holder shall have no further rights except to receive, upon surrender of the Warrants, the Redemption Price.</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5</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r>
        <w:rPr>
          <w:rFonts w:ascii="Arial" w:cs="Arial" w:eastAsia="Arial" w:hAnsi="Arial"/>
          <w:sz w:val="18"/>
          <w:szCs w:val="18"/>
          <w:color w:val="auto"/>
        </w:rPr>
        <w:t xml:space="preserve"> This Warrant (and the right to purchase securities upon exercise hereof) shall terminate at 5:00 p.m., Eastern time, on the Expiration Date.</w:t>
      </w:r>
    </w:p>
    <w:p>
      <w:pPr>
        <w:spacing w:after="0" w:line="162" w:lineRule="exact"/>
        <w:rPr>
          <w:sz w:val="20"/>
          <w:szCs w:val="20"/>
          <w:color w:val="auto"/>
        </w:rPr>
      </w:pPr>
    </w:p>
    <w:p>
      <w:pPr>
        <w:ind w:left="1340" w:hanging="68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of Certain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case:</w:t>
      </w:r>
    </w:p>
    <w:p>
      <w:pPr>
        <w:spacing w:after="0" w:line="229" w:lineRule="exact"/>
        <w:rPr>
          <w:rFonts w:ascii="Arial" w:cs="Arial" w:eastAsia="Arial" w:hAnsi="Arial"/>
          <w:sz w:val="18"/>
          <w:szCs w:val="18"/>
          <w:color w:val="auto"/>
        </w:rPr>
      </w:pPr>
    </w:p>
    <w:p>
      <w:pPr>
        <w:jc w:val="both"/>
        <w:ind w:firstLine="1305"/>
        <w:spacing w:after="0" w:line="259" w:lineRule="auto"/>
        <w:tabs>
          <w:tab w:leader="none" w:pos="2004"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to subscribe for or purchase any shares of stock of any class or any other securities, or to receive any other right, or</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956" w:val="left"/>
        </w:tabs>
        <w:numPr>
          <w:ilvl w:val="1"/>
          <w:numId w:val="23"/>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of any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8" w:name="page49"/>
    <w:bookmarkEnd w:id="48"/>
    <w:p>
      <w:pPr>
        <w:jc w:val="both"/>
        <w:spacing w:after="0" w:line="273" w:lineRule="auto"/>
        <w:rPr>
          <w:sz w:val="20"/>
          <w:szCs w:val="20"/>
          <w:color w:val="auto"/>
        </w:rPr>
      </w:pPr>
      <w:r>
        <w:rPr>
          <w:rFonts w:ascii="Arial" w:cs="Arial" w:eastAsia="Arial" w:hAnsi="Arial"/>
          <w:sz w:val="17"/>
          <w:szCs w:val="17"/>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174" w:lineRule="exact"/>
        <w:rPr>
          <w:sz w:val="20"/>
          <w:szCs w:val="20"/>
          <w:color w:val="auto"/>
        </w:rPr>
      </w:pPr>
    </w:p>
    <w:p>
      <w:pPr>
        <w:jc w:val="both"/>
        <w:ind w:firstLine="656"/>
        <w:spacing w:after="0" w:line="271" w:lineRule="auto"/>
        <w:tabs>
          <w:tab w:leader="none" w:pos="1301"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Reservation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covenants that at all times it will have authorized, reserve and keep available, solely for the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and delivery 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174" w:lineRule="exact"/>
        <w:rPr>
          <w:rFonts w:ascii="Arial" w:cs="Arial" w:eastAsia="Arial" w:hAnsi="Arial"/>
          <w:sz w:val="17"/>
          <w:szCs w:val="17"/>
          <w:color w:val="auto"/>
        </w:rPr>
      </w:pPr>
    </w:p>
    <w:p>
      <w:pPr>
        <w:jc w:val="both"/>
        <w:ind w:firstLine="656"/>
        <w:spacing w:after="0" w:line="261" w:lineRule="auto"/>
        <w:tabs>
          <w:tab w:leader="none" w:pos="1274"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Replacement of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Upon receipt of evidence reasonably satisfactory to the Company of the loss, theft, destruction or mutilation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80" w:lineRule="exact"/>
        <w:rPr>
          <w:rFonts w:ascii="Arial" w:cs="Arial" w:eastAsia="Arial" w:hAnsi="Arial"/>
          <w:sz w:val="18"/>
          <w:szCs w:val="18"/>
          <w:color w:val="auto"/>
        </w:rPr>
      </w:pPr>
    </w:p>
    <w:p>
      <w:pPr>
        <w:jc w:val="both"/>
        <w:ind w:firstLine="656"/>
        <w:spacing w:after="0" w:line="258" w:lineRule="auto"/>
        <w:tabs>
          <w:tab w:leader="none" w:pos="1301"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by this Warrant shall be in writing and shall be deemed duly given upon receipt, when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by courier, overnight delivery service or confirmed facsimile, or 48 hours after being deposited in the regular mail as certified or registered mail (airmail if sent internationally) with postage prepaid, addressed (a) if to the Registered Holder, to the address of the Registered Holder most recently furnished in writing to the Company and (b) if to the Company, to the address set forth on the signature page of this Warrant or as subsequently modified by written notice to the Registered Holder.</w:t>
      </w:r>
    </w:p>
    <w:p>
      <w:pPr>
        <w:spacing w:after="0" w:line="183" w:lineRule="exact"/>
        <w:rPr>
          <w:rFonts w:ascii="Arial" w:cs="Arial" w:eastAsia="Arial" w:hAnsi="Arial"/>
          <w:sz w:val="18"/>
          <w:szCs w:val="18"/>
          <w:color w:val="auto"/>
        </w:rPr>
      </w:pPr>
    </w:p>
    <w:p>
      <w:pPr>
        <w:ind w:firstLine="656"/>
        <w:spacing w:after="0" w:line="282" w:lineRule="auto"/>
        <w:tabs>
          <w:tab w:leader="none" w:pos="1292"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exercise of this Warrant, the Registered Holder of this Warrant shall not have or exercise any rights by</w:t>
      </w:r>
      <w:r>
        <w:rPr>
          <w:rFonts w:ascii="Arial" w:cs="Arial" w:eastAsia="Arial" w:hAnsi="Arial"/>
          <w:sz w:val="18"/>
          <w:szCs w:val="18"/>
          <w:b w:val="1"/>
          <w:bCs w:val="1"/>
          <w:color w:val="auto"/>
        </w:rPr>
        <w:t xml:space="preserve"> </w:t>
      </w:r>
      <w:r>
        <w:rPr>
          <w:rFonts w:ascii="Arial" w:cs="Arial" w:eastAsia="Arial" w:hAnsi="Arial"/>
          <w:sz w:val="18"/>
          <w:szCs w:val="18"/>
          <w:color w:val="auto"/>
        </w:rPr>
        <w:t>virtue hereof as a stockholder of the Company.</w:t>
      </w:r>
    </w:p>
    <w:p>
      <w:pPr>
        <w:spacing w:after="0" w:line="161" w:lineRule="exact"/>
        <w:rPr>
          <w:rFonts w:ascii="Arial" w:cs="Arial" w:eastAsia="Arial" w:hAnsi="Arial"/>
          <w:sz w:val="18"/>
          <w:szCs w:val="18"/>
          <w:color w:val="auto"/>
        </w:rPr>
      </w:pPr>
    </w:p>
    <w:p>
      <w:pPr>
        <w:ind w:firstLine="656"/>
        <w:spacing w:after="0" w:line="313" w:lineRule="auto"/>
        <w:tabs>
          <w:tab w:leader="none" w:pos="1393"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No Fractional Shares</w:t>
      </w:r>
      <w:r>
        <w:rPr>
          <w:rFonts w:ascii="Arial" w:cs="Arial" w:eastAsia="Arial" w:hAnsi="Arial"/>
          <w:sz w:val="17"/>
          <w:szCs w:val="17"/>
          <w:b w:val="1"/>
          <w:bCs w:val="1"/>
          <w:color w:val="auto"/>
        </w:rPr>
        <w:t xml:space="preserve">. </w:t>
      </w:r>
      <w:r>
        <w:rPr>
          <w:rFonts w:ascii="Arial" w:cs="Arial" w:eastAsia="Arial" w:hAnsi="Arial"/>
          <w:sz w:val="17"/>
          <w:szCs w:val="17"/>
          <w:color w:val="auto"/>
        </w:rPr>
        <w:t>No fractional shares of Common Stock will be issued in connection with any exercise hereunder. In lieu of any</w:t>
      </w:r>
      <w:r>
        <w:rPr>
          <w:rFonts w:ascii="Arial" w:cs="Arial" w:eastAsia="Arial" w:hAnsi="Arial"/>
          <w:sz w:val="17"/>
          <w:szCs w:val="17"/>
          <w:b w:val="1"/>
          <w:bCs w:val="1"/>
          <w:color w:val="auto"/>
        </w:rPr>
        <w:t xml:space="preserve"> </w:t>
      </w:r>
      <w:r>
        <w:rPr>
          <w:rFonts w:ascii="Arial" w:cs="Arial" w:eastAsia="Arial" w:hAnsi="Arial"/>
          <w:sz w:val="17"/>
          <w:szCs w:val="17"/>
          <w:color w:val="auto"/>
        </w:rPr>
        <w:t>fractional shares which would otherwise be issuable, the Company shall round the amount of Warrant Stock issuable to the nearest whole share.</w:t>
      </w:r>
    </w:p>
    <w:p>
      <w:pPr>
        <w:spacing w:after="0" w:line="138" w:lineRule="exact"/>
        <w:rPr>
          <w:rFonts w:ascii="Arial" w:cs="Arial" w:eastAsia="Arial" w:hAnsi="Arial"/>
          <w:sz w:val="17"/>
          <w:szCs w:val="17"/>
          <w:color w:val="auto"/>
        </w:rPr>
      </w:pPr>
    </w:p>
    <w:p>
      <w:pPr>
        <w:ind w:left="1360" w:hanging="704"/>
        <w:spacing w:after="0"/>
        <w:tabs>
          <w:tab w:leader="none" w:pos="1360"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or Waiver</w:t>
      </w:r>
      <w:r>
        <w:rPr>
          <w:rFonts w:ascii="Arial" w:cs="Arial" w:eastAsia="Arial" w:hAnsi="Arial"/>
          <w:sz w:val="16"/>
          <w:szCs w:val="16"/>
          <w:b w:val="1"/>
          <w:bCs w:val="1"/>
          <w:color w:val="auto"/>
        </w:rPr>
        <w:t xml:space="preserve">. </w:t>
      </w:r>
      <w:r>
        <w:rPr>
          <w:rFonts w:ascii="Arial" w:cs="Arial" w:eastAsia="Arial" w:hAnsi="Arial"/>
          <w:sz w:val="16"/>
          <w:szCs w:val="16"/>
          <w:color w:val="auto"/>
        </w:rPr>
        <w:t>Any term of this Warrant may be amended or waived upon written consent of the Company and the Registered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206" w:lineRule="exact"/>
        <w:rPr>
          <w:rFonts w:ascii="Arial" w:cs="Arial" w:eastAsia="Arial" w:hAnsi="Arial"/>
          <w:sz w:val="16"/>
          <w:szCs w:val="16"/>
          <w:color w:val="auto"/>
        </w:rPr>
      </w:pPr>
    </w:p>
    <w:p>
      <w:pPr>
        <w:ind w:firstLine="656"/>
        <w:spacing w:after="0" w:line="282" w:lineRule="auto"/>
        <w:tabs>
          <w:tab w:leader="none" w:pos="1440"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in this Warrant are for purposes of reference only and shall not limit or otherwise affect the meaning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49" w:name="page50"/>
    <w:bookmarkEnd w:id="49"/>
    <w:p>
      <w:pPr>
        <w:ind w:firstLine="656"/>
        <w:spacing w:after="0" w:line="313" w:lineRule="auto"/>
        <w:tabs>
          <w:tab w:leader="none" w:pos="1476" w:val="left"/>
        </w:tabs>
        <w:numPr>
          <w:ilvl w:val="1"/>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and all acts and transactions pursuant hereto and the rights and obligations of the parties hereto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construed and interpreted in accordance with the laws of the State of New York, without giving effect to principles of conflicts of law.</w:t>
      </w:r>
    </w:p>
    <w:p>
      <w:pPr>
        <w:spacing w:after="0" w:line="138" w:lineRule="exact"/>
        <w:rPr>
          <w:rFonts w:ascii="Arial" w:cs="Arial" w:eastAsia="Arial" w:hAnsi="Arial"/>
          <w:sz w:val="17"/>
          <w:szCs w:val="17"/>
          <w:color w:val="auto"/>
        </w:rPr>
      </w:pPr>
    </w:p>
    <w:p>
      <w:pPr>
        <w:ind w:firstLine="656"/>
        <w:spacing w:after="0" w:line="282" w:lineRule="auto"/>
        <w:tabs>
          <w:tab w:leader="none" w:pos="1503" w:val="left"/>
        </w:tabs>
        <w:numPr>
          <w:ilvl w:val="1"/>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Covenants of the Registered 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has been entered into by the Company in reliance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representations and covenants of the Registered Holder:</w:t>
      </w:r>
    </w:p>
    <w:p>
      <w:pPr>
        <w:spacing w:after="0" w:line="161" w:lineRule="exact"/>
        <w:rPr>
          <w:rFonts w:ascii="Arial" w:cs="Arial" w:eastAsia="Arial" w:hAnsi="Arial"/>
          <w:sz w:val="18"/>
          <w:szCs w:val="18"/>
          <w:color w:val="auto"/>
        </w:rPr>
      </w:pPr>
    </w:p>
    <w:p>
      <w:pPr>
        <w:ind w:firstLine="1386"/>
        <w:spacing w:after="0" w:line="313" w:lineRule="auto"/>
        <w:tabs>
          <w:tab w:leader="none" w:pos="2230" w:val="left"/>
        </w:tabs>
        <w:numPr>
          <w:ilvl w:val="2"/>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Investment Purpose</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is acquiring the Warrant and the Warrant Stock issuable upon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 for its own account, not as a nominee or agent and with no present intention of selling or otherwise distributing any part thereof.</w:t>
      </w:r>
    </w:p>
    <w:p>
      <w:pPr>
        <w:spacing w:after="0" w:line="138" w:lineRule="exact"/>
        <w:rPr>
          <w:rFonts w:ascii="Arial" w:cs="Arial" w:eastAsia="Arial" w:hAnsi="Arial"/>
          <w:sz w:val="17"/>
          <w:szCs w:val="17"/>
          <w:color w:val="auto"/>
        </w:rPr>
      </w:pPr>
    </w:p>
    <w:p>
      <w:pPr>
        <w:jc w:val="both"/>
        <w:ind w:firstLine="1386"/>
        <w:spacing w:after="0" w:line="261" w:lineRule="auto"/>
        <w:tabs>
          <w:tab w:leader="none" w:pos="2186" w:val="left"/>
        </w:tabs>
        <w:numPr>
          <w:ilvl w:val="2"/>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Private Issue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understands: (i) that the Warrant is not registered under the Securities Act or qualified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15.</w:t>
      </w:r>
    </w:p>
    <w:p>
      <w:pPr>
        <w:spacing w:after="0" w:line="180" w:lineRule="exact"/>
        <w:rPr>
          <w:rFonts w:ascii="Arial" w:cs="Arial" w:eastAsia="Arial" w:hAnsi="Arial"/>
          <w:sz w:val="18"/>
          <w:szCs w:val="18"/>
          <w:color w:val="auto"/>
        </w:rPr>
      </w:pPr>
    </w:p>
    <w:p>
      <w:pPr>
        <w:jc w:val="both"/>
        <w:ind w:firstLine="1386"/>
        <w:spacing w:after="0" w:line="289" w:lineRule="auto"/>
        <w:tabs>
          <w:tab w:leader="none" w:pos="2162" w:val="left"/>
        </w:tabs>
        <w:numPr>
          <w:ilvl w:val="2"/>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Registered Holder’s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will the Registered Holder make a disposition of the Warrant or the</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Stock 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w:t>
      </w:r>
    </w:p>
    <w:p>
      <w:pPr>
        <w:spacing w:after="0" w:line="1" w:lineRule="exact"/>
        <w:rPr>
          <w:rFonts w:ascii="Arial" w:cs="Arial" w:eastAsia="Arial" w:hAnsi="Arial"/>
          <w:sz w:val="16"/>
          <w:szCs w:val="16"/>
          <w:color w:val="auto"/>
        </w:rPr>
      </w:pPr>
    </w:p>
    <w:p>
      <w:pPr>
        <w:jc w:val="both"/>
        <w:ind w:firstLine="8"/>
        <w:spacing w:after="0" w:line="254" w:lineRule="auto"/>
        <w:tabs>
          <w:tab w:leader="none" w:pos="2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185" w:lineRule="exact"/>
        <w:rPr>
          <w:rFonts w:ascii="Arial" w:cs="Arial" w:eastAsia="Arial" w:hAnsi="Arial"/>
          <w:sz w:val="18"/>
          <w:szCs w:val="18"/>
          <w:color w:val="auto"/>
        </w:rPr>
      </w:pPr>
    </w:p>
    <w:p>
      <w:pPr>
        <w:ind w:firstLine="1386"/>
        <w:spacing w:after="0" w:line="282" w:lineRule="auto"/>
        <w:tabs>
          <w:tab w:leader="none" w:pos="2064" w:val="left"/>
        </w:tabs>
        <w:numPr>
          <w:ilvl w:val="2"/>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Risk</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has such business and financial experience as is required to give it the capacity to protect</w:t>
      </w:r>
      <w:r>
        <w:rPr>
          <w:rFonts w:ascii="Arial" w:cs="Arial" w:eastAsia="Arial" w:hAnsi="Arial"/>
          <w:sz w:val="18"/>
          <w:szCs w:val="18"/>
          <w:b w:val="1"/>
          <w:bCs w:val="1"/>
          <w:color w:val="auto"/>
        </w:rPr>
        <w:t xml:space="preserve"> </w:t>
      </w:r>
      <w:r>
        <w:rPr>
          <w:rFonts w:ascii="Arial" w:cs="Arial" w:eastAsia="Arial" w:hAnsi="Arial"/>
          <w:sz w:val="18"/>
          <w:szCs w:val="18"/>
          <w:color w:val="auto"/>
        </w:rPr>
        <w:t>its own interests in connection with its investment.</w:t>
      </w:r>
    </w:p>
    <w:p>
      <w:pPr>
        <w:spacing w:after="0" w:line="161" w:lineRule="exact"/>
        <w:rPr>
          <w:rFonts w:ascii="Arial" w:cs="Arial" w:eastAsia="Arial" w:hAnsi="Arial"/>
          <w:sz w:val="18"/>
          <w:szCs w:val="18"/>
          <w:color w:val="auto"/>
        </w:rPr>
      </w:pPr>
    </w:p>
    <w:p>
      <w:pPr>
        <w:ind w:left="2140" w:hanging="754"/>
        <w:spacing w:after="0"/>
        <w:tabs>
          <w:tab w:leader="none" w:pos="2140" w:val="left"/>
        </w:tabs>
        <w:numPr>
          <w:ilvl w:val="2"/>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Accredited Investor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Registered Holder is an “accredited investor” as defined by Rule 501 of Regulation D promulgated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the Securities Act.</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IN WITNESS WHEREOF, the parties have executed this Warrant as of the date first above written.</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424815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882"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EXERCISE FORM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hereby irrevocably elects to exercise the within Warrant to the extent of purchasing ______ shares of Common Stock of Vringo, Inc.,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Delaware corporation, and hereby makes payment of $___________ in payment therefore (if a cashless exercise, insert “cashless”), all in accordance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and conditions of the Warrant dated ________,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joint holder (if applicable): 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INSTRUCTIONS FOR ISSUANCE OF STOCK</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(if other than to the registered holder of the within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Taxpayer Identification Number of Recipient: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_____________________ hereby sells, assigns and transfers unto _______________________ the right to purchase Common</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of Vringo, Inc., a Delaware corporation, represented by this Warrant to the extent of shares as to which such right is exercisable and does hereby irrevocably constitute and appoint ______________________, Attorney, to transfer the same on the books of the Company with full power of substitution in the premises.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127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6277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53" w:name="page54"/>
    <w:bookmarkEnd w:id="53"/>
    <w:p>
      <w:pPr>
        <w:jc w:val="both"/>
        <w:spacing w:after="0" w:line="255"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3"/>
          </w:tcPr>
          <w:p>
            <w:pPr>
              <w:spacing w:after="0"/>
              <w:rPr>
                <w:sz w:val="20"/>
                <w:szCs w:val="20"/>
                <w:color w:val="auto"/>
              </w:rPr>
            </w:pPr>
            <w:r>
              <w:rPr>
                <w:rFonts w:ascii="Arial" w:cs="Arial" w:eastAsia="Arial" w:hAnsi="Arial"/>
                <w:sz w:val="18"/>
                <w:szCs w:val="18"/>
                <w:color w:val="auto"/>
              </w:rPr>
              <w:t>Warrant No. W-___</w:t>
            </w:r>
          </w:p>
        </w:tc>
        <w:tc>
          <w:tcPr>
            <w:tcW w:w="1900" w:type="dxa"/>
            <w:vAlign w:val="bottom"/>
          </w:tcPr>
          <w:p>
            <w:pPr>
              <w:spacing w:after="0"/>
              <w:rPr>
                <w:sz w:val="20"/>
                <w:szCs w:val="20"/>
                <w:color w:val="auto"/>
              </w:rPr>
            </w:pPr>
          </w:p>
        </w:tc>
        <w:tc>
          <w:tcPr>
            <w:tcW w:w="3600" w:type="dxa"/>
            <w:vAlign w:val="bottom"/>
          </w:tcPr>
          <w:p>
            <w:pPr>
              <w:ind w:left="1120"/>
              <w:spacing w:after="0"/>
              <w:rPr>
                <w:sz w:val="20"/>
                <w:szCs w:val="20"/>
                <w:color w:val="auto"/>
              </w:rPr>
            </w:pPr>
            <w:r>
              <w:rPr>
                <w:rFonts w:ascii="Arial" w:cs="Arial" w:eastAsia="Arial" w:hAnsi="Arial"/>
                <w:sz w:val="18"/>
                <w:szCs w:val="18"/>
                <w:color w:val="auto"/>
                <w:w w:val="89"/>
              </w:rPr>
              <w:t>Number of Shares: ____________</w:t>
            </w:r>
          </w:p>
        </w:tc>
      </w:tr>
      <w:tr>
        <w:trPr>
          <w:trHeight w:val="392"/>
        </w:trPr>
        <w:tc>
          <w:tcPr>
            <w:tcW w:w="4760" w:type="dxa"/>
            <w:vAlign w:val="bottom"/>
            <w:gridSpan w:val="3"/>
          </w:tcPr>
          <w:p>
            <w:pPr>
              <w:spacing w:after="0"/>
              <w:rPr>
                <w:sz w:val="20"/>
                <w:szCs w:val="20"/>
                <w:color w:val="auto"/>
              </w:rPr>
            </w:pPr>
            <w:r>
              <w:rPr>
                <w:rFonts w:ascii="Arial" w:cs="Arial" w:eastAsia="Arial" w:hAnsi="Arial"/>
                <w:sz w:val="18"/>
                <w:szCs w:val="18"/>
                <w:color w:val="auto"/>
              </w:rPr>
              <w:t>Date of Issuance: February 6, 2012 (“Issuance Date”)</w:t>
            </w:r>
          </w:p>
        </w:tc>
        <w:tc>
          <w:tcPr>
            <w:tcW w:w="19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3"/>
        </w:trPr>
        <w:tc>
          <w:tcPr>
            <w:tcW w:w="27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5500" w:type="dxa"/>
            <w:vAlign w:val="bottom"/>
            <w:gridSpan w:val="2"/>
          </w:tcPr>
          <w:p>
            <w:pPr>
              <w:jc w:val="center"/>
              <w:ind w:right="3490"/>
              <w:spacing w:after="0"/>
              <w:rPr>
                <w:sz w:val="20"/>
                <w:szCs w:val="20"/>
                <w:color w:val="auto"/>
              </w:rPr>
            </w:pPr>
            <w:r>
              <w:rPr>
                <w:rFonts w:ascii="Arial" w:cs="Arial" w:eastAsia="Arial" w:hAnsi="Arial"/>
                <w:sz w:val="18"/>
                <w:szCs w:val="18"/>
                <w:b w:val="1"/>
                <w:bCs w:val="1"/>
                <w:color w:val="auto"/>
              </w:rPr>
              <w:t>VRINGO, INC.</w:t>
            </w:r>
          </w:p>
        </w:tc>
      </w:tr>
      <w:tr>
        <w:trPr>
          <w:trHeight w:val="392"/>
        </w:trPr>
        <w:tc>
          <w:tcPr>
            <w:tcW w:w="2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00" w:type="dxa"/>
            <w:vAlign w:val="bottom"/>
            <w:gridSpan w:val="2"/>
          </w:tcPr>
          <w:p>
            <w:pPr>
              <w:jc w:val="center"/>
              <w:ind w:right="3510"/>
              <w:spacing w:after="0"/>
              <w:rPr>
                <w:sz w:val="20"/>
                <w:szCs w:val="20"/>
                <w:color w:val="auto"/>
              </w:rPr>
            </w:pPr>
            <w:r>
              <w:rPr>
                <w:rFonts w:ascii="Arial" w:cs="Arial" w:eastAsia="Arial" w:hAnsi="Arial"/>
                <w:sz w:val="18"/>
                <w:szCs w:val="18"/>
                <w:b w:val="1"/>
                <w:bCs w:val="1"/>
                <w:color w:val="auto"/>
                <w:w w:val="92"/>
              </w:rPr>
              <w:t>Common Stock Warrant</w:t>
            </w:r>
          </w:p>
        </w:tc>
      </w:tr>
      <w:tr>
        <w:trPr>
          <w:trHeight w:val="20"/>
        </w:trPr>
        <w:tc>
          <w:tcPr>
            <w:tcW w:w="2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Vringo, Inc. </w:t>
      </w:r>
      <w:r>
        <w:rPr>
          <w:rFonts w:ascii="Arial" w:cs="Arial" w:eastAsia="Arial" w:hAnsi="Arial"/>
          <w:sz w:val="17"/>
          <w:szCs w:val="17"/>
          <w:color w:val="auto"/>
        </w:rPr>
        <w:t>(the “</w:t>
      </w:r>
      <w:r>
        <w:rPr>
          <w:rFonts w:ascii="Arial" w:cs="Arial" w:eastAsia="Arial" w:hAnsi="Arial"/>
          <w:sz w:val="17"/>
          <w:szCs w:val="17"/>
          <w:u w:val="single" w:color="auto"/>
          <w:color w:val="auto"/>
        </w:rPr>
        <w:t>Company</w:t>
      </w:r>
      <w:r>
        <w:rPr>
          <w:rFonts w:ascii="Arial" w:cs="Arial" w:eastAsia="Arial" w:hAnsi="Arial"/>
          <w:sz w:val="17"/>
          <w:szCs w:val="17"/>
          <w:color w:val="auto"/>
        </w:rPr>
        <w:t>”), for value received, hereby certifies that ________, or its registered assigns (the “</w:t>
      </w:r>
      <w:r>
        <w:rPr>
          <w:rFonts w:ascii="Arial" w:cs="Arial" w:eastAsia="Arial" w:hAnsi="Arial"/>
          <w:sz w:val="17"/>
          <w:szCs w:val="17"/>
          <w:u w:val="single" w:color="auto"/>
          <w:color w:val="auto"/>
        </w:rPr>
        <w:t>Registered Holder</w:t>
      </w:r>
      <w:r>
        <w:rPr>
          <w:rFonts w:ascii="Arial" w:cs="Arial" w:eastAsia="Arial" w:hAnsi="Arial"/>
          <w:sz w:val="17"/>
          <w:szCs w:val="17"/>
          <w:color w:val="auto"/>
        </w:rPr>
        <w:t>”), is entitled,</w:t>
      </w:r>
    </w:p>
    <w:p>
      <w:pPr>
        <w:spacing w:after="0" w:line="3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subject to the terms of this Common Stock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set forth below, to purchase from the Company, at any time after the date hereof and on or before February 6, 2017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up to ________ (_______) shares of common stock of the Company (the “</w:t>
      </w:r>
      <w:r>
        <w:rPr>
          <w:rFonts w:ascii="Arial" w:cs="Arial" w:eastAsia="Arial" w:hAnsi="Arial"/>
          <w:sz w:val="16"/>
          <w:szCs w:val="16"/>
          <w:u w:val="single" w:color="auto"/>
          <w:color w:val="auto"/>
        </w:rPr>
        <w:t>Warrant Stock</w:t>
      </w:r>
      <w:r>
        <w:rPr>
          <w:rFonts w:ascii="Arial" w:cs="Arial" w:eastAsia="Arial" w:hAnsi="Arial"/>
          <w:sz w:val="16"/>
          <w:szCs w:val="16"/>
          <w:color w:val="auto"/>
        </w:rPr>
        <w:t>”), par value $0.01</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at a per share exercise price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equal to One Dollar and Seventy-Six Cents ($1.76) per share (subject to adjustment as set forth in Section 2).</w:t>
      </w:r>
    </w:p>
    <w:p>
      <w:pPr>
        <w:spacing w:after="0" w:line="180" w:lineRule="exact"/>
        <w:rPr>
          <w:sz w:val="20"/>
          <w:szCs w:val="20"/>
          <w:color w:val="auto"/>
        </w:rPr>
      </w:pPr>
    </w:p>
    <w:p>
      <w:pPr>
        <w:ind w:left="1340" w:hanging="684"/>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8" w:lineRule="auto"/>
        <w:tabs>
          <w:tab w:leader="none" w:pos="2162" w:val="left"/>
        </w:tabs>
        <w:numPr>
          <w:ilvl w:val="1"/>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Exercise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may be exercised by the Registered Holder, in whole or in part, by delivering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appended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duly executed by such Registered Holder (the “</w:t>
      </w:r>
      <w:r>
        <w:rPr>
          <w:rFonts w:ascii="Arial" w:cs="Arial" w:eastAsia="Arial" w:hAnsi="Arial"/>
          <w:sz w:val="18"/>
          <w:szCs w:val="18"/>
          <w:u w:val="single" w:color="auto"/>
          <w:color w:val="auto"/>
        </w:rPr>
        <w:t>Exercise Notice</w:t>
      </w:r>
      <w:r>
        <w:rPr>
          <w:rFonts w:ascii="Arial" w:cs="Arial" w:eastAsia="Arial" w:hAnsi="Arial"/>
          <w:sz w:val="18"/>
          <w:szCs w:val="18"/>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w:t>
      </w:r>
    </w:p>
    <w:p>
      <w:pPr>
        <w:spacing w:after="0" w:line="183" w:lineRule="exact"/>
        <w:rPr>
          <w:rFonts w:ascii="Arial" w:cs="Arial" w:eastAsia="Arial" w:hAnsi="Arial"/>
          <w:sz w:val="18"/>
          <w:szCs w:val="18"/>
          <w:color w:val="auto"/>
        </w:rPr>
      </w:pPr>
    </w:p>
    <w:p>
      <w:pPr>
        <w:jc w:val="both"/>
        <w:ind w:firstLine="1305"/>
        <w:spacing w:after="0" w:line="281" w:lineRule="auto"/>
        <w:tabs>
          <w:tab w:leader="none" w:pos="1970" w:val="left"/>
        </w:tabs>
        <w:numPr>
          <w:ilvl w:val="1"/>
          <w:numId w:val="27"/>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 Time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Each exercise of this Warrant shall be deemed to have been effected immediately prior to the close of</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on the day on which the Exercise Notice has been delivered to the Company (the “</w:t>
      </w:r>
      <w:r>
        <w:rPr>
          <w:rFonts w:ascii="Arial" w:cs="Arial" w:eastAsia="Arial" w:hAnsi="Arial"/>
          <w:sz w:val="17"/>
          <w:szCs w:val="17"/>
          <w:u w:val="single" w:color="auto"/>
          <w:color w:val="auto"/>
        </w:rPr>
        <w:t>Exercise Date</w:t>
      </w:r>
      <w:r>
        <w:rPr>
          <w:rFonts w:ascii="Arial" w:cs="Arial" w:eastAsia="Arial" w:hAnsi="Arial"/>
          <w:sz w:val="17"/>
          <w:szCs w:val="17"/>
          <w:color w:val="auto"/>
        </w:rPr>
        <w:t>”) as provided in this Section 1. At such time, the person or persons in whose name or names any certificates for Warrant Stock shall be issuable upon such exercise as provided in Section 1(c) below shall be deemed to have become the holder or holders of record of the Warrant Stock represented by such certificates.</w:t>
      </w:r>
    </w:p>
    <w:p>
      <w:pPr>
        <w:spacing w:after="0" w:line="164" w:lineRule="exact"/>
        <w:rPr>
          <w:rFonts w:ascii="Arial" w:cs="Arial" w:eastAsia="Arial" w:hAnsi="Arial"/>
          <w:sz w:val="17"/>
          <w:szCs w:val="17"/>
          <w:color w:val="auto"/>
        </w:rPr>
      </w:pPr>
    </w:p>
    <w:p>
      <w:pPr>
        <w:jc w:val="both"/>
        <w:ind w:firstLine="1305"/>
        <w:spacing w:after="0" w:line="289" w:lineRule="auto"/>
        <w:tabs>
          <w:tab w:leader="none" w:pos="1973" w:val="left"/>
        </w:tabs>
        <w:numPr>
          <w:ilvl w:val="1"/>
          <w:numId w:val="27"/>
        </w:numPr>
        <w:rPr>
          <w:rFonts w:ascii="Arial" w:cs="Arial" w:eastAsia="Arial" w:hAnsi="Arial"/>
          <w:sz w:val="17"/>
          <w:szCs w:val="17"/>
          <w:color w:val="auto"/>
        </w:rPr>
      </w:pPr>
      <w:r>
        <w:rPr>
          <w:rFonts w:ascii="Arial" w:cs="Arial" w:eastAsia="Arial" w:hAnsi="Arial"/>
          <w:sz w:val="17"/>
          <w:szCs w:val="17"/>
          <w:b w:val="1"/>
          <w:bCs w:val="1"/>
          <w:u w:val="single" w:color="auto"/>
          <w:color w:val="auto"/>
        </w:rPr>
        <w:t>Delivery to Holder</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the exercise of this Warrant in whole or in part, and in any event within three (3)</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days thereafter (the “</w:t>
      </w:r>
      <w:r>
        <w:rPr>
          <w:rFonts w:ascii="Arial" w:cs="Arial" w:eastAsia="Arial" w:hAnsi="Arial"/>
          <w:sz w:val="17"/>
          <w:szCs w:val="17"/>
          <w:u w:val="single" w:color="auto"/>
          <w:color w:val="auto"/>
        </w:rPr>
        <w:t>Warrant Stock Delivery Date</w:t>
      </w:r>
      <w:r>
        <w:rPr>
          <w:rFonts w:ascii="Arial" w:cs="Arial" w:eastAsia="Arial" w:hAnsi="Arial"/>
          <w:sz w:val="17"/>
          <w:szCs w:val="17"/>
          <w:color w:val="auto"/>
        </w:rPr>
        <w:t>”), the Company will cause to be issued in the name of, and delivered to, the Registered Holder, or as such Registered Holder (upon payment by such Registered Holder of any applicable transfer taxes) may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left="2660" w:hanging="707"/>
        <w:spacing w:after="0"/>
        <w:tabs>
          <w:tab w:leader="none" w:pos="2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certificate or certificates for the number of shares of Warrant Stock to which such Registered Holder shall be entitled,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both"/>
        <w:ind w:firstLine="1953"/>
        <w:spacing w:after="0" w:line="312" w:lineRule="auto"/>
        <w:tabs>
          <w:tab w:leader="none" w:pos="2778" w:val="left"/>
        </w:tabs>
        <w:numPr>
          <w:ilvl w:val="1"/>
          <w:numId w:val="29"/>
        </w:numPr>
        <w:rPr>
          <w:rFonts w:ascii="Arial" w:cs="Arial" w:eastAsia="Arial" w:hAnsi="Arial"/>
          <w:sz w:val="16"/>
          <w:szCs w:val="16"/>
          <w:color w:val="auto"/>
        </w:rPr>
      </w:pPr>
      <w:r>
        <w:rPr>
          <w:rFonts w:ascii="Arial" w:cs="Arial" w:eastAsia="Arial" w:hAnsi="Arial"/>
          <w:sz w:val="16"/>
          <w:szCs w:val="16"/>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142" w:lineRule="exact"/>
        <w:rPr>
          <w:rFonts w:ascii="Arial" w:cs="Arial" w:eastAsia="Arial" w:hAnsi="Arial"/>
          <w:sz w:val="16"/>
          <w:szCs w:val="16"/>
          <w:color w:val="auto"/>
        </w:rPr>
      </w:pPr>
    </w:p>
    <w:p>
      <w:pPr>
        <w:jc w:val="both"/>
        <w:ind w:firstLine="1305"/>
        <w:spacing w:after="0" w:line="286" w:lineRule="auto"/>
        <w:tabs>
          <w:tab w:leader="none" w:pos="1938" w:val="left"/>
        </w:tabs>
        <w:numPr>
          <w:ilvl w:val="0"/>
          <w:numId w:val="30"/>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 for Buy-In on Failure to Timely Deliver Certificates Upon Exercise</w:t>
      </w:r>
      <w:r>
        <w:rPr>
          <w:rFonts w:ascii="Arial" w:cs="Arial" w:eastAsia="Arial" w:hAnsi="Arial"/>
          <w:sz w:val="16"/>
          <w:szCs w:val="16"/>
          <w:color w:val="auto"/>
        </w:rPr>
        <w:t>. In addition to any other rights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Registered Holder, if the 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168" w:lineRule="exact"/>
        <w:rPr>
          <w:rFonts w:ascii="Arial" w:cs="Arial" w:eastAsia="Arial" w:hAnsi="Arial"/>
          <w:sz w:val="16"/>
          <w:szCs w:val="16"/>
          <w:color w:val="auto"/>
        </w:rPr>
      </w:pPr>
    </w:p>
    <w:p>
      <w:pPr>
        <w:jc w:val="both"/>
        <w:ind w:firstLine="1305"/>
        <w:spacing w:after="0" w:line="284" w:lineRule="auto"/>
        <w:tabs>
          <w:tab w:leader="none" w:pos="1541" w:val="left"/>
        </w:tabs>
        <w:numPr>
          <w:ilvl w:val="0"/>
          <w:numId w:val="30"/>
        </w:numPr>
        <w:rPr>
          <w:rFonts w:ascii="Arial" w:cs="Arial" w:eastAsia="Arial" w:hAnsi="Arial"/>
          <w:sz w:val="16"/>
          <w:szCs w:val="16"/>
          <w:color w:val="auto"/>
        </w:rPr>
      </w:pPr>
      <w:r>
        <w:rPr>
          <w:rFonts w:ascii="Arial" w:cs="Arial" w:eastAsia="Arial" w:hAnsi="Arial"/>
          <w:sz w:val="16"/>
          <w:szCs w:val="16"/>
          <w:b w:val="1"/>
          <w:bCs w:val="1"/>
          <w:u w:val="single" w:color="auto"/>
          <w:color w:val="auto"/>
        </w:rPr>
        <w:t>Registered Holder’s Exercise Limitations</w:t>
      </w:r>
      <w:r>
        <w:rPr>
          <w:rFonts w:ascii="Arial" w:cs="Arial" w:eastAsia="Arial" w:hAnsi="Arial"/>
          <w:sz w:val="16"/>
          <w:szCs w:val="16"/>
          <w:color w:val="auto"/>
        </w:rPr>
        <w:t>. The Company shall not effect any exercise of this Warrant, and a Registered Holder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have 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1(e)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1(e),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1(e) shall continue to apply. Any such increase or decrease will not be effective until the 61st day after such notice is delivered to the Company. The provisions of this paragraph shall be construed and implemented in a manner otherwise than in strict conformity with the terms of this Section 1(e)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536575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p>
      <w:pPr>
        <w:ind w:left="1332" w:hanging="684"/>
        <w:spacing w:after="0"/>
        <w:tabs>
          <w:tab w:leader="none" w:pos="1332" w:val="left"/>
        </w:tabs>
        <w:numPr>
          <w:ilvl w:val="1"/>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1305"/>
        <w:spacing w:after="0" w:line="255" w:lineRule="auto"/>
        <w:tabs>
          <w:tab w:leader="none" w:pos="1938" w:val="left"/>
        </w:tabs>
        <w:numPr>
          <w:ilvl w:val="2"/>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Splits and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outstanding shares of the Company’s Common Stock shall be subdivided into a greater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or a 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189" w:lineRule="exact"/>
        <w:rPr>
          <w:rFonts w:ascii="Arial" w:cs="Arial" w:eastAsia="Arial" w:hAnsi="Arial"/>
          <w:sz w:val="18"/>
          <w:szCs w:val="18"/>
          <w:color w:val="auto"/>
        </w:rPr>
      </w:pPr>
    </w:p>
    <w:p>
      <w:pPr>
        <w:jc w:val="both"/>
        <w:ind w:left="-8" w:firstLine="1305"/>
        <w:spacing w:after="0" w:line="293" w:lineRule="auto"/>
        <w:tabs>
          <w:tab w:leader="none" w:pos="1975" w:val="left"/>
        </w:tabs>
        <w:numPr>
          <w:ilvl w:val="2"/>
          <w:numId w:val="31"/>
        </w:numPr>
        <w:rPr>
          <w:rFonts w:ascii="Arial" w:cs="Arial" w:eastAsia="Arial" w:hAnsi="Arial"/>
          <w:sz w:val="16"/>
          <w:szCs w:val="16"/>
          <w:color w:val="auto"/>
        </w:rPr>
      </w:pPr>
      <w:r>
        <w:rPr>
          <w:rFonts w:ascii="Arial" w:cs="Arial" w:eastAsia="Arial" w:hAnsi="Arial"/>
          <w:sz w:val="16"/>
          <w:szCs w:val="16"/>
          <w:b w:val="1"/>
          <w:bCs w:val="1"/>
          <w:u w:val="single" w:color="auto"/>
          <w:color w:val="auto"/>
        </w:rPr>
        <w:t>Fundamental Transaction</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at any time while this Warrant is outstanding, (i) the Company effects any merger or consolidation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with or into another person, (ii) the Company effects any sale of all or substantially all of its assets in one or a series of related transactions,</w:t>
      </w:r>
    </w:p>
    <w:p>
      <w:pPr>
        <w:spacing w:after="0" w:line="1" w:lineRule="exact"/>
        <w:rPr>
          <w:rFonts w:ascii="Arial" w:cs="Arial" w:eastAsia="Arial" w:hAnsi="Arial"/>
          <w:sz w:val="16"/>
          <w:szCs w:val="16"/>
          <w:color w:val="auto"/>
        </w:rPr>
      </w:pPr>
    </w:p>
    <w:p>
      <w:pPr>
        <w:jc w:val="both"/>
        <w:ind w:left="-8" w:firstLine="8"/>
        <w:spacing w:after="0" w:line="284" w:lineRule="auto"/>
        <w:tabs>
          <w:tab w:leader="none" w:pos="312"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531495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7" w:right="239" w:bottom="1440" w:gutter="0" w:footer="0" w:header="0"/>
        </w:sectPr>
      </w:pPr>
    </w:p>
    <w:bookmarkStart w:id="56" w:name="page57"/>
    <w:bookmarkEnd w:id="56"/>
    <w:p>
      <w:pPr>
        <w:jc w:val="both"/>
        <w:ind w:left="-656" w:firstLine="1305"/>
        <w:spacing w:after="0" w:line="261" w:lineRule="auto"/>
        <w:tabs>
          <w:tab w:leader="none" w:pos="1520" w:val="left"/>
        </w:tabs>
        <w:numPr>
          <w:ilvl w:val="1"/>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any adjustment is required to be made in the Exercise Price pursuant to this Section 2,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180" w:lineRule="exact"/>
        <w:rPr>
          <w:rFonts w:ascii="Arial" w:cs="Arial" w:eastAsia="Arial" w:hAnsi="Arial"/>
          <w:sz w:val="18"/>
          <w:szCs w:val="18"/>
          <w:color w:val="auto"/>
        </w:rPr>
      </w:pPr>
    </w:p>
    <w:p>
      <w:pPr>
        <w:ind w:left="684" w:hanging="684"/>
        <w:spacing w:after="0"/>
        <w:tabs>
          <w:tab w:leader="none" w:pos="684"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left="-656" w:firstLine="1305"/>
        <w:spacing w:after="0" w:line="258" w:lineRule="auto"/>
        <w:tabs>
          <w:tab w:leader="none" w:pos="1290" w:val="left"/>
        </w:tabs>
        <w:numPr>
          <w:ilvl w:val="1"/>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Unregistered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of this Warrant acknowledges that this Warrant has not been registered under the 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agrees not to sell, pledge, 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w:t>
      </w:r>
    </w:p>
    <w:p>
      <w:pPr>
        <w:spacing w:after="0" w:line="183" w:lineRule="exact"/>
        <w:rPr>
          <w:rFonts w:ascii="Arial" w:cs="Arial" w:eastAsia="Arial" w:hAnsi="Arial"/>
          <w:sz w:val="18"/>
          <w:szCs w:val="18"/>
          <w:color w:val="auto"/>
        </w:rPr>
      </w:pPr>
    </w:p>
    <w:p>
      <w:pPr>
        <w:jc w:val="both"/>
        <w:ind w:left="-656" w:firstLine="1305"/>
        <w:spacing w:after="0" w:line="289"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Section 3(a) hereof, this Warrant and all rights hereunder are transferable, in whole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part, to (i) 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at the principal office of the Company.</w:t>
      </w:r>
    </w:p>
    <w:p>
      <w:pPr>
        <w:spacing w:after="0" w:line="158" w:lineRule="exact"/>
        <w:rPr>
          <w:rFonts w:ascii="Arial" w:cs="Arial" w:eastAsia="Arial" w:hAnsi="Arial"/>
          <w:sz w:val="17"/>
          <w:szCs w:val="17"/>
          <w:color w:val="auto"/>
        </w:rPr>
      </w:pPr>
    </w:p>
    <w:p>
      <w:pPr>
        <w:jc w:val="both"/>
        <w:ind w:left="-656" w:firstLine="1305"/>
        <w:spacing w:after="0" w:line="277" w:lineRule="auto"/>
        <w:tabs>
          <w:tab w:leader="none" w:pos="1385" w:val="left"/>
        </w:tabs>
        <w:numPr>
          <w:ilvl w:val="1"/>
          <w:numId w:val="34"/>
        </w:numPr>
        <w:rPr>
          <w:rFonts w:ascii="Arial" w:cs="Arial" w:eastAsia="Arial" w:hAnsi="Arial"/>
          <w:sz w:val="17"/>
          <w:szCs w:val="17"/>
          <w:color w:val="auto"/>
        </w:rPr>
      </w:pPr>
      <w:r>
        <w:rPr>
          <w:rFonts w:ascii="Arial" w:cs="Arial" w:eastAsia="Arial" w:hAnsi="Arial"/>
          <w:sz w:val="17"/>
          <w:szCs w:val="17"/>
          <w:b w:val="1"/>
          <w:bCs w:val="1"/>
          <w:u w:val="single" w:color="auto"/>
          <w:color w:val="auto"/>
        </w:rPr>
        <w:t>Warrant Register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maintain a register containing the names and addresses of the Registered Holders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Warrant. Until any transfer of this Warrant is made in the warrant register, the Company may treat the Registered Holder of this Warrant as the absolute owner hereof for all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168" w:lineRule="exact"/>
        <w:rPr>
          <w:rFonts w:ascii="Arial" w:cs="Arial" w:eastAsia="Arial" w:hAnsi="Arial"/>
          <w:sz w:val="17"/>
          <w:szCs w:val="17"/>
          <w:color w:val="auto"/>
        </w:rPr>
      </w:pPr>
    </w:p>
    <w:p>
      <w:pPr>
        <w:ind w:left="724" w:hanging="724"/>
        <w:spacing w:after="0"/>
        <w:tabs>
          <w:tab w:leader="none" w:pos="724"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left="-656" w:firstLine="656"/>
        <w:spacing w:after="0" w:line="272" w:lineRule="auto"/>
        <w:tabs>
          <w:tab w:leader="none" w:pos="700" w:val="left"/>
        </w:tabs>
        <w:numPr>
          <w:ilvl w:val="0"/>
          <w:numId w:val="35"/>
        </w:numPr>
        <w:rPr>
          <w:rFonts w:ascii="Arial" w:cs="Arial" w:eastAsia="Arial" w:hAnsi="Arial"/>
          <w:sz w:val="17"/>
          <w:szCs w:val="17"/>
          <w:color w:val="auto"/>
        </w:rPr>
      </w:pPr>
      <w:r>
        <w:rPr>
          <w:rFonts w:ascii="Arial" w:cs="Arial" w:eastAsia="Arial" w:hAnsi="Arial"/>
          <w:sz w:val="17"/>
          <w:szCs w:val="17"/>
          <w:b w:val="1"/>
          <w:bCs w:val="1"/>
          <w:u w:val="single" w:color="auto"/>
          <w:color w:val="auto"/>
        </w:rPr>
        <w:t>Redemption of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may be redeemed, at the option of the Company, at any time after it becomes exercisable and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its expiration, at the office of the Company or, if appointed, the Company’s warrant agent, upon the notice referred to in Section 4(b) hereof, at the price of $0.01 per share underlying the Warrant (the “</w:t>
      </w:r>
      <w:r>
        <w:rPr>
          <w:rFonts w:ascii="Arial" w:cs="Arial" w:eastAsia="Arial" w:hAnsi="Arial"/>
          <w:sz w:val="17"/>
          <w:szCs w:val="17"/>
          <w:u w:val="single" w:color="auto"/>
          <w:color w:val="auto"/>
        </w:rPr>
        <w:t>Redemption Price</w:t>
      </w:r>
      <w:r>
        <w:rPr>
          <w:rFonts w:ascii="Arial" w:cs="Arial" w:eastAsia="Arial" w:hAnsi="Arial"/>
          <w:sz w:val="17"/>
          <w:szCs w:val="17"/>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 (ii) 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395605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77" w:right="239" w:bottom="1440" w:gutter="0" w:footer="0" w:header="0"/>
        </w:sectPr>
      </w:pPr>
    </w:p>
    <w:bookmarkStart w:id="57" w:name="page58"/>
    <w:bookmarkEnd w:id="57"/>
    <w:p>
      <w:pPr>
        <w:jc w:val="both"/>
        <w:ind w:firstLine="656"/>
        <w:spacing w:after="0" w:line="303" w:lineRule="auto"/>
        <w:tabs>
          <w:tab w:leader="none" w:pos="1335" w:val="left"/>
        </w:tabs>
        <w:numPr>
          <w:ilvl w:val="0"/>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t>Date Fixed for, and Notice of, Redemption</w:t>
      </w:r>
      <w:r>
        <w:rPr>
          <w:rFonts w:ascii="Arial" w:cs="Arial" w:eastAsia="Arial" w:hAnsi="Arial"/>
          <w:sz w:val="16"/>
          <w:szCs w:val="16"/>
          <w:color w:val="auto"/>
        </w:rPr>
        <w:t>. In the event the Company shall elect to redeem the Warrant, the Company shall fix a date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redemption. Notice of 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51" w:lineRule="exact"/>
        <w:rPr>
          <w:rFonts w:ascii="Arial" w:cs="Arial" w:eastAsia="Arial" w:hAnsi="Arial"/>
          <w:sz w:val="16"/>
          <w:szCs w:val="16"/>
          <w:color w:val="auto"/>
        </w:rPr>
      </w:pPr>
    </w:p>
    <w:p>
      <w:pPr>
        <w:jc w:val="both"/>
        <w:ind w:firstLine="656"/>
        <w:spacing w:after="0" w:line="266" w:lineRule="auto"/>
        <w:tabs>
          <w:tab w:leader="none" w:pos="1528"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After Notice of Redemption</w:t>
      </w:r>
      <w:r>
        <w:rPr>
          <w:rFonts w:ascii="Arial" w:cs="Arial" w:eastAsia="Arial" w:hAnsi="Arial"/>
          <w:sz w:val="18"/>
          <w:szCs w:val="18"/>
          <w:color w:val="auto"/>
        </w:rPr>
        <w:t>. The Warrants may be exercised in accordance with this Warrant at any time after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shall have been given by the Company and prior to the time and date fixed for redemption. On and after the redemption date, the Registered Holder shall have no further rights except to receive, upon surrender of the Warrants, the Redemption Price.</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5</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r>
        <w:rPr>
          <w:rFonts w:ascii="Arial" w:cs="Arial" w:eastAsia="Arial" w:hAnsi="Arial"/>
          <w:sz w:val="18"/>
          <w:szCs w:val="18"/>
          <w:color w:val="auto"/>
        </w:rPr>
        <w:t xml:space="preserve"> This Warrant (and the right to purchase securities upon exercise hereof) shall terminate at 5:00 p.m., Eastern time, on the Expiration Date.</w:t>
      </w:r>
    </w:p>
    <w:p>
      <w:pPr>
        <w:spacing w:after="0" w:line="162" w:lineRule="exact"/>
        <w:rPr>
          <w:sz w:val="20"/>
          <w:szCs w:val="20"/>
          <w:color w:val="auto"/>
        </w:rPr>
      </w:pPr>
    </w:p>
    <w:p>
      <w:pPr>
        <w:ind w:left="1340" w:hanging="684"/>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of Certain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case:</w:t>
      </w:r>
    </w:p>
    <w:p>
      <w:pPr>
        <w:spacing w:after="0" w:line="229" w:lineRule="exact"/>
        <w:rPr>
          <w:rFonts w:ascii="Arial" w:cs="Arial" w:eastAsia="Arial" w:hAnsi="Arial"/>
          <w:sz w:val="18"/>
          <w:szCs w:val="18"/>
          <w:color w:val="auto"/>
        </w:rPr>
      </w:pPr>
    </w:p>
    <w:p>
      <w:pPr>
        <w:jc w:val="both"/>
        <w:ind w:firstLine="1305"/>
        <w:spacing w:after="0" w:line="259" w:lineRule="auto"/>
        <w:tabs>
          <w:tab w:leader="none" w:pos="200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to subscribe for or purchase any shares of stock of any class or any other securities, or to receive any other right, or</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956" w:val="left"/>
        </w:tabs>
        <w:numPr>
          <w:ilvl w:val="1"/>
          <w:numId w:val="37"/>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of any Fundamental Transaction,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both"/>
        <w:ind w:firstLine="656"/>
        <w:spacing w:after="0" w:line="271" w:lineRule="auto"/>
        <w:tabs>
          <w:tab w:leader="none" w:pos="1301" w:val="left"/>
        </w:tabs>
        <w:numPr>
          <w:ilvl w:val="0"/>
          <w:numId w:val="38"/>
        </w:numPr>
        <w:rPr>
          <w:rFonts w:ascii="Arial" w:cs="Arial" w:eastAsia="Arial" w:hAnsi="Arial"/>
          <w:sz w:val="17"/>
          <w:szCs w:val="17"/>
          <w:color w:val="auto"/>
        </w:rPr>
      </w:pPr>
      <w:r>
        <w:rPr>
          <w:rFonts w:ascii="Arial" w:cs="Arial" w:eastAsia="Arial" w:hAnsi="Arial"/>
          <w:sz w:val="17"/>
          <w:szCs w:val="17"/>
          <w:b w:val="1"/>
          <w:bCs w:val="1"/>
          <w:u w:val="single" w:color="auto"/>
          <w:color w:val="auto"/>
        </w:rPr>
        <w:t>Reservation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covenants that at all times it will have authorized, reserve and keep available, solely for the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and delivery 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174" w:lineRule="exact"/>
        <w:rPr>
          <w:rFonts w:ascii="Arial" w:cs="Arial" w:eastAsia="Arial" w:hAnsi="Arial"/>
          <w:sz w:val="17"/>
          <w:szCs w:val="17"/>
          <w:color w:val="auto"/>
        </w:rPr>
      </w:pPr>
    </w:p>
    <w:p>
      <w:pPr>
        <w:jc w:val="both"/>
        <w:ind w:firstLine="656"/>
        <w:spacing w:after="0" w:line="261" w:lineRule="auto"/>
        <w:tabs>
          <w:tab w:leader="none" w:pos="1305"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Replacement of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Upon receipt of evidence reasonably satisfactory to the Company of the loss, theft, destruction or mutilation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80" w:lineRule="exact"/>
        <w:rPr>
          <w:rFonts w:ascii="Arial" w:cs="Arial" w:eastAsia="Arial" w:hAnsi="Arial"/>
          <w:sz w:val="18"/>
          <w:szCs w:val="18"/>
          <w:color w:val="auto"/>
        </w:rPr>
      </w:pPr>
    </w:p>
    <w:p>
      <w:pPr>
        <w:jc w:val="both"/>
        <w:ind w:firstLine="656"/>
        <w:spacing w:after="0" w:line="258" w:lineRule="auto"/>
        <w:tabs>
          <w:tab w:leader="none" w:pos="1332"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by this Warrant shall be in writing and shall be deemed duly given upon receipt, when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by courier, overnight delivery service or confirmed facsimile, or 48 hours after being deposited in the regular mail as certified or registered mail (airmail if sent internationally) with postage prepaid, addressed (a) if to the Registered Holder, to the address of the Registered Holder most recently furnished in writing to the Company and (b) if to the Company, to the address set forth on the signature page of this Warrant or as subsequently modified by written notice to the Registered Holder.</w:t>
      </w:r>
    </w:p>
    <w:p>
      <w:pPr>
        <w:spacing w:after="0" w:line="183" w:lineRule="exact"/>
        <w:rPr>
          <w:rFonts w:ascii="Arial" w:cs="Arial" w:eastAsia="Arial" w:hAnsi="Arial"/>
          <w:sz w:val="18"/>
          <w:szCs w:val="18"/>
          <w:color w:val="auto"/>
        </w:rPr>
      </w:pPr>
    </w:p>
    <w:p>
      <w:pPr>
        <w:ind w:firstLine="656"/>
        <w:spacing w:after="0" w:line="282" w:lineRule="auto"/>
        <w:tabs>
          <w:tab w:leader="none" w:pos="1323"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exercise of this Warrant, the Registered Holder of this Warrant shall not have or exercise any rights by</w:t>
      </w:r>
      <w:r>
        <w:rPr>
          <w:rFonts w:ascii="Arial" w:cs="Arial" w:eastAsia="Arial" w:hAnsi="Arial"/>
          <w:sz w:val="18"/>
          <w:szCs w:val="18"/>
          <w:b w:val="1"/>
          <w:bCs w:val="1"/>
          <w:color w:val="auto"/>
        </w:rPr>
        <w:t xml:space="preserve"> </w:t>
      </w:r>
      <w:r>
        <w:rPr>
          <w:rFonts w:ascii="Arial" w:cs="Arial" w:eastAsia="Arial" w:hAnsi="Arial"/>
          <w:sz w:val="18"/>
          <w:szCs w:val="18"/>
          <w:color w:val="auto"/>
        </w:rPr>
        <w:t>virtue hereof as a stockholder of the Company.</w:t>
      </w:r>
    </w:p>
    <w:p>
      <w:pPr>
        <w:spacing w:after="0" w:line="161" w:lineRule="exact"/>
        <w:rPr>
          <w:rFonts w:ascii="Arial" w:cs="Arial" w:eastAsia="Arial" w:hAnsi="Arial"/>
          <w:sz w:val="18"/>
          <w:szCs w:val="18"/>
          <w:color w:val="auto"/>
        </w:rPr>
      </w:pPr>
    </w:p>
    <w:p>
      <w:pPr>
        <w:ind w:firstLine="656"/>
        <w:spacing w:after="0" w:line="313" w:lineRule="auto"/>
        <w:tabs>
          <w:tab w:leader="none" w:pos="1470" w:val="left"/>
        </w:tabs>
        <w:numPr>
          <w:ilvl w:val="0"/>
          <w:numId w:val="38"/>
        </w:numPr>
        <w:rPr>
          <w:rFonts w:ascii="Arial" w:cs="Arial" w:eastAsia="Arial" w:hAnsi="Arial"/>
          <w:sz w:val="17"/>
          <w:szCs w:val="17"/>
          <w:color w:val="auto"/>
        </w:rPr>
      </w:pPr>
      <w:r>
        <w:rPr>
          <w:rFonts w:ascii="Arial" w:cs="Arial" w:eastAsia="Arial" w:hAnsi="Arial"/>
          <w:sz w:val="17"/>
          <w:szCs w:val="17"/>
          <w:b w:val="1"/>
          <w:bCs w:val="1"/>
          <w:u w:val="single" w:color="auto"/>
          <w:color w:val="auto"/>
        </w:rPr>
        <w:t>No Fractional Shares</w:t>
      </w:r>
      <w:r>
        <w:rPr>
          <w:rFonts w:ascii="Arial" w:cs="Arial" w:eastAsia="Arial" w:hAnsi="Arial"/>
          <w:sz w:val="17"/>
          <w:szCs w:val="17"/>
          <w:b w:val="1"/>
          <w:bCs w:val="1"/>
          <w:color w:val="auto"/>
        </w:rPr>
        <w:t xml:space="preserve">. </w:t>
      </w:r>
      <w:r>
        <w:rPr>
          <w:rFonts w:ascii="Arial" w:cs="Arial" w:eastAsia="Arial" w:hAnsi="Arial"/>
          <w:sz w:val="17"/>
          <w:szCs w:val="17"/>
          <w:color w:val="auto"/>
        </w:rPr>
        <w:t>No fractional shares of Common Stock will be issued in connection with any exercise hereunder. In lieu of any</w:t>
      </w:r>
      <w:r>
        <w:rPr>
          <w:rFonts w:ascii="Arial" w:cs="Arial" w:eastAsia="Arial" w:hAnsi="Arial"/>
          <w:sz w:val="17"/>
          <w:szCs w:val="17"/>
          <w:b w:val="1"/>
          <w:bCs w:val="1"/>
          <w:color w:val="auto"/>
        </w:rPr>
        <w:t xml:space="preserve"> </w:t>
      </w:r>
      <w:r>
        <w:rPr>
          <w:rFonts w:ascii="Arial" w:cs="Arial" w:eastAsia="Arial" w:hAnsi="Arial"/>
          <w:sz w:val="17"/>
          <w:szCs w:val="17"/>
          <w:color w:val="auto"/>
        </w:rPr>
        <w:t>fractional shares which would otherwise be issuable, the Company shall round the amount of Warrant Stock issuable to the nearest whole share.</w:t>
      </w:r>
    </w:p>
    <w:p>
      <w:pPr>
        <w:spacing w:after="0" w:line="138" w:lineRule="exact"/>
        <w:rPr>
          <w:rFonts w:ascii="Arial" w:cs="Arial" w:eastAsia="Arial" w:hAnsi="Arial"/>
          <w:sz w:val="17"/>
          <w:szCs w:val="17"/>
          <w:color w:val="auto"/>
        </w:rPr>
      </w:pPr>
    </w:p>
    <w:p>
      <w:pPr>
        <w:ind w:left="1440" w:hanging="784"/>
        <w:spacing w:after="0"/>
        <w:tabs>
          <w:tab w:leader="none" w:pos="1440" w:val="left"/>
        </w:tabs>
        <w:numPr>
          <w:ilvl w:val="0"/>
          <w:numId w:val="38"/>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or Waiver</w:t>
      </w:r>
      <w:r>
        <w:rPr>
          <w:rFonts w:ascii="Arial" w:cs="Arial" w:eastAsia="Arial" w:hAnsi="Arial"/>
          <w:sz w:val="16"/>
          <w:szCs w:val="16"/>
          <w:b w:val="1"/>
          <w:bCs w:val="1"/>
          <w:color w:val="auto"/>
        </w:rPr>
        <w:t xml:space="preserve">. </w:t>
      </w:r>
      <w:r>
        <w:rPr>
          <w:rFonts w:ascii="Arial" w:cs="Arial" w:eastAsia="Arial" w:hAnsi="Arial"/>
          <w:sz w:val="16"/>
          <w:szCs w:val="16"/>
          <w:color w:val="auto"/>
        </w:rPr>
        <w:t>Any term of this Warrant may be amended or waived upon written consent of the Company and the Registered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206" w:lineRule="exact"/>
        <w:rPr>
          <w:rFonts w:ascii="Arial" w:cs="Arial" w:eastAsia="Arial" w:hAnsi="Arial"/>
          <w:sz w:val="16"/>
          <w:szCs w:val="16"/>
          <w:color w:val="auto"/>
        </w:rPr>
      </w:pPr>
    </w:p>
    <w:p>
      <w:pPr>
        <w:ind w:right="20" w:firstLine="656"/>
        <w:spacing w:after="0" w:line="282" w:lineRule="auto"/>
        <w:tabs>
          <w:tab w:leader="none" w:pos="1530"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in this Warrant are for purposes of reference only and shall not limit or otherwise affect the meaning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Warrant.</w:t>
      </w:r>
    </w:p>
    <w:p>
      <w:pPr>
        <w:spacing w:after="0" w:line="161" w:lineRule="exact"/>
        <w:rPr>
          <w:rFonts w:ascii="Arial" w:cs="Arial" w:eastAsia="Arial" w:hAnsi="Arial"/>
          <w:sz w:val="18"/>
          <w:szCs w:val="18"/>
          <w:color w:val="auto"/>
        </w:rPr>
      </w:pPr>
    </w:p>
    <w:p>
      <w:pPr>
        <w:ind w:firstLine="656"/>
        <w:spacing w:after="0" w:line="313" w:lineRule="auto"/>
        <w:tabs>
          <w:tab w:leader="none" w:pos="1476" w:val="left"/>
        </w:tabs>
        <w:numPr>
          <w:ilvl w:val="0"/>
          <w:numId w:val="38"/>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and all acts and transactions pursuant hereto and the rights and obligations of the parties hereto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construed and interpreted in accordance with the laws of the State of New York, without giving effect to principles of conflicts of law.</w:t>
      </w:r>
    </w:p>
    <w:p>
      <w:pPr>
        <w:spacing w:after="0" w:line="138" w:lineRule="exact"/>
        <w:rPr>
          <w:rFonts w:ascii="Arial" w:cs="Arial" w:eastAsia="Arial" w:hAnsi="Arial"/>
          <w:sz w:val="17"/>
          <w:szCs w:val="17"/>
          <w:color w:val="auto"/>
        </w:rPr>
      </w:pPr>
    </w:p>
    <w:p>
      <w:pPr>
        <w:ind w:firstLine="656"/>
        <w:spacing w:after="0" w:line="282" w:lineRule="auto"/>
        <w:tabs>
          <w:tab w:leader="none" w:pos="1535"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Covenants of the Registered 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has been entered into by the Company in reliance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representations and covenants of the Registered Holder:</w:t>
      </w:r>
    </w:p>
    <w:p>
      <w:pPr>
        <w:spacing w:after="0" w:line="161" w:lineRule="exact"/>
        <w:rPr>
          <w:rFonts w:ascii="Arial" w:cs="Arial" w:eastAsia="Arial" w:hAnsi="Arial"/>
          <w:sz w:val="18"/>
          <w:szCs w:val="18"/>
          <w:color w:val="auto"/>
        </w:rPr>
      </w:pPr>
    </w:p>
    <w:p>
      <w:pPr>
        <w:ind w:firstLine="1386"/>
        <w:spacing w:after="0" w:line="313" w:lineRule="auto"/>
        <w:tabs>
          <w:tab w:leader="none" w:pos="2230" w:val="left"/>
        </w:tabs>
        <w:numPr>
          <w:ilvl w:val="1"/>
          <w:numId w:val="38"/>
        </w:numPr>
        <w:rPr>
          <w:rFonts w:ascii="Arial" w:cs="Arial" w:eastAsia="Arial" w:hAnsi="Arial"/>
          <w:sz w:val="17"/>
          <w:szCs w:val="17"/>
          <w:color w:val="auto"/>
        </w:rPr>
      </w:pPr>
      <w:r>
        <w:rPr>
          <w:rFonts w:ascii="Arial" w:cs="Arial" w:eastAsia="Arial" w:hAnsi="Arial"/>
          <w:sz w:val="17"/>
          <w:szCs w:val="17"/>
          <w:b w:val="1"/>
          <w:bCs w:val="1"/>
          <w:u w:val="single" w:color="auto"/>
          <w:color w:val="auto"/>
        </w:rPr>
        <w:t>Investment Purpose</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is acquiring the Warrant and the Warrant Stock issuable upon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 for its own account, not as a nominee or agent and with no present intention of selling or otherwise distributing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p>
      <w:pPr>
        <w:jc w:val="both"/>
        <w:ind w:firstLine="1386"/>
        <w:spacing w:after="0" w:line="261" w:lineRule="auto"/>
        <w:tabs>
          <w:tab w:leader="none" w:pos="2186" w:val="left"/>
        </w:tabs>
        <w:numPr>
          <w:ilvl w:val="1"/>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Private Issue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understands: (i) that the Warrant is not registered under the Securities Act or qualified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15.</w:t>
      </w:r>
    </w:p>
    <w:p>
      <w:pPr>
        <w:spacing w:after="0" w:line="180" w:lineRule="exact"/>
        <w:rPr>
          <w:rFonts w:ascii="Arial" w:cs="Arial" w:eastAsia="Arial" w:hAnsi="Arial"/>
          <w:sz w:val="18"/>
          <w:szCs w:val="18"/>
          <w:color w:val="auto"/>
        </w:rPr>
      </w:pPr>
    </w:p>
    <w:p>
      <w:pPr>
        <w:jc w:val="both"/>
        <w:ind w:firstLine="1386"/>
        <w:spacing w:after="0" w:line="289" w:lineRule="auto"/>
        <w:tabs>
          <w:tab w:leader="none" w:pos="2162" w:val="left"/>
        </w:tabs>
        <w:numPr>
          <w:ilvl w:val="1"/>
          <w:numId w:val="39"/>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Registered Holder’s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will the Registered Holder make a disposition of the Warrant or the</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Stock 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w:t>
      </w:r>
    </w:p>
    <w:p>
      <w:pPr>
        <w:spacing w:after="0" w:line="1" w:lineRule="exact"/>
        <w:rPr>
          <w:rFonts w:ascii="Arial" w:cs="Arial" w:eastAsia="Arial" w:hAnsi="Arial"/>
          <w:sz w:val="16"/>
          <w:szCs w:val="16"/>
          <w:color w:val="auto"/>
        </w:rPr>
      </w:pPr>
    </w:p>
    <w:p>
      <w:pPr>
        <w:jc w:val="both"/>
        <w:ind w:firstLine="8"/>
        <w:spacing w:after="0" w:line="254" w:lineRule="auto"/>
        <w:tabs>
          <w:tab w:leader="none" w:pos="2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185" w:lineRule="exact"/>
        <w:rPr>
          <w:rFonts w:ascii="Arial" w:cs="Arial" w:eastAsia="Arial" w:hAnsi="Arial"/>
          <w:sz w:val="18"/>
          <w:szCs w:val="18"/>
          <w:color w:val="auto"/>
        </w:rPr>
      </w:pPr>
    </w:p>
    <w:p>
      <w:pPr>
        <w:ind w:firstLine="1386"/>
        <w:spacing w:after="0" w:line="282" w:lineRule="auto"/>
        <w:tabs>
          <w:tab w:leader="none" w:pos="2064" w:val="left"/>
        </w:tabs>
        <w:numPr>
          <w:ilvl w:val="1"/>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Risk</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has such business and financial experience as is required to give it the capacity to protect</w:t>
      </w:r>
      <w:r>
        <w:rPr>
          <w:rFonts w:ascii="Arial" w:cs="Arial" w:eastAsia="Arial" w:hAnsi="Arial"/>
          <w:sz w:val="18"/>
          <w:szCs w:val="18"/>
          <w:b w:val="1"/>
          <w:bCs w:val="1"/>
          <w:color w:val="auto"/>
        </w:rPr>
        <w:t xml:space="preserve"> </w:t>
      </w:r>
      <w:r>
        <w:rPr>
          <w:rFonts w:ascii="Arial" w:cs="Arial" w:eastAsia="Arial" w:hAnsi="Arial"/>
          <w:sz w:val="18"/>
          <w:szCs w:val="18"/>
          <w:color w:val="auto"/>
        </w:rPr>
        <w:t>its own interests in connection with its investment.</w:t>
      </w:r>
    </w:p>
    <w:p>
      <w:pPr>
        <w:spacing w:after="0" w:line="161" w:lineRule="exact"/>
        <w:rPr>
          <w:rFonts w:ascii="Arial" w:cs="Arial" w:eastAsia="Arial" w:hAnsi="Arial"/>
          <w:sz w:val="18"/>
          <w:szCs w:val="18"/>
          <w:color w:val="auto"/>
        </w:rPr>
      </w:pPr>
    </w:p>
    <w:p>
      <w:pPr>
        <w:ind w:left="2140" w:hanging="754"/>
        <w:spacing w:after="0"/>
        <w:tabs>
          <w:tab w:leader="none" w:pos="2140" w:val="left"/>
        </w:tabs>
        <w:numPr>
          <w:ilvl w:val="1"/>
          <w:numId w:val="40"/>
        </w:numPr>
        <w:rPr>
          <w:rFonts w:ascii="Arial" w:cs="Arial" w:eastAsia="Arial" w:hAnsi="Arial"/>
          <w:sz w:val="16"/>
          <w:szCs w:val="16"/>
          <w:color w:val="auto"/>
        </w:rPr>
      </w:pPr>
      <w:r>
        <w:rPr>
          <w:rFonts w:ascii="Arial" w:cs="Arial" w:eastAsia="Arial" w:hAnsi="Arial"/>
          <w:sz w:val="16"/>
          <w:szCs w:val="16"/>
          <w:b w:val="1"/>
          <w:bCs w:val="1"/>
          <w:u w:val="single" w:color="auto"/>
          <w:color w:val="auto"/>
        </w:rPr>
        <w:t>Accredited Investor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Registered Holder is an “accredited investor” as defined by Rule 501 of Regulation D promulgated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the Securities Act.</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0" w:name="page61"/>
    <w:bookmarkEnd w:id="60"/>
    <w:p>
      <w:pPr>
        <w:spacing w:after="0"/>
        <w:rPr>
          <w:sz w:val="20"/>
          <w:szCs w:val="20"/>
          <w:color w:val="auto"/>
        </w:rPr>
      </w:pPr>
      <w:r>
        <w:rPr>
          <w:rFonts w:ascii="Arial" w:cs="Arial" w:eastAsia="Arial" w:hAnsi="Arial"/>
          <w:sz w:val="17"/>
          <w:szCs w:val="17"/>
          <w:color w:val="auto"/>
        </w:rPr>
        <w:t>IN WITNESS WHEREOF, the parties have executed this Warrant as of the date first above written.</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424815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881"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EXERCISE FORM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hereby irrevocably elects to exercise the within Warrant to the extent of purchasing ______ shares of Common Stock of Vringo, Inc.,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Delaware corporation, and hereby makes payment of $___________ in payment therefore (if a cashless exercise, insert “cashless”), all in accordance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and conditions of the Warrant dated ________,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joint holder (if applicable): 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INSTRUCTIONS FOR ISSUANCE OF STOCK</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(if other than to the registered holder of the within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Taxpayer Identification Number of Recipient: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_____________________ hereby sells, assigns and transfers unto _______________________ the right to purchase Common</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of Vringo, Inc., a Delaware corporation, represented by this Warrant to the extent of shares as to which such right is exercisable and does hereby irrevocably constitute and appoint ______________________, Attorney, to transfer the same on the books of the Company with full power of substitution in the premises.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joint holder (if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SETTLEMENT AGREEMENT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ETTLEMENT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effective as of the last date set forth below (“Effective Date”), is made by and between Facebook,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having a place of business at 1601 Willow Road, Menlo Park, California 94025 (“Facebook”), and Vringo, Inc., a Delaware corporation, having a place of business at 44 West 28th Street, Suite 1414, New York, NY 10001 (“Vringo”), referred to collectively as the “Parties” or individually as a “Party.”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Factual Background</w:t>
      </w:r>
    </w:p>
    <w:p>
      <w:pPr>
        <w:spacing w:after="0" w:line="229" w:lineRule="exact"/>
        <w:rPr>
          <w:sz w:val="20"/>
          <w:szCs w:val="20"/>
          <w:color w:val="auto"/>
        </w:rPr>
      </w:pPr>
    </w:p>
    <w:p>
      <w:pPr>
        <w:jc w:val="both"/>
        <w:ind w:firstLine="656"/>
        <w:spacing w:after="0" w:line="257" w:lineRule="auto"/>
        <w:tabs>
          <w:tab w:leader="none" w:pos="1601"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Facebook is the owner of the name and mark FACEBOOK appearing alone and in conjunction with other words and designs (the “FACEBOOK Marks”), as used on its website, </w:t>
      </w:r>
      <w:r>
        <w:rPr>
          <w:rFonts w:ascii="Arial" w:cs="Arial" w:eastAsia="Arial" w:hAnsi="Arial"/>
          <w:sz w:val="18"/>
          <w:szCs w:val="18"/>
          <w:u w:val="single" w:color="auto"/>
          <w:color w:val="auto"/>
        </w:rPr>
        <w:t>www.facebook.com</w:t>
      </w:r>
      <w:r>
        <w:rPr>
          <w:rFonts w:ascii="Arial" w:cs="Arial" w:eastAsia="Arial" w:hAnsi="Arial"/>
          <w:sz w:val="18"/>
          <w:szCs w:val="18"/>
          <w:color w:val="auto"/>
        </w:rPr>
        <w:t>, and in connection with the goods and services set forth in its numerous trademark registrations and applications for FACEBOOK worldwide, including but not limited to United States Registrations Nos. 30413791, 3122052, 3734637, 3814888, 3801147, 3881770 and United States Serial Nos. 85/121,339, 85/147,879, 85/147,898, 85/147,910, 85/147,930, 85/147,937, 85/147,950 and 85/147,955.</w:t>
      </w:r>
    </w:p>
    <w:p>
      <w:pPr>
        <w:spacing w:after="0" w:line="188"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Vringo has applied for the trademark FACETONES (U.S. Serial No. 85/267,738) in the United States for coverage in International Classes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09 and 38:</w:t>
      </w:r>
    </w:p>
    <w:p>
      <w:pPr>
        <w:spacing w:after="0" w:line="210" w:lineRule="exact"/>
        <w:rPr>
          <w:rFonts w:ascii="Arial" w:cs="Arial" w:eastAsia="Arial" w:hAnsi="Arial"/>
          <w:sz w:val="16"/>
          <w:szCs w:val="16"/>
          <w:color w:val="auto"/>
        </w:rPr>
      </w:pPr>
    </w:p>
    <w:p>
      <w:pPr>
        <w:ind w:left="660" w:firstLine="645"/>
        <w:spacing w:after="0" w:line="277" w:lineRule="auto"/>
        <w:tabs>
          <w:tab w:leader="none" w:pos="1958"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Computer application software for mobile devices, namely, software for importing a user's digital images from social networking and other sites, automatically creating a slideshow, and using the slide show as a video ringtone in Class 09;</w:t>
      </w:r>
    </w:p>
    <w:p>
      <w:pPr>
        <w:spacing w:after="0" w:line="170" w:lineRule="exact"/>
        <w:rPr>
          <w:rFonts w:ascii="Arial" w:cs="Arial" w:eastAsia="Arial" w:hAnsi="Arial"/>
          <w:sz w:val="18"/>
          <w:szCs w:val="18"/>
          <w:color w:val="auto"/>
        </w:rPr>
      </w:pPr>
    </w:p>
    <w:p>
      <w:pPr>
        <w:ind w:left="660" w:firstLine="645"/>
        <w:spacing w:after="0" w:line="277" w:lineRule="auto"/>
        <w:tabs>
          <w:tab w:leader="none" w:pos="2475" w:val="left"/>
        </w:tabs>
        <w:numPr>
          <w:ilvl w:val="1"/>
          <w:numId w:val="41"/>
        </w:numPr>
        <w:rPr>
          <w:rFonts w:ascii="Arial" w:cs="Arial" w:eastAsia="Arial" w:hAnsi="Arial"/>
          <w:sz w:val="18"/>
          <w:szCs w:val="18"/>
          <w:color w:val="auto"/>
        </w:rPr>
      </w:pPr>
      <w:r>
        <w:rPr>
          <w:rFonts w:ascii="Arial" w:cs="Arial" w:eastAsia="Arial" w:hAnsi="Arial"/>
          <w:sz w:val="18"/>
          <w:szCs w:val="18"/>
          <w:color w:val="auto"/>
        </w:rPr>
        <w:t>Telecommunication services, namely, transmission of voice, data, graphics, images, audio and video by means of telecommunications networks, wireless communication networks, and the Internet in Class 38;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Vringo owns the domain name &lt;facetones.com&gt;.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3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Vringo uses the FACETONES mark and domain name &lt;facetones.com&gt; in connection with goods and services that cause photographs of the faces corresponding to a mobile device user’s contacts to appear on the user’s mobile device, for purposes of alerting the user to an incoming call or message from a particular contact and/or identifying the caller or messager (hereinafter the “FACETONES Mark”).</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3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Parties wish to clarify the extent of use of Vringo’s FACETONES Mark, and the Parties desire to resolve the pending dispute and avoid future disputes between the Parties regarding Vringo’s FACETONES Mark, and to avoid any likelihood of confusion as to the source of the Parties’ goods and services and any perception of authorization by, or affiliation between the Parties.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jc w:val="both"/>
        <w:ind w:firstLine="648"/>
        <w:spacing w:after="0" w:line="266"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exchange for the valuable consideration, promises, mutual covenants and agreements contained herein,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and in order amicably to resolve this dispute and prevent any possibility of confusion between the Parties’ respective marks and trade names, and intending to be legally bound hereby, the Parties agree as follows:</w:t>
      </w:r>
    </w:p>
    <w:p>
      <w:pPr>
        <w:spacing w:after="0" w:line="180" w:lineRule="exact"/>
        <w:rPr>
          <w:sz w:val="20"/>
          <w:szCs w:val="20"/>
          <w:color w:val="auto"/>
        </w:rPr>
      </w:pPr>
    </w:p>
    <w:p>
      <w:pPr>
        <w:jc w:val="both"/>
        <w:ind w:firstLine="656"/>
        <w:spacing w:after="0" w:line="312" w:lineRule="auto"/>
        <w:tabs>
          <w:tab w:leader="none" w:pos="139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Vringo acknowledges Facebook’s ownership rights in the trademark FACEBOOK and agrees not to object, oppose, cancel or otherwise interfere with any existing or future applications or registrations owned by Facebook for its FACEBOOK Marks, </w:t>
      </w:r>
      <w:r>
        <w:rPr>
          <w:rFonts w:ascii="Arial" w:cs="Arial" w:eastAsia="Arial" w:hAnsi="Arial"/>
          <w:sz w:val="16"/>
          <w:szCs w:val="16"/>
          <w:i w:val="1"/>
          <w:iCs w:val="1"/>
          <w:color w:val="auto"/>
        </w:rPr>
        <w:t>except that</w:t>
      </w:r>
      <w:r>
        <w:rPr>
          <w:rFonts w:ascii="Arial" w:cs="Arial" w:eastAsia="Arial" w:hAnsi="Arial"/>
          <w:sz w:val="16"/>
          <w:szCs w:val="16"/>
          <w:color w:val="auto"/>
        </w:rPr>
        <w:t xml:space="preserve"> Vringo reserves all rights with respect to any existing or future applications or registrations owned by Facebook that include the word “Facebook” together with the word “tone” or “tones”.</w:t>
      </w:r>
    </w:p>
    <w:p>
      <w:pPr>
        <w:spacing w:after="0" w:line="146" w:lineRule="exact"/>
        <w:rPr>
          <w:rFonts w:ascii="Arial" w:cs="Arial" w:eastAsia="Arial" w:hAnsi="Arial"/>
          <w:sz w:val="16"/>
          <w:szCs w:val="16"/>
          <w:color w:val="auto"/>
        </w:rPr>
      </w:pPr>
    </w:p>
    <w:p>
      <w:pPr>
        <w:jc w:val="both"/>
        <w:ind w:firstLine="656"/>
        <w:spacing w:after="0" w:line="259" w:lineRule="auto"/>
        <w:tabs>
          <w:tab w:leader="none" w:pos="1461"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Within five (5) days of the Effective Date of this Agreement, Vringo shall amend its Class 09 description for its FACETONES U.S. trademark application, Serial Number 85/267,738, to “Computer application software for mobile devices, namely, software for importing a user's digital images including images of a user's face or a user's friends' faces from websites, automatically creating a slideshow, and using the slide show as a video ringtone.”</w:t>
      </w:r>
    </w:p>
    <w:p>
      <w:pPr>
        <w:spacing w:after="0" w:line="186" w:lineRule="exact"/>
        <w:rPr>
          <w:rFonts w:ascii="Arial" w:cs="Arial" w:eastAsia="Arial" w:hAnsi="Arial"/>
          <w:sz w:val="18"/>
          <w:szCs w:val="18"/>
          <w:color w:val="auto"/>
        </w:rPr>
      </w:pPr>
    </w:p>
    <w:p>
      <w:pPr>
        <w:jc w:val="both"/>
        <w:ind w:right="20" w:firstLine="656"/>
        <w:spacing w:after="0" w:line="264" w:lineRule="auto"/>
        <w:tabs>
          <w:tab w:leader="none" w:pos="14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Within sixty (60) days of the Effective Date of this Agreement, Vringo shall remove from all promotional, marketing, and advertising materials for Vringo or its goods or services all use of the term “social ringtone” and/or references to FACEBOOK as the exclusive online platform or website that integrates with FACETONES.</w:t>
      </w:r>
    </w:p>
    <w:p>
      <w:pPr>
        <w:spacing w:after="0" w:line="181" w:lineRule="exact"/>
        <w:rPr>
          <w:rFonts w:ascii="Arial" w:cs="Arial" w:eastAsia="Arial" w:hAnsi="Arial"/>
          <w:sz w:val="18"/>
          <w:szCs w:val="18"/>
          <w:color w:val="auto"/>
        </w:rPr>
      </w:pPr>
    </w:p>
    <w:p>
      <w:pPr>
        <w:ind w:firstLine="656"/>
        <w:spacing w:after="0" w:line="277" w:lineRule="auto"/>
        <w:tabs>
          <w:tab w:leader="none" w:pos="13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set forth in paragraph B above, Vringo warrants and represents that it does not own and has not filed or caused to be filed any applications for registration of the FACETONES mark or any mark incorporating the word FACE and TONES or any similar mark.</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Vringo agrees that all future filing for the FACETONES mark or any mark incorporating the word FACE and TONES will be limited to:</w:t>
      </w:r>
    </w:p>
    <w:p>
      <w:pPr>
        <w:spacing w:after="0" w:line="236" w:lineRule="exact"/>
        <w:rPr>
          <w:rFonts w:ascii="Arial" w:cs="Arial" w:eastAsia="Arial" w:hAnsi="Arial"/>
          <w:sz w:val="17"/>
          <w:szCs w:val="17"/>
          <w:color w:val="auto"/>
        </w:rPr>
      </w:pPr>
    </w:p>
    <w:p>
      <w:pPr>
        <w:jc w:val="both"/>
        <w:ind w:left="1680" w:hanging="646"/>
        <w:spacing w:after="0" w:line="264" w:lineRule="auto"/>
        <w:tabs>
          <w:tab w:leader="none" w:pos="16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“Computer application software for mobile devices, namely, software for importing a user's digital images including images of a user's face or a user's friends' faces from websites, automatically creating a slideshow, and using the slide show as a video ringtone” in Class 09;</w:t>
      </w:r>
    </w:p>
    <w:p>
      <w:pPr>
        <w:spacing w:after="0" w:line="181" w:lineRule="exact"/>
        <w:rPr>
          <w:rFonts w:ascii="Arial" w:cs="Arial" w:eastAsia="Arial" w:hAnsi="Arial"/>
          <w:sz w:val="18"/>
          <w:szCs w:val="18"/>
          <w:color w:val="auto"/>
        </w:rPr>
      </w:pPr>
    </w:p>
    <w:p>
      <w:pPr>
        <w:ind w:left="1680" w:right="20" w:hanging="646"/>
        <w:spacing w:after="0" w:line="308" w:lineRule="auto"/>
        <w:tabs>
          <w:tab w:leader="none" w:pos="16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“Telecommunication services for mobile devices for importing a user’s digital images including images of a user’s face or a user’s friends’ faces from websites, automatically creating a slideshow, and using the slide show as a video ringtone” in class 38; or</w:t>
      </w:r>
    </w:p>
    <w:p>
      <w:pPr>
        <w:spacing w:after="0" w:line="146" w:lineRule="exact"/>
        <w:rPr>
          <w:rFonts w:ascii="Arial" w:cs="Arial" w:eastAsia="Arial" w:hAnsi="Arial"/>
          <w:sz w:val="17"/>
          <w:szCs w:val="17"/>
          <w:color w:val="auto"/>
        </w:rPr>
      </w:pPr>
    </w:p>
    <w:p>
      <w:pPr>
        <w:ind w:left="1680" w:hanging="646"/>
        <w:spacing w:after="0" w:line="277" w:lineRule="auto"/>
        <w:tabs>
          <w:tab w:leader="none" w:pos="16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such other recitation as is approved in writing by Facebook’s counsel listed in Paragraph 26 below, which approval shall not be unreasonably withheld, delayed or denied.</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Vringo agrees to the following limitations on its use of the FACETONES Mark:</w:t>
      </w:r>
    </w:p>
    <w:p>
      <w:pPr>
        <w:spacing w:after="0" w:line="225" w:lineRule="exact"/>
        <w:rPr>
          <w:rFonts w:ascii="Arial" w:cs="Arial" w:eastAsia="Arial" w:hAnsi="Arial"/>
          <w:sz w:val="18"/>
          <w:szCs w:val="18"/>
          <w:color w:val="auto"/>
        </w:rPr>
      </w:pPr>
    </w:p>
    <w:p>
      <w:pPr>
        <w:ind w:left="1680" w:hanging="646"/>
        <w:spacing w:after="0" w:line="277" w:lineRule="auto"/>
        <w:tabs>
          <w:tab w:leader="none" w:pos="16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Vringo’s use of the FACETONES Mark will be limited to video ringtone goods and services, and any promotional merchandise and advertisements directly related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5" w:name="page66"/>
    <w:bookmarkEnd w:id="65"/>
    <w:p>
      <w:pPr>
        <w:ind w:left="1680" w:hanging="646"/>
        <w:spacing w:after="0" w:line="277" w:lineRule="auto"/>
        <w:tabs>
          <w:tab w:leader="none" w:pos="16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goods and services offered under the FACETONES will always be promoted and described so that it is clear that “face” is being used descriptively to describe pictures of a user’s and a user’s friends’ faces and not to refer to Facebook;</w:t>
      </w:r>
    </w:p>
    <w:p>
      <w:pPr>
        <w:spacing w:after="0" w:line="170" w:lineRule="exact"/>
        <w:rPr>
          <w:rFonts w:ascii="Arial" w:cs="Arial" w:eastAsia="Arial" w:hAnsi="Arial"/>
          <w:sz w:val="18"/>
          <w:szCs w:val="18"/>
          <w:color w:val="auto"/>
        </w:rPr>
      </w:pPr>
    </w:p>
    <w:p>
      <w:pPr>
        <w:ind w:left="1680" w:hanging="646"/>
        <w:spacing w:after="0" w:line="277" w:lineRule="auto"/>
        <w:tabs>
          <w:tab w:leader="none" w:pos="16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FACETONES mark shall not be displayed using the stylization and/or any likeliness of the Facebook brand, including but not limited to lower-case, or in blue, or in a white and blue combination.</w:t>
      </w:r>
    </w:p>
    <w:p>
      <w:pPr>
        <w:spacing w:after="0" w:line="170" w:lineRule="exact"/>
        <w:rPr>
          <w:rFonts w:ascii="Arial" w:cs="Arial" w:eastAsia="Arial" w:hAnsi="Arial"/>
          <w:sz w:val="18"/>
          <w:szCs w:val="18"/>
          <w:color w:val="auto"/>
        </w:rPr>
      </w:pPr>
    </w:p>
    <w:p>
      <w:pPr>
        <w:ind w:left="1680" w:hanging="646"/>
        <w:spacing w:after="0" w:line="277" w:lineRule="auto"/>
        <w:tabs>
          <w:tab w:leader="none" w:pos="16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FACETONES Mark shall not be used as a name for an online network. For the avoidance of doubt, the FACETONES Mark may be integrated with other online networks, platforms and/or websites as described in Paragraph 7 below.</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2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Vringo may describe the FACETONES goods and services as integrated with Facebook provided that such description is fair and accurate, and complies with Facebook’s Terms of Use, and provided that, within sixty (60) days of the Effective Date of this Agreement, all such descriptions do not suggest the goods and services are exclusively integrated with Facebook. For example, within sixty (60) days of the Effective Date of this Agreement, any reference by Vringo to FACEBOOK in describing Vringo’s goods and services must also identify other online platforms or websites with which FACETONES is integrated so that it is clear to the consumers that FACETONES is not exclusively integrated with Facebook. Nothing in this Agreement modifies or supersedes the terms that govern Vringo’s use of the Facebook service, including the Facebook Platform.</w:t>
      </w:r>
    </w:p>
    <w:p>
      <w:pPr>
        <w:spacing w:after="0" w:line="178" w:lineRule="exact"/>
        <w:rPr>
          <w:rFonts w:ascii="Arial" w:cs="Arial" w:eastAsia="Arial" w:hAnsi="Arial"/>
          <w:sz w:val="17"/>
          <w:szCs w:val="17"/>
          <w:color w:val="auto"/>
        </w:rPr>
      </w:pPr>
    </w:p>
    <w:p>
      <w:pPr>
        <w:jc w:val="both"/>
        <w:ind w:firstLine="656"/>
        <w:spacing w:after="0" w:line="279" w:lineRule="auto"/>
        <w:tabs>
          <w:tab w:leader="none" w:pos="1294" w:val="left"/>
        </w:tabs>
        <w:numPr>
          <w:ilvl w:val="0"/>
          <w:numId w:val="44"/>
        </w:numPr>
        <w:rPr>
          <w:rFonts w:ascii="Arial" w:cs="Arial" w:eastAsia="Arial" w:hAnsi="Arial"/>
          <w:sz w:val="17"/>
          <w:szCs w:val="17"/>
          <w:color w:val="auto"/>
        </w:rPr>
      </w:pPr>
      <w:r>
        <w:rPr>
          <w:rFonts w:ascii="Arial" w:cs="Arial" w:eastAsia="Arial" w:hAnsi="Arial"/>
          <w:sz w:val="17"/>
          <w:szCs w:val="17"/>
          <w:color w:val="auto"/>
        </w:rPr>
        <w:t>So long as there is no actual consumer confusion between Facebook and Vringo or the goods or services provided under the FACETONES Mark, Facebook agrees not to challenge Vringo’s use or registration of the FACETONES Mark in connection with video ringtone goods and services provided that Vringo complies with the restrictions set forth in this Agreement. Facebook specifically reserves the right to oppose, or challenge in any way, any other marks which Vringo may adopt or seek to secure, including any other mark incorporating the term FACE.</w:t>
      </w:r>
    </w:p>
    <w:p>
      <w:pPr>
        <w:spacing w:after="0" w:line="171" w:lineRule="exact"/>
        <w:rPr>
          <w:rFonts w:ascii="Arial" w:cs="Arial" w:eastAsia="Arial" w:hAnsi="Arial"/>
          <w:sz w:val="17"/>
          <w:szCs w:val="17"/>
          <w:color w:val="auto"/>
        </w:rPr>
      </w:pPr>
    </w:p>
    <w:p>
      <w:pPr>
        <w:jc w:val="both"/>
        <w:ind w:firstLine="656"/>
        <w:spacing w:after="0" w:line="255" w:lineRule="auto"/>
        <w:tabs>
          <w:tab w:leader="none" w:pos="1382"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Facebook acknowledges that, as of the Effective Date of this Agreement, Facebook’s counsel has not learned of any instances of actual confusion of consumers as to perceptions of connection, association or affiliation between Facebook and Vringo or the video ringtone goods and services offered under the FACETONES mark. Facebook has not performed a search of its business records for any such instances of confusion. In the event that either Party learns of any instances of actual confusion of consumers as to perceptions of connection, association or affiliation between Facebook and Vringo or the video ringtone goods and services offered under the FACETONES mark, it shall notify the other Party thereof promptly and in writing. With respect to the first, second, third, and fourth instance of actual confusion or association, Vringo shall have ten (10) days to take corrective and mitigating efforts to Facebook’s reasonable satisfaction.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6" w:name="page67"/>
    <w:bookmarkEnd w:id="66"/>
    <w:p>
      <w:pPr>
        <w:jc w:val="both"/>
        <w:ind w:firstLine="656"/>
        <w:spacing w:after="0" w:line="259" w:lineRule="auto"/>
        <w:tabs>
          <w:tab w:leader="none" w:pos="12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that Vringo does not cure an instance of confusion or association to Facebook’s reasonable satisfaction, or in the event of a fifth instance of actual confusion or association, this Agreement shall be no bar to any trademark enforcement efforts deemed appropriate by Facebook at its sole discretion, including, but not limited to, cancellation proceedings before the TTAB, and court action for infringement and/or dilution, including injunctive relief.</w:t>
      </w:r>
    </w:p>
    <w:p>
      <w:pPr>
        <w:spacing w:after="0" w:line="186" w:lineRule="exact"/>
        <w:rPr>
          <w:rFonts w:ascii="Arial" w:cs="Arial" w:eastAsia="Arial" w:hAnsi="Arial"/>
          <w:sz w:val="18"/>
          <w:szCs w:val="18"/>
          <w:color w:val="auto"/>
        </w:rPr>
      </w:pPr>
    </w:p>
    <w:p>
      <w:pPr>
        <w:jc w:val="both"/>
        <w:ind w:firstLine="656"/>
        <w:spacing w:after="0" w:line="273" w:lineRule="auto"/>
        <w:tabs>
          <w:tab w:leader="none" w:pos="132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provisions of this Agreement are confidential, and the Parties agree not to disseminate or disclose to any other person or entity any of the terms and conditions of the Agreement. Notwithstanding the foregoing, (1) the Parties may publicly disclose (including, without limitation, in an 8K or other disclosure document) that there was a dispute regarding the FACETONES Mark, that the dispute has been resolved to the satisfaction of all the Parties, and that there is an agreement in place between the Parties regarding Vringo’s use of the FACETONES Mark and (2) the Parties shall be permitted to disclose confidentially the terms and conditions of this Agreement to their respective officers, directors, employees, attorneys, auditors and insurers, or as otherwise required by law in the conduct of their respective businesses.</w:t>
      </w:r>
    </w:p>
    <w:p>
      <w:pPr>
        <w:spacing w:after="0" w:line="178" w:lineRule="exact"/>
        <w:rPr>
          <w:rFonts w:ascii="Arial" w:cs="Arial" w:eastAsia="Arial" w:hAnsi="Arial"/>
          <w:sz w:val="17"/>
          <w:szCs w:val="17"/>
          <w:color w:val="auto"/>
        </w:rPr>
      </w:pPr>
    </w:p>
    <w:p>
      <w:pPr>
        <w:ind w:firstLine="656"/>
        <w:spacing w:after="0" w:line="277" w:lineRule="auto"/>
        <w:tabs>
          <w:tab w:leader="none" w:pos="1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Party hereto shall be solely responsible for its own legal expenses and costs in connection with this Agreement, including the negotiation, execution, and performance of this Agreement.</w:t>
      </w:r>
    </w:p>
    <w:p>
      <w:pPr>
        <w:spacing w:after="0" w:line="170" w:lineRule="exact"/>
        <w:rPr>
          <w:rFonts w:ascii="Arial" w:cs="Arial" w:eastAsia="Arial" w:hAnsi="Arial"/>
          <w:sz w:val="18"/>
          <w:szCs w:val="18"/>
          <w:color w:val="auto"/>
        </w:rPr>
      </w:pPr>
    </w:p>
    <w:p>
      <w:pPr>
        <w:ind w:firstLine="656"/>
        <w:spacing w:after="0" w:line="277" w:lineRule="auto"/>
        <w:tabs>
          <w:tab w:leader="none" w:pos="13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Both Parties have participated in the negotiation and preparation of this Agreement. Therefore this Agreement shall be construed in a fair and objective manner, and not strictly for or against either Party.</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32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Agreement shall be construed under the laws of the State of California without respect to choice of law principles. The Parties further agree that jurisdiction and venue shall be in the jurisdiction and venue of the non-moving party (i.e., Northern District of California if Facebook is the non-moving party and New York if Vringo is the non-moving party). The Parties waive any objection to such jurisdiction or venue.</w:t>
      </w:r>
    </w:p>
    <w:p>
      <w:pPr>
        <w:spacing w:after="0" w:line="165" w:lineRule="exact"/>
        <w:rPr>
          <w:rFonts w:ascii="Arial" w:cs="Arial" w:eastAsia="Arial" w:hAnsi="Arial"/>
          <w:sz w:val="17"/>
          <w:szCs w:val="17"/>
          <w:color w:val="auto"/>
        </w:rPr>
      </w:pPr>
    </w:p>
    <w:p>
      <w:pPr>
        <w:jc w:val="both"/>
        <w:ind w:firstLine="656"/>
        <w:spacing w:after="0" w:line="302" w:lineRule="auto"/>
        <w:tabs>
          <w:tab w:leader="none" w:pos="1341"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Nothing in this Agreement will be construed so as to impair any legal or equitable right of any Party hereto to enforce any of the terms of the Agreement by any means, including without limitation, an action for damages or a suit to obtain specific performance of any or all of the terms of the Agreement. The Parties acknowledge that a breach hereof will cause such injury as U.S. federal law and the laws of the State of California recognize as immediate and irreparable and that preliminary and permanent injunctive relief would be appropriate in the event such a breach is established.</w:t>
      </w:r>
    </w:p>
    <w:p>
      <w:pPr>
        <w:spacing w:after="0" w:line="154" w:lineRule="exact"/>
        <w:rPr>
          <w:rFonts w:ascii="Arial" w:cs="Arial" w:eastAsia="Arial" w:hAnsi="Arial"/>
          <w:sz w:val="16"/>
          <w:szCs w:val="16"/>
          <w:color w:val="auto"/>
        </w:rPr>
      </w:pPr>
    </w:p>
    <w:p>
      <w:pPr>
        <w:ind w:firstLine="656"/>
        <w:spacing w:after="0" w:line="277" w:lineRule="auto"/>
        <w:tabs>
          <w:tab w:leader="none" w:pos="14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Parties to this Agreement acknowledge that they have had the opportunity to seek legal counsel and are represented by counsel concerning the matters resolved by the Agreement and the Agreement itself.</w:t>
      </w:r>
    </w:p>
    <w:p>
      <w:pPr>
        <w:spacing w:after="0" w:line="170" w:lineRule="exact"/>
        <w:rPr>
          <w:rFonts w:ascii="Arial" w:cs="Arial" w:eastAsia="Arial" w:hAnsi="Arial"/>
          <w:sz w:val="18"/>
          <w:szCs w:val="18"/>
          <w:color w:val="auto"/>
        </w:rPr>
      </w:pPr>
    </w:p>
    <w:p>
      <w:pPr>
        <w:ind w:right="20" w:firstLine="656"/>
        <w:spacing w:after="0" w:line="308" w:lineRule="auto"/>
        <w:tabs>
          <w:tab w:leader="none" w:pos="1457"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Agreement is binding upon and shall inure to the benefit of each Party to this Agreement and their respective officers, directors, investors, employees, agents, subsidiaries, parent corporations, affiliated companies, licensees, predecessors, successors, assigns, and heirs.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7" w:name="page68"/>
    <w:bookmarkEnd w:id="67"/>
    <w:p>
      <w:pPr>
        <w:ind w:left="1280" w:hanging="624"/>
        <w:spacing w:after="0"/>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Agreement is not assignable without Facebook’s written approval and consent which shall not be unreasonably withheld.</w:t>
      </w:r>
    </w:p>
    <w:p>
      <w:pPr>
        <w:spacing w:after="0" w:line="225" w:lineRule="exact"/>
        <w:rPr>
          <w:rFonts w:ascii="Arial" w:cs="Arial" w:eastAsia="Arial" w:hAnsi="Arial"/>
          <w:sz w:val="18"/>
          <w:szCs w:val="18"/>
          <w:color w:val="auto"/>
        </w:rPr>
      </w:pPr>
    </w:p>
    <w:p>
      <w:pPr>
        <w:ind w:right="20" w:firstLine="656"/>
        <w:spacing w:after="0" w:line="277" w:lineRule="auto"/>
        <w:tabs>
          <w:tab w:leader="none" w:pos="13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person signing this Agreement represents and warrants that he or she has full legal authority to sign this Agreement on behalf of the Party for which he or she purports to act.</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provisions of this Agreement shall be effective worldwide.</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28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shall be no amendments, modifications or supplements to this Agreement unless any such amendments, modifications or supplements are in writing and signed by both Parties to this Agreement. This provision cannot be waived or otherwise rendered unenforceable except by a written document signed by both Parties to this Agreement.</w:t>
      </w:r>
    </w:p>
    <w:p>
      <w:pPr>
        <w:spacing w:after="0" w:line="181" w:lineRule="exact"/>
        <w:rPr>
          <w:rFonts w:ascii="Arial" w:cs="Arial" w:eastAsia="Arial" w:hAnsi="Arial"/>
          <w:sz w:val="18"/>
          <w:szCs w:val="18"/>
          <w:color w:val="auto"/>
        </w:rPr>
      </w:pPr>
    </w:p>
    <w:p>
      <w:pPr>
        <w:jc w:val="both"/>
        <w:ind w:firstLine="656"/>
        <w:spacing w:after="0" w:line="293" w:lineRule="auto"/>
        <w:tabs>
          <w:tab w:leader="none" w:pos="1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with regard to the subject matter set forth herein and supersedes all prior and contemporaneous agreements, understandings, and representations between the Parties, oral or written, concerning the subject matter hereof. No representation, promise, condition, inducement or statement of intention, express or implied, that is not set forth in this Agreement has been made by any Party concerning such subject matter. No Party has relied upon any representation, promise, condition, inducement or statement of intention, express or implied, that is not set forth in this Agreement concerning such subject matter, and no Party shall be bound by any purported representation, promise, condition, inducement or statement of intention, express or implied, that is not set forth in this Agreement concerning such subject matter.</w:t>
      </w:r>
    </w:p>
    <w:p>
      <w:pPr>
        <w:spacing w:after="0" w:line="164" w:lineRule="exact"/>
        <w:rPr>
          <w:rFonts w:ascii="Arial" w:cs="Arial" w:eastAsia="Arial" w:hAnsi="Arial"/>
          <w:sz w:val="16"/>
          <w:szCs w:val="16"/>
          <w:color w:val="auto"/>
        </w:rPr>
      </w:pPr>
    </w:p>
    <w:p>
      <w:pPr>
        <w:ind w:firstLine="656"/>
        <w:spacing w:after="0" w:line="342" w:lineRule="auto"/>
        <w:tabs>
          <w:tab w:leader="none" w:pos="137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invalidity of any paragraph herein, or any part hereof, shall not render the balance of the Agreement invalid. Any paragraph, or part thereof, which is determined to be invalid shall be severed from the Agreement and the remainder of the Agreement shall continue in full force and effect.</w:t>
      </w:r>
    </w:p>
    <w:p>
      <w:pPr>
        <w:spacing w:after="0" w:line="123" w:lineRule="exact"/>
        <w:rPr>
          <w:rFonts w:ascii="Arial" w:cs="Arial" w:eastAsia="Arial" w:hAnsi="Arial"/>
          <w:sz w:val="16"/>
          <w:szCs w:val="16"/>
          <w:color w:val="auto"/>
        </w:rPr>
      </w:pPr>
    </w:p>
    <w:p>
      <w:pPr>
        <w:jc w:val="both"/>
        <w:ind w:firstLine="656"/>
        <w:spacing w:after="0" w:line="264"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failure of any Party at any time or times to demand strict performance by the other Parties of any of the terms or conditions of the Agreement shall not be construed as a continuing waiver or relinquishment thereof and each may at any time demand strict and complete performance by the other of such terms and conditions.</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33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Agreement may be executed in counterparts, each of which shall be deemed an original, but all of which together shall constitute one and the same instrument. Any signature delivered by a party by facsimile or other form of electronic transmission shall be deemed to be an original signature hereto.</w:t>
      </w:r>
    </w:p>
    <w:p>
      <w:pPr>
        <w:spacing w:after="0" w:line="181" w:lineRule="exact"/>
        <w:rPr>
          <w:rFonts w:ascii="Arial" w:cs="Arial" w:eastAsia="Arial" w:hAnsi="Arial"/>
          <w:sz w:val="18"/>
          <w:szCs w:val="18"/>
          <w:color w:val="auto"/>
        </w:rPr>
      </w:pPr>
    </w:p>
    <w:p>
      <w:pPr>
        <w:ind w:right="20" w:firstLine="656"/>
        <w:spacing w:after="0" w:line="308" w:lineRule="auto"/>
        <w:tabs>
          <w:tab w:leader="none" w:pos="1417"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notices and other written communications relating to this Agreement shall be in writing and shall be deemed to be fully given and received if sent by Federal Express or registered mail, postage prepaid, to the respective Parties' attorneys at the following addresses: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8" w:name="page69"/>
    <w:bookmarkEnd w:id="68"/>
    <w:p>
      <w:pPr>
        <w:ind w:left="1300"/>
        <w:spacing w:after="0"/>
        <w:rPr>
          <w:sz w:val="20"/>
          <w:szCs w:val="20"/>
          <w:color w:val="auto"/>
        </w:rPr>
      </w:pPr>
      <w:r>
        <w:rPr>
          <w:rFonts w:ascii="Arial" w:cs="Arial" w:eastAsia="Arial" w:hAnsi="Arial"/>
          <w:sz w:val="18"/>
          <w:szCs w:val="18"/>
          <w:color w:val="auto"/>
        </w:rPr>
        <w:t>to Vringo, Inc.: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Andrew Perlman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West 28th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1414 New York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10001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andrew.perlman@vringo.com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Oliver Herzfeld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Joseph, Herzfeld, Hester &amp; Kirschenbaum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233 Broadway Fl 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10279-0599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917-940-5399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oherzfeld@gmail.com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Facebook: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Anne H. Peck</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Cooley LLP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Five Palo Alto Square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3000 El Camino Real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 94306-2155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(650) 843-5096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peckah@cooley.com</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sent by registered mail, the notice shall also be sent by e-mail. Either Party hereto may change its address for the purposes of this Agreement by giving the other Party written notice of its new address.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WHEREFORE, the Parties hereto have caused this Agreement to be executed.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ACEBOOK</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7560" w:type="dxa"/>
            <w:vAlign w:val="bottom"/>
          </w:tcPr>
          <w:p>
            <w:pPr>
              <w:ind w:left="196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RINGO</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By: /s/ Kathleen E. Johnston</w:t>
            </w:r>
          </w:p>
        </w:tc>
        <w:tc>
          <w:tcPr>
            <w:tcW w:w="7560" w:type="dxa"/>
            <w:vAlign w:val="bottom"/>
          </w:tcPr>
          <w:p>
            <w:pPr>
              <w:ind w:left="1960"/>
              <w:spacing w:after="0"/>
              <w:rPr>
                <w:sz w:val="20"/>
                <w:szCs w:val="20"/>
                <w:color w:val="auto"/>
              </w:rPr>
            </w:pPr>
            <w:r>
              <w:rPr>
                <w:rFonts w:ascii="Arial" w:cs="Arial" w:eastAsia="Arial" w:hAnsi="Arial"/>
                <w:sz w:val="18"/>
                <w:szCs w:val="18"/>
                <w:color w:val="auto"/>
              </w:rPr>
              <w:t>By: /s/ Andrew Perlman</w:t>
            </w:r>
          </w:p>
        </w:tc>
      </w:tr>
      <w:tr>
        <w:trPr>
          <w:trHeight w:val="418"/>
        </w:trPr>
        <w:tc>
          <w:tcPr>
            <w:tcW w:w="3860" w:type="dxa"/>
            <w:vAlign w:val="bottom"/>
          </w:tcPr>
          <w:p>
            <w:pPr>
              <w:spacing w:after="0"/>
              <w:rPr>
                <w:sz w:val="20"/>
                <w:szCs w:val="20"/>
                <w:color w:val="auto"/>
              </w:rPr>
            </w:pPr>
            <w:r>
              <w:rPr>
                <w:rFonts w:ascii="Arial" w:cs="Arial" w:eastAsia="Arial" w:hAnsi="Arial"/>
                <w:sz w:val="18"/>
                <w:szCs w:val="18"/>
                <w:color w:val="auto"/>
              </w:rPr>
              <w:t>Name: Kathleen E. Johnston</w:t>
            </w:r>
          </w:p>
        </w:tc>
        <w:tc>
          <w:tcPr>
            <w:tcW w:w="7560" w:type="dxa"/>
            <w:vAlign w:val="bottom"/>
          </w:tcPr>
          <w:p>
            <w:pPr>
              <w:ind w:left="1960"/>
              <w:spacing w:after="0"/>
              <w:rPr>
                <w:sz w:val="20"/>
                <w:szCs w:val="20"/>
                <w:color w:val="auto"/>
              </w:rPr>
            </w:pPr>
            <w:r>
              <w:rPr>
                <w:rFonts w:ascii="Arial" w:cs="Arial" w:eastAsia="Arial" w:hAnsi="Arial"/>
                <w:sz w:val="18"/>
                <w:szCs w:val="18"/>
                <w:color w:val="auto"/>
              </w:rPr>
              <w:t>Name: Andrew Perlman</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Title: IP Counsel</w:t>
            </w:r>
          </w:p>
        </w:tc>
        <w:tc>
          <w:tcPr>
            <w:tcW w:w="7560" w:type="dxa"/>
            <w:vAlign w:val="bottom"/>
          </w:tcPr>
          <w:p>
            <w:pPr>
              <w:ind w:left="1960"/>
              <w:spacing w:after="0"/>
              <w:rPr>
                <w:sz w:val="20"/>
                <w:szCs w:val="20"/>
                <w:color w:val="auto"/>
              </w:rPr>
            </w:pPr>
            <w:r>
              <w:rPr>
                <w:rFonts w:ascii="Arial" w:cs="Arial" w:eastAsia="Arial" w:hAnsi="Arial"/>
                <w:sz w:val="18"/>
                <w:szCs w:val="18"/>
                <w:color w:val="auto"/>
              </w:rPr>
              <w:t>Title: President</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February 9, 2012</w:t>
            </w:r>
          </w:p>
        </w:tc>
        <w:tc>
          <w:tcPr>
            <w:tcW w:w="7560" w:type="dxa"/>
            <w:vAlign w:val="bottom"/>
          </w:tcPr>
          <w:p>
            <w:pPr>
              <w:ind w:left="1960"/>
              <w:spacing w:after="0"/>
              <w:rPr>
                <w:sz w:val="20"/>
                <w:szCs w:val="20"/>
                <w:color w:val="auto"/>
              </w:rPr>
            </w:pPr>
            <w:r>
              <w:rPr>
                <w:rFonts w:ascii="Arial" w:cs="Arial" w:eastAsia="Arial" w:hAnsi="Arial"/>
                <w:sz w:val="18"/>
                <w:szCs w:val="18"/>
                <w:color w:val="auto"/>
              </w:rPr>
              <w:t>Date: February 9, 2012</w:t>
            </w:r>
          </w:p>
        </w:tc>
      </w:tr>
      <w:tr>
        <w:trPr>
          <w:trHeight w:val="648"/>
        </w:trPr>
        <w:tc>
          <w:tcPr>
            <w:tcW w:w="38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882"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Perlman, certify that:</w:t>
      </w:r>
    </w:p>
    <w:p>
      <w:pPr>
        <w:spacing w:after="0" w:line="225"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8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70" w:lineRule="exact"/>
        <w:rPr>
          <w:sz w:val="20"/>
          <w:szCs w:val="20"/>
          <w:color w:val="auto"/>
        </w:rPr>
      </w:pPr>
    </w:p>
    <w:p>
      <w:pPr>
        <w:jc w:val="both"/>
        <w:ind w:firstLine="8"/>
        <w:spacing w:after="0" w:line="264" w:lineRule="auto"/>
        <w:tabs>
          <w:tab w:leader="none" w:pos="19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308" w:lineRule="auto"/>
        <w:tabs>
          <w:tab w:leader="none" w:pos="227" w:val="left"/>
        </w:tabs>
        <w:numPr>
          <w:ilvl w:val="0"/>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6" w:lineRule="exact"/>
        <w:rPr>
          <w:rFonts w:ascii="Arial" w:cs="Arial" w:eastAsia="Arial" w:hAnsi="Arial"/>
          <w:sz w:val="17"/>
          <w:szCs w:val="17"/>
          <w:color w:val="auto"/>
        </w:rPr>
      </w:pPr>
    </w:p>
    <w:p>
      <w:pPr>
        <w:jc w:val="both"/>
        <w:ind w:firstLine="8"/>
        <w:spacing w:after="0" w:line="264" w:lineRule="auto"/>
        <w:tabs>
          <w:tab w:leader="none" w:pos="21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2012</w:t>
      </w:r>
    </w:p>
    <w:p>
      <w:pPr>
        <w:spacing w:after="0" w:line="225" w:lineRule="exact"/>
        <w:rPr>
          <w:sz w:val="20"/>
          <w:szCs w:val="20"/>
          <w:color w:val="auto"/>
        </w:rPr>
      </w:pPr>
    </w:p>
    <w:p>
      <w:pPr>
        <w:ind w:left="4500"/>
        <w:spacing w:after="0"/>
        <w:tabs>
          <w:tab w:leader="none" w:pos="48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PERLMAN</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Ellen Cohl, certify that:</w:t>
      </w:r>
    </w:p>
    <w:p>
      <w:pPr>
        <w:spacing w:after="0" w:line="225"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70" w:lineRule="exact"/>
        <w:rPr>
          <w:sz w:val="20"/>
          <w:szCs w:val="20"/>
          <w:color w:val="auto"/>
        </w:rPr>
      </w:pPr>
    </w:p>
    <w:p>
      <w:pPr>
        <w:jc w:val="both"/>
        <w:ind w:firstLine="8"/>
        <w:spacing w:after="0" w:line="264" w:lineRule="auto"/>
        <w:tabs>
          <w:tab w:leader="none" w:pos="1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308" w:lineRule="auto"/>
        <w:tabs>
          <w:tab w:leader="none" w:pos="227" w:val="left"/>
        </w:tabs>
        <w:numPr>
          <w:ilvl w:val="0"/>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6" w:lineRule="exact"/>
        <w:rPr>
          <w:rFonts w:ascii="Arial" w:cs="Arial" w:eastAsia="Arial" w:hAnsi="Arial"/>
          <w:sz w:val="17"/>
          <w:szCs w:val="17"/>
          <w:color w:val="auto"/>
        </w:rPr>
      </w:pPr>
    </w:p>
    <w:p>
      <w:pPr>
        <w:jc w:val="both"/>
        <w:ind w:firstLine="8"/>
        <w:spacing w:after="0" w:line="264" w:lineRule="auto"/>
        <w:tabs>
          <w:tab w:leader="none" w:pos="2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2012</w:t>
      </w:r>
    </w:p>
    <w:p>
      <w:pPr>
        <w:spacing w:after="0" w:line="225" w:lineRule="exact"/>
        <w:rPr>
          <w:sz w:val="20"/>
          <w:szCs w:val="20"/>
          <w:color w:val="auto"/>
        </w:rPr>
      </w:pPr>
    </w:p>
    <w:p>
      <w:pPr>
        <w:ind w:left="4800"/>
        <w:spacing w:after="0"/>
        <w:tabs>
          <w:tab w:leader="none" w:pos="5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ELLEN COHL</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March 31, 2012 as filed with the Securities and Exchange Commission on the date hereof (the "Report") I, Andrew Perlman, Chief Executive Officer of the Company, certify, pursuant to § 906 of the Sarbanes-Oxley Act of 2002,18 U.S.C. § 1350, that to my knowledge:</w:t>
      </w:r>
    </w:p>
    <w:p>
      <w:pPr>
        <w:spacing w:after="0" w:line="181"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 (d)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15, 2012</w:t>
      </w:r>
    </w:p>
    <w:p>
      <w:pPr>
        <w:ind w:left="4500"/>
        <w:spacing w:after="0"/>
        <w:tabs>
          <w:tab w:leader="none" w:pos="48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PERLMAN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March 31, 2012 as filed with the Securities and Exchange Commission on the date hereof (the "Report") I, Ellen Cohl, Chief Financial Officer of the Company, certify, pursuant to §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15, 2012</w:t>
      </w:r>
    </w:p>
    <w:p>
      <w:pPr>
        <w:ind w:left="4800"/>
        <w:spacing w:after="0"/>
        <w:tabs>
          <w:tab w:leader="none" w:pos="5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ELLEN COHL</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lowerLetter"/>
      <w:start w:val="1"/>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lowerRoman"/>
      <w:start w:val="4"/>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lvl w:ilvl="1">
      <w:lvlJc w:val="left"/>
      <w:lvlText w:val="(%2)"/>
      <w:numFmt w:val="lowerRoman"/>
      <w:start w:val="4"/>
    </w:lvl>
  </w:abstractNum>
  <w:abstractNum w:abstractNumId="12">
    <w:nsid w:val="419AC241"/>
    <w:multiLevelType w:val="hybridMultilevel"/>
    <w:lvl w:ilvl="0">
      <w:lvlJc w:val="left"/>
      <w:lvlText w:val="%1."/>
      <w:numFmt w:val="decimal"/>
      <w:start w:val="1"/>
    </w:lvl>
    <w:lvl w:ilvl="1">
      <w:lvlJc w:val="left"/>
      <w:lvlText w:val="(%2)"/>
      <w:numFmt w:val="lowerLetter"/>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lowerLetter"/>
      <w:start w:val="4"/>
    </w:lvl>
    <w:lvl w:ilvl="1">
      <w:lvlJc w:val="left"/>
      <w:lvlText w:val="(%2)"/>
      <w:numFmt w:val="lowerRoman"/>
      <w:start w:val="1"/>
    </w:lvl>
  </w:abstractNum>
  <w:abstractNum w:abstractNumId="15">
    <w:nsid w:val="5072367"/>
    <w:multiLevelType w:val="hybridMultilevel"/>
    <w:lvl w:ilvl="0">
      <w:lvlJc w:val="left"/>
      <w:lvlText w:val="%1"/>
      <w:numFmt w:val="decimal"/>
      <w:start w:val="1"/>
    </w:lvl>
    <w:lvl w:ilvl="1">
      <w:lvlJc w:val="left"/>
      <w:lvlText w:val="(%2)"/>
      <w:numFmt w:val="lowerLetter"/>
      <w:start w:val="6"/>
    </w:lvl>
  </w:abstractNum>
  <w:abstractNum w:abstractNumId="16">
    <w:nsid w:val="3804823E"/>
    <w:multiLevelType w:val="hybridMultilevel"/>
    <w:lvl w:ilvl="0">
      <w:lvlJc w:val="left"/>
      <w:lvlText w:val="%1."/>
      <w:numFmt w:val="decimal"/>
      <w:start w:val="2"/>
    </w:lvl>
    <w:lvl w:ilvl="1">
      <w:lvlJc w:val="left"/>
      <w:lvlText w:val="(%2)"/>
      <w:numFmt w:val="lowerLetter"/>
      <w:start w:val="1"/>
    </w:lvl>
  </w:abstractNum>
  <w:abstractNum w:abstractNumId="17">
    <w:nsid w:val="77465F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8">
    <w:nsid w:val="7724C67E"/>
    <w:multiLevelType w:val="hybridMultilevel"/>
    <w:lvl w:ilvl="0">
      <w:lvlJc w:val="left"/>
      <w:lvlText w:val="(%1)"/>
      <w:numFmt w:val="lowerLetter"/>
      <w:start w:val="61"/>
    </w:lvl>
    <w:lvl w:ilvl="1">
      <w:lvlJc w:val="left"/>
      <w:lvlText w:val="%2."/>
      <w:numFmt w:val="decimal"/>
      <w:start w:val="2"/>
    </w:lvl>
    <w:lvl w:ilvl="2">
      <w:lvlJc w:val="left"/>
      <w:lvlText w:val="(%3)"/>
      <w:numFmt w:val="lowerLetter"/>
      <w:start w:val="3"/>
    </w:lvl>
  </w:abstractNum>
  <w:abstractNum w:abstractNumId="19">
    <w:nsid w:val="5C482A9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0">
    <w:nsid w:val="2463B9EA"/>
    <w:multiLevelType w:val="hybridMultilevel"/>
    <w:lvl w:ilvl="0">
      <w:lvlJc w:val="left"/>
      <w:lvlText w:val="%1."/>
      <w:numFmt w:val="decimal"/>
      <w:start w:val="4"/>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1."/>
      <w:numFmt w:val="decimal"/>
      <w:start w:val="6"/>
    </w:lvl>
    <w:lvl w:ilvl="1">
      <w:lvlJc w:val="left"/>
      <w:lvlText w:val="(%2)"/>
      <w:numFmt w:val="lowerLetter"/>
      <w:start w:val="1"/>
    </w:lvl>
  </w:abstractNum>
  <w:abstractNum w:abstractNumId="23">
    <w:nsid w:val="2D517796"/>
    <w:multiLevelType w:val="hybridMultilevel"/>
    <w:lvl w:ilvl="0">
      <w:lvlJc w:val="left"/>
      <w:lvlText w:val="%1."/>
      <w:numFmt w:val="decimal"/>
      <w:start w:val="7"/>
    </w:lvl>
  </w:abstractNum>
  <w:abstractNum w:abstractNumId="24">
    <w:nsid w:val="580BD78F"/>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25">
    <w:nsid w:val="153EA43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abstractNum>
  <w:abstractNum w:abstractNumId="26">
    <w:nsid w:val="3855585C"/>
    <w:multiLevelType w:val="hybridMultilevel"/>
    <w:lvl w:ilvl="0">
      <w:lvlJc w:val="left"/>
      <w:lvlText w:val="%1."/>
      <w:numFmt w:val="decimal"/>
      <w:start w:val="1"/>
    </w:lvl>
    <w:lvl w:ilvl="1">
      <w:lvlJc w:val="left"/>
      <w:lvlText w:val="(%2)"/>
      <w:numFmt w:val="lowerLetter"/>
      <w:start w:val="1"/>
    </w:lvl>
  </w:abstractNum>
  <w:abstractNum w:abstractNumId="27">
    <w:nsid w:val="70A64E2A"/>
    <w:multiLevelType w:val="hybridMultilevel"/>
    <w:lvl w:ilvl="0">
      <w:lvlJc w:val="left"/>
      <w:lvlText w:val="(%1)"/>
      <w:numFmt w:val="lowerRoman"/>
      <w:start w:val="1"/>
    </w:lvl>
  </w:abstractNum>
  <w:abstractNum w:abstractNumId="28">
    <w:nsid w:val="6A2342EC"/>
    <w:multiLevelType w:val="hybridMultilevel"/>
    <w:lvl w:ilvl="0">
      <w:lvlJc w:val="left"/>
      <w:lvlText w:val="%1"/>
      <w:numFmt w:val="lowerLetter"/>
      <w:start w:val="1"/>
    </w:lvl>
    <w:lvl w:ilvl="1">
      <w:lvlJc w:val="left"/>
      <w:lvlText w:val="(%2)"/>
      <w:numFmt w:val="lowerLetter"/>
      <w:start w:val="35"/>
    </w:lvl>
  </w:abstractNum>
  <w:abstractNum w:abstractNumId="29">
    <w:nsid w:val="2A487CB0"/>
    <w:multiLevelType w:val="hybridMultilevel"/>
    <w:lvl w:ilvl="0">
      <w:lvlJc w:val="left"/>
      <w:lvlText w:val="(%1)"/>
      <w:numFmt w:val="lowerLetter"/>
      <w:start w:val="4"/>
    </w:lvl>
    <w:lvl w:ilvl="1">
      <w:lvlJc w:val="left"/>
      <w:lvlText w:val="%2"/>
      <w:numFmt w:val="lowerLetter"/>
      <w:start w:val="1"/>
    </w:lvl>
  </w:abstractNum>
  <w:abstractNum w:abstractNumId="30">
    <w:nsid w:val="1D4ED43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1">
    <w:nsid w:val="725A06FB"/>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2">
    <w:nsid w:val="2CD89A32"/>
    <w:multiLevelType w:val="hybridMultilevel"/>
    <w:lvl w:ilvl="0">
      <w:lvlJc w:val="left"/>
      <w:lvlText w:val="%1"/>
      <w:numFmt w:val="decimal"/>
      <w:start w:val="1"/>
    </w:lvl>
    <w:lvl w:ilvl="1">
      <w:lvlJc w:val="left"/>
      <w:lvlText w:val="(%2)"/>
      <w:numFmt w:val="lowerLetter"/>
      <w:start w:val="3"/>
    </w:lvl>
  </w:abstractNum>
  <w:abstractNum w:abstractNumId="33">
    <w:nsid w:val="57E4CCAF"/>
    <w:multiLevelType w:val="hybridMultilevel"/>
    <w:lvl w:ilvl="0">
      <w:lvlJc w:val="left"/>
      <w:lvlText w:val="%1."/>
      <w:numFmt w:val="decimal"/>
      <w:start w:val="3"/>
    </w:lvl>
    <w:lvl w:ilvl="1">
      <w:lvlJc w:val="left"/>
      <w:lvlText w:val="(%2)"/>
      <w:numFmt w:val="lowerLetter"/>
      <w:start w:val="1"/>
    </w:lvl>
  </w:abstractNum>
  <w:abstractNum w:abstractNumId="34">
    <w:nsid w:val="7A6D8D3C"/>
    <w:multiLevelType w:val="hybridMultilevel"/>
    <w:lvl w:ilvl="0">
      <w:lvlJc w:val="left"/>
      <w:lvlText w:val="(%1)"/>
      <w:numFmt w:val="lowerLetter"/>
      <w:start w:val="1"/>
    </w:lvl>
  </w:abstractNum>
  <w:abstractNum w:abstractNumId="35">
    <w:nsid w:val="4B588F54"/>
    <w:multiLevelType w:val="hybridMultilevel"/>
    <w:lvl w:ilvl="0">
      <w:lvlJc w:val="left"/>
      <w:lvlText w:val="(%1)"/>
      <w:numFmt w:val="lowerLetter"/>
      <w:start w:val="2"/>
    </w:lvl>
  </w:abstractNum>
  <w:abstractNum w:abstractNumId="36">
    <w:nsid w:val="542289EC"/>
    <w:multiLevelType w:val="hybridMultilevel"/>
    <w:lvl w:ilvl="0">
      <w:lvlJc w:val="left"/>
      <w:lvlText w:val="%1."/>
      <w:numFmt w:val="decimal"/>
      <w:start w:val="6"/>
    </w:lvl>
    <w:lvl w:ilvl="1">
      <w:lvlJc w:val="left"/>
      <w:lvlText w:val="(%2)"/>
      <w:numFmt w:val="lowerLetter"/>
      <w:start w:val="1"/>
    </w:lvl>
  </w:abstractNum>
  <w:abstractNum w:abstractNumId="37">
    <w:nsid w:val="6DE91B18"/>
    <w:multiLevelType w:val="hybridMultilevel"/>
    <w:lvl w:ilvl="0">
      <w:lvlJc w:val="left"/>
      <w:lvlText w:val="%1."/>
      <w:numFmt w:val="decimal"/>
      <w:start w:val="7"/>
    </w:lvl>
    <w:lvl w:ilvl="1">
      <w:lvlJc w:val="left"/>
      <w:lvlText w:val="(%2)"/>
      <w:numFmt w:val="lowerLetter"/>
      <w:start w:val="1"/>
    </w:lvl>
  </w:abstractNum>
  <w:abstractNum w:abstractNumId="38">
    <w:nsid w:val="38437FDB"/>
    <w:multiLevelType w:val="hybridMultilevel"/>
    <w:lvl w:ilvl="0">
      <w:lvlJc w:val="left"/>
      <w:lvlText w:val="%1"/>
      <w:numFmt w:val="lowerLetter"/>
      <w:start w:val="1"/>
    </w:lvl>
    <w:lvl w:ilvl="1">
      <w:lvlJc w:val="left"/>
      <w:lvlText w:val="(%2)"/>
      <w:numFmt w:val="lowerLetter"/>
      <w:start w:val="2"/>
    </w:lvl>
  </w:abstractNum>
  <w:abstractNum w:abstractNumId="39">
    <w:nsid w:val="7644A45C"/>
    <w:multiLevelType w:val="hybridMultilevel"/>
    <w:lvl w:ilvl="0">
      <w:lvlJc w:val="left"/>
      <w:lvlText w:val="(%1)"/>
      <w:numFmt w:val="lowerLetter"/>
      <w:start w:val="35"/>
    </w:lvl>
    <w:lvl w:ilvl="1">
      <w:lvlJc w:val="left"/>
      <w:lvlText w:val="(%2)"/>
      <w:numFmt w:val="lowerLetter"/>
      <w:start w:val="4"/>
    </w:lvl>
  </w:abstractNum>
  <w:abstractNum w:abstractNumId="40">
    <w:nsid w:val="32FFF902"/>
    <w:multiLevelType w:val="hybridMultilevel"/>
    <w:lvl w:ilvl="0">
      <w:lvlJc w:val="left"/>
      <w:lvlText w:val="%1."/>
      <w:numFmt w:val="upperLetter"/>
      <w:start w:val="1"/>
    </w:lvl>
    <w:lvl w:ilvl="1">
      <w:lvlJc w:val="left"/>
      <w:lvlText w:val="·"/>
      <w:numFmt w:val="bullet"/>
      <w:start w:val="1"/>
    </w:lvl>
  </w:abstractNum>
  <w:abstractNum w:abstractNumId="41">
    <w:nsid w:val="684A481A"/>
    <w:multiLevelType w:val="hybridMultilevel"/>
    <w:lvl w:ilvl="0">
      <w:lvlJc w:val="left"/>
      <w:lvlText w:val="%1."/>
      <w:numFmt w:val="decimal"/>
      <w:start w:val="1"/>
    </w:lvl>
    <w:lvl w:ilvl="1">
      <w:lvlJc w:val="left"/>
      <w:lvlText w:val="(%2)"/>
      <w:numFmt w:val="lowerRoman"/>
      <w:start w:val="1"/>
    </w:lvl>
  </w:abstractNum>
  <w:abstractNum w:abstractNumId="42">
    <w:nsid w:val="579478FE"/>
    <w:multiLevelType w:val="hybridMultilevel"/>
    <w:lvl w:ilvl="0">
      <w:lvlJc w:val="left"/>
      <w:lvlText w:val="%1"/>
      <w:numFmt w:val="decimal"/>
      <w:start w:val="1"/>
    </w:lvl>
    <w:lvl w:ilvl="1">
      <w:lvlJc w:val="left"/>
      <w:lvlText w:val="(%2)"/>
      <w:numFmt w:val="lowerRoman"/>
      <w:start w:val="2"/>
    </w:lvl>
  </w:abstractNum>
  <w:abstractNum w:abstractNumId="43">
    <w:nsid w:val="749ABB43"/>
    <w:multiLevelType w:val="hybridMultilevel"/>
    <w:lvl w:ilvl="0">
      <w:lvlJc w:val="left"/>
      <w:lvlText w:val="%1."/>
      <w:numFmt w:val="decimal"/>
      <w:start w:val="7"/>
    </w:lvl>
    <w:lvl w:ilvl="1">
      <w:lvlJc w:val="left"/>
      <w:lvlText w:val="%2"/>
      <w:numFmt w:val="lowerRoman"/>
      <w:start w:val="1"/>
    </w:lvl>
  </w:abstractNum>
  <w:abstractNum w:abstractNumId="44">
    <w:nsid w:val="3DC240FB"/>
    <w:multiLevelType w:val="hybridMultilevel"/>
    <w:lvl w:ilvl="0">
      <w:lvlJc w:val="left"/>
      <w:lvlText w:val="%1."/>
      <w:numFmt w:val="decimal"/>
      <w:start w:val="10"/>
    </w:lvl>
  </w:abstractNum>
  <w:abstractNum w:abstractNumId="45">
    <w:nsid w:val="1BA026FA"/>
    <w:multiLevelType w:val="hybridMultilevel"/>
    <w:lvl w:ilvl="0">
      <w:lvlJc w:val="left"/>
      <w:lvlText w:val="%1."/>
      <w:numFmt w:val="decimal"/>
      <w:start w:val="18"/>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decimal"/>
      <w:start w:val="5"/>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5"/>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2019-12-09T19:09:09Z</dcterms:created>
  <dcterms:modified xsi:type="dcterms:W3CDTF">2019-12-09T19:09:09Z</dcterms:modified>
</cp:coreProperties>
</file>