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April 1, 2026</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7163435"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3435" cy="133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30480</wp:posOffset>
            </wp:positionV>
            <wp:extent cx="716343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pacing w:after="0" w:line="189" w:lineRule="exact"/>
        <w:rPr>
          <w:sz w:val="24"/>
          <w:szCs w:val="24"/>
          <w:color w:val="auto"/>
        </w:rPr>
      </w:pPr>
    </w:p>
    <w:tbl>
      <w:tblPr>
        <w:tblLayout w:type="fixed"/>
        <w:tblInd w:w="2360" w:type="dxa"/>
        <w:tblCellMar>
          <w:top w:w="0" w:type="dxa"/>
          <w:left w:w="0" w:type="dxa"/>
          <w:bottom w:w="0" w:type="dxa"/>
          <w:right w:w="0" w:type="dxa"/>
        </w:tblCellMar>
      </w:tblPr>
      <w:tr>
        <w:trPr>
          <w:trHeight w:val="167"/>
        </w:trPr>
        <w:tc>
          <w:tcPr>
            <w:tcW w:w="5840" w:type="dxa"/>
            <w:vAlign w:val="bottom"/>
          </w:tcPr>
          <w:p>
            <w:pPr>
              <w:jc w:val="center"/>
              <w:ind w:left="650"/>
              <w:spacing w:after="0"/>
              <w:rPr>
                <w:sz w:val="20"/>
                <w:szCs w:val="20"/>
                <w:color w:val="auto"/>
              </w:rPr>
            </w:pPr>
            <w:r>
              <w:rPr>
                <w:rFonts w:ascii="Times New Roman" w:cs="Times New Roman" w:eastAsia="Times New Roman" w:hAnsi="Times New Roman"/>
                <w:sz w:val="14"/>
                <w:szCs w:val="14"/>
                <w:b w:val="1"/>
                <w:bCs w:val="1"/>
                <w:color w:val="auto"/>
                <w:w w:val="96"/>
              </w:rPr>
              <w:t>UNITED STATES</w:t>
            </w:r>
          </w:p>
        </w:tc>
        <w:tc>
          <w:tcPr>
            <w:tcW w:w="1380" w:type="dxa"/>
            <w:vAlign w:val="bottom"/>
          </w:tcPr>
          <w:p>
            <w:pPr>
              <w:spacing w:after="0"/>
              <w:rPr>
                <w:sz w:val="14"/>
                <w:szCs w:val="14"/>
                <w:color w:val="auto"/>
              </w:rPr>
            </w:pPr>
          </w:p>
        </w:tc>
      </w:tr>
      <w:tr>
        <w:trPr>
          <w:trHeight w:val="167"/>
        </w:trPr>
        <w:tc>
          <w:tcPr>
            <w:tcW w:w="5840" w:type="dxa"/>
            <w:vAlign w:val="bottom"/>
          </w:tcPr>
          <w:p>
            <w:pPr>
              <w:jc w:val="center"/>
              <w:ind w:left="650"/>
              <w:spacing w:after="0"/>
              <w:rPr>
                <w:sz w:val="20"/>
                <w:szCs w:val="20"/>
                <w:color w:val="auto"/>
              </w:rPr>
            </w:pPr>
            <w:r>
              <w:rPr>
                <w:rFonts w:ascii="Times New Roman" w:cs="Times New Roman" w:eastAsia="Times New Roman" w:hAnsi="Times New Roman"/>
                <w:sz w:val="14"/>
                <w:szCs w:val="14"/>
                <w:b w:val="1"/>
                <w:bCs w:val="1"/>
                <w:color w:val="auto"/>
                <w:w w:val="99"/>
              </w:rPr>
              <w:t>SECURITIES AND EXCHANGE COMMISSION</w:t>
            </w:r>
          </w:p>
        </w:tc>
        <w:tc>
          <w:tcPr>
            <w:tcW w:w="1380" w:type="dxa"/>
            <w:vAlign w:val="bottom"/>
          </w:tcPr>
          <w:p>
            <w:pPr>
              <w:spacing w:after="0"/>
              <w:rPr>
                <w:sz w:val="14"/>
                <w:szCs w:val="14"/>
                <w:color w:val="auto"/>
              </w:rPr>
            </w:pPr>
          </w:p>
        </w:tc>
      </w:tr>
      <w:tr>
        <w:trPr>
          <w:trHeight w:val="184"/>
        </w:trPr>
        <w:tc>
          <w:tcPr>
            <w:tcW w:w="5840" w:type="dxa"/>
            <w:vAlign w:val="bottom"/>
          </w:tcPr>
          <w:p>
            <w:pPr>
              <w:jc w:val="center"/>
              <w:ind w:left="650"/>
              <w:spacing w:after="0"/>
              <w:rPr>
                <w:sz w:val="20"/>
                <w:szCs w:val="20"/>
                <w:color w:val="auto"/>
              </w:rPr>
            </w:pPr>
            <w:r>
              <w:rPr>
                <w:rFonts w:ascii="Times New Roman" w:cs="Times New Roman" w:eastAsia="Times New Roman" w:hAnsi="Times New Roman"/>
                <w:sz w:val="14"/>
                <w:szCs w:val="14"/>
                <w:b w:val="1"/>
                <w:bCs w:val="1"/>
                <w:color w:val="auto"/>
                <w:w w:val="99"/>
              </w:rPr>
              <w:t>Washington, D.C. 20549</w:t>
            </w:r>
          </w:p>
        </w:tc>
        <w:tc>
          <w:tcPr>
            <w:tcW w:w="1380" w:type="dxa"/>
            <w:vAlign w:val="bottom"/>
          </w:tcPr>
          <w:p>
            <w:pPr>
              <w:spacing w:after="0"/>
              <w:rPr>
                <w:sz w:val="16"/>
                <w:szCs w:val="16"/>
                <w:color w:val="auto"/>
              </w:rPr>
            </w:pPr>
          </w:p>
        </w:tc>
      </w:tr>
      <w:tr>
        <w:trPr>
          <w:trHeight w:val="335"/>
        </w:trPr>
        <w:tc>
          <w:tcPr>
            <w:tcW w:w="5840" w:type="dxa"/>
            <w:vAlign w:val="bottom"/>
          </w:tcPr>
          <w:p>
            <w:pPr>
              <w:jc w:val="center"/>
              <w:ind w:left="650"/>
              <w:spacing w:after="0"/>
              <w:rPr>
                <w:sz w:val="20"/>
                <w:szCs w:val="20"/>
                <w:color w:val="auto"/>
              </w:rPr>
            </w:pPr>
            <w:r>
              <w:rPr>
                <w:rFonts w:ascii="Times New Roman" w:cs="Times New Roman" w:eastAsia="Times New Roman" w:hAnsi="Times New Roman"/>
                <w:sz w:val="14"/>
                <w:szCs w:val="14"/>
                <w:b w:val="1"/>
                <w:bCs w:val="1"/>
                <w:color w:val="auto"/>
                <w:w w:val="99"/>
              </w:rPr>
              <w:t>Form S-3</w:t>
            </w:r>
          </w:p>
        </w:tc>
        <w:tc>
          <w:tcPr>
            <w:tcW w:w="1380" w:type="dxa"/>
            <w:vAlign w:val="bottom"/>
          </w:tcPr>
          <w:p>
            <w:pPr>
              <w:spacing w:after="0"/>
              <w:rPr>
                <w:sz w:val="24"/>
                <w:szCs w:val="24"/>
                <w:color w:val="auto"/>
              </w:rPr>
            </w:pPr>
          </w:p>
        </w:tc>
      </w:tr>
      <w:tr>
        <w:trPr>
          <w:trHeight w:val="335"/>
        </w:trPr>
        <w:tc>
          <w:tcPr>
            <w:tcW w:w="5840" w:type="dxa"/>
            <w:vAlign w:val="bottom"/>
          </w:tcPr>
          <w:p>
            <w:pPr>
              <w:jc w:val="center"/>
              <w:ind w:left="650"/>
              <w:spacing w:after="0"/>
              <w:rPr>
                <w:sz w:val="20"/>
                <w:szCs w:val="20"/>
                <w:color w:val="auto"/>
              </w:rPr>
            </w:pPr>
            <w:r>
              <w:rPr>
                <w:rFonts w:ascii="Times New Roman" w:cs="Times New Roman" w:eastAsia="Times New Roman" w:hAnsi="Times New Roman"/>
                <w:sz w:val="14"/>
                <w:szCs w:val="14"/>
                <w:b w:val="1"/>
                <w:bCs w:val="1"/>
                <w:color w:val="auto"/>
                <w:w w:val="98"/>
              </w:rPr>
              <w:t>REGISTRATION STATEMENT UNDER THE SECURITIES ACT OF 1933</w:t>
            </w:r>
          </w:p>
        </w:tc>
        <w:tc>
          <w:tcPr>
            <w:tcW w:w="1380" w:type="dxa"/>
            <w:vAlign w:val="bottom"/>
          </w:tcPr>
          <w:p>
            <w:pPr>
              <w:spacing w:after="0"/>
              <w:rPr>
                <w:sz w:val="24"/>
                <w:szCs w:val="24"/>
                <w:color w:val="auto"/>
              </w:rPr>
            </w:pPr>
          </w:p>
        </w:tc>
      </w:tr>
      <w:tr>
        <w:trPr>
          <w:trHeight w:val="318"/>
        </w:trPr>
        <w:tc>
          <w:tcPr>
            <w:tcW w:w="5840" w:type="dxa"/>
            <w:vAlign w:val="bottom"/>
          </w:tcPr>
          <w:p>
            <w:pPr>
              <w:jc w:val="center"/>
              <w:ind w:left="650"/>
              <w:spacing w:after="0"/>
              <w:rPr>
                <w:sz w:val="20"/>
                <w:szCs w:val="20"/>
                <w:color w:val="auto"/>
              </w:rPr>
            </w:pPr>
            <w:r>
              <w:rPr>
                <w:rFonts w:ascii="Times New Roman" w:cs="Times New Roman" w:eastAsia="Times New Roman" w:hAnsi="Times New Roman"/>
                <w:sz w:val="14"/>
                <w:szCs w:val="14"/>
                <w:b w:val="1"/>
                <w:bCs w:val="1"/>
                <w:color w:val="auto"/>
                <w:w w:val="99"/>
              </w:rPr>
              <w:t>XWELL, INC.</w:t>
            </w:r>
          </w:p>
        </w:tc>
        <w:tc>
          <w:tcPr>
            <w:tcW w:w="1380" w:type="dxa"/>
            <w:vAlign w:val="bottom"/>
          </w:tcPr>
          <w:p>
            <w:pPr>
              <w:spacing w:after="0"/>
              <w:rPr>
                <w:sz w:val="24"/>
                <w:szCs w:val="24"/>
                <w:color w:val="auto"/>
              </w:rPr>
            </w:pPr>
          </w:p>
        </w:tc>
      </w:tr>
      <w:tr>
        <w:trPr>
          <w:trHeight w:val="184"/>
        </w:trPr>
        <w:tc>
          <w:tcPr>
            <w:tcW w:w="5840" w:type="dxa"/>
            <w:vAlign w:val="bottom"/>
          </w:tcPr>
          <w:p>
            <w:pPr>
              <w:jc w:val="center"/>
              <w:ind w:left="650"/>
              <w:spacing w:after="0"/>
              <w:rPr>
                <w:sz w:val="20"/>
                <w:szCs w:val="20"/>
                <w:color w:val="auto"/>
              </w:rPr>
            </w:pPr>
            <w:r>
              <w:rPr>
                <w:rFonts w:ascii="Times New Roman" w:cs="Times New Roman" w:eastAsia="Times New Roman" w:hAnsi="Times New Roman"/>
                <w:sz w:val="14"/>
                <w:szCs w:val="14"/>
                <w:b w:val="1"/>
                <w:bCs w:val="1"/>
                <w:color w:val="auto"/>
                <w:w w:val="99"/>
              </w:rPr>
              <w:t>(Exact Name of Registrant as Specified in its Charter)</w:t>
            </w:r>
          </w:p>
        </w:tc>
        <w:tc>
          <w:tcPr>
            <w:tcW w:w="1380" w:type="dxa"/>
            <w:vAlign w:val="bottom"/>
          </w:tcPr>
          <w:p>
            <w:pPr>
              <w:spacing w:after="0"/>
              <w:rPr>
                <w:sz w:val="16"/>
                <w:szCs w:val="16"/>
                <w:color w:val="auto"/>
              </w:rPr>
            </w:pPr>
          </w:p>
        </w:tc>
      </w:tr>
      <w:tr>
        <w:trPr>
          <w:trHeight w:val="335"/>
        </w:trPr>
        <w:tc>
          <w:tcPr>
            <w:tcW w:w="5840" w:type="dxa"/>
            <w:vAlign w:val="bottom"/>
          </w:tcPr>
          <w:p>
            <w:pPr>
              <w:jc w:val="center"/>
              <w:ind w:right="3930"/>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1380" w:type="dxa"/>
            <w:vAlign w:val="bottom"/>
          </w:tcPr>
          <w:p>
            <w:pPr>
              <w:jc w:val="center"/>
              <w:ind w:left="210"/>
              <w:spacing w:after="0"/>
              <w:rPr>
                <w:sz w:val="20"/>
                <w:szCs w:val="20"/>
                <w:color w:val="auto"/>
              </w:rPr>
            </w:pPr>
            <w:r>
              <w:rPr>
                <w:rFonts w:ascii="Times New Roman" w:cs="Times New Roman" w:eastAsia="Times New Roman" w:hAnsi="Times New Roman"/>
                <w:sz w:val="14"/>
                <w:szCs w:val="14"/>
                <w:b w:val="1"/>
                <w:bCs w:val="1"/>
                <w:color w:val="auto"/>
                <w:w w:val="97"/>
              </w:rPr>
              <w:t>20-4988129</w:t>
            </w:r>
          </w:p>
        </w:tc>
      </w:tr>
      <w:tr>
        <w:trPr>
          <w:trHeight w:val="171"/>
        </w:trPr>
        <w:tc>
          <w:tcPr>
            <w:tcW w:w="5840" w:type="dxa"/>
            <w:vAlign w:val="bottom"/>
          </w:tcPr>
          <w:p>
            <w:pPr>
              <w:jc w:val="center"/>
              <w:ind w:right="3950"/>
              <w:spacing w:after="0"/>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1380" w:type="dxa"/>
            <w:vAlign w:val="bottom"/>
          </w:tcPr>
          <w:p>
            <w:pPr>
              <w:jc w:val="center"/>
              <w:ind w:left="210"/>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4"/>
        </w:trPr>
        <w:tc>
          <w:tcPr>
            <w:tcW w:w="5840" w:type="dxa"/>
            <w:vAlign w:val="bottom"/>
          </w:tcPr>
          <w:p>
            <w:pPr>
              <w:jc w:val="center"/>
              <w:ind w:right="3950"/>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1380" w:type="dxa"/>
            <w:vAlign w:val="bottom"/>
          </w:tcPr>
          <w:p>
            <w:pPr>
              <w:jc w:val="center"/>
              <w:ind w:left="21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-218440</wp:posOffset>
            </wp:positionV>
            <wp:extent cx="716343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254 West 31st Street, 11th Floor</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 York, New York 10001</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(212) 750-9595</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Ezra T. Ernst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254 West 31st Street, 11th Floor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 York, New York 10001</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(212) 750-9595</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Rick A. Werner, Esq.</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Alla Digilova, Esq.</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Haynes and Boone, LLP</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30 Rockefeller Plaza, 26th Floor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 York, New York 10112</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(212) 659-7300</w:t>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From time to time after the effective date of this Registration Statement.</w:t>
      </w:r>
    </w:p>
    <w:p>
      <w:pPr>
        <w:spacing w:after="0" w:line="14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205"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32"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2"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2"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32"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32"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60" w:type="dxa"/>
            <w:vAlign w:val="bottom"/>
          </w:tcPr>
          <w:p>
            <w:pPr>
              <w:ind w:left="1640"/>
              <w:spacing w:after="0" w:line="141" w:lineRule="exact"/>
              <w:rPr>
                <w:sz w:val="20"/>
                <w:szCs w:val="20"/>
                <w:color w:val="auto"/>
              </w:rPr>
            </w:pPr>
            <w:r>
              <w:rPr>
                <w:rFonts w:ascii="MS PGothic" w:cs="MS PGothic" w:eastAsia="MS PGothic" w:hAnsi="MS PGothic"/>
                <w:sz w:val="14"/>
                <w:szCs w:val="14"/>
                <w:color w:val="auto"/>
              </w:rPr>
              <w:t>☐</w:t>
            </w:r>
          </w:p>
        </w:tc>
        <w:tc>
          <w:tcPr>
            <w:tcW w:w="40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Accelerated filer</w:t>
            </w:r>
          </w:p>
        </w:tc>
        <w:tc>
          <w:tcPr>
            <w:tcW w:w="2120" w:type="dxa"/>
            <w:vAlign w:val="bottom"/>
          </w:tcPr>
          <w:p>
            <w:pPr>
              <w:ind w:left="20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67"/>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60" w:type="dxa"/>
            <w:vAlign w:val="bottom"/>
          </w:tcPr>
          <w:p>
            <w:pPr>
              <w:ind w:left="1640"/>
              <w:spacing w:after="0" w:line="141" w:lineRule="exact"/>
              <w:rPr>
                <w:sz w:val="20"/>
                <w:szCs w:val="20"/>
                <w:color w:val="auto"/>
              </w:rPr>
            </w:pPr>
            <w:r>
              <w:rPr>
                <w:rFonts w:ascii="MS PGothic" w:cs="MS PGothic" w:eastAsia="MS PGothic" w:hAnsi="MS PGothic"/>
                <w:sz w:val="14"/>
                <w:szCs w:val="14"/>
                <w:color w:val="auto"/>
              </w:rPr>
              <w:t>☒</w:t>
            </w:r>
          </w:p>
        </w:tc>
        <w:tc>
          <w:tcPr>
            <w:tcW w:w="40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120" w:type="dxa"/>
            <w:vAlign w:val="bottom"/>
          </w:tcPr>
          <w:p>
            <w:pPr>
              <w:ind w:left="20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5"/>
        </w:trPr>
        <w:tc>
          <w:tcPr>
            <w:tcW w:w="28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0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Emerging growth company</w:t>
            </w:r>
          </w:p>
        </w:tc>
        <w:tc>
          <w:tcPr>
            <w:tcW w:w="2120" w:type="dxa"/>
            <w:vAlign w:val="bottom"/>
          </w:tcPr>
          <w:p>
            <w:pPr>
              <w:ind w:left="20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6"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3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95885</wp:posOffset>
            </wp:positionV>
            <wp:extent cx="716343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115570</wp:posOffset>
            </wp:positionV>
            <wp:extent cx="7163435"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133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461010</wp:posOffset>
            </wp:positionV>
            <wp:extent cx="716343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395" w:right="319" w:bottom="144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4"/>
          <w:szCs w:val="14"/>
          <w:b w:val="1"/>
          <w:bCs w:val="1"/>
          <w:color w:val="FF0000"/>
        </w:rPr>
        <w:t>The information in this prospectus is not complete and may be changed. The selling stockholders named in this prospectus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FF0000"/>
        </w:rPr>
        <w:t>Subject to Completion, dated April 1,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b w:val="1"/>
          <w:bCs w:val="1"/>
          <w:color w:val="auto"/>
        </w:rPr>
        <w:t>XWELL, Inc.</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138,665,191 Shares of Common Stock</w:t>
      </w:r>
    </w:p>
    <w:p>
      <w:pPr>
        <w:spacing w:after="0" w:line="1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This prospectus relates to the resale by the selling stockholders named in this prospectus from time to time of up to an aggregate of 138,665,191 shares of our common stock, par value $0.01 per share (the “Common Stock”), consisting of (i) 66,665,957 shares issuable upon the conversion of shares of our newly designated Series H convertible preferred stock (the “Preferred Shares”) and (ii) 71,999,234 shares issuable upon exercise of certain warrants to purchase shares of Common Stock (the “Warrants”).</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Preferred Shares were acquired by the applicable selling stockholders under the Securities Purchase Agreement (the “Purchase Agreement”), dated February 24, 2026, by and among the Company and the investor party thereto (the “Investor”). The Warrants were acquired by the selling stockholders under the (i) Purchase Agreement (such Warrants issued pursuant to the Purchase Agreement, the “Investor Warrants”), and (ii) a placement agency agreement (the “Engagement Agreement”), dated February 24, 2026, between the Company and Dominari Securities LLC (“Placement Agent”), as applicable (such Warrants issued pursuant to the Engagement Agreement, the “Placement Agent Warrants” and together with the Investor Warrants, the “Warrants”). The shares of Common Stock issuable upon the conversion of the Preferred Shares are herein referred to as “Conversion Shares,” and the shares of Common Stock issuable upon the exercise of the Warrants are herein referred to as “Warrant Shares.”</w:t>
      </w:r>
    </w:p>
    <w:p>
      <w:pPr>
        <w:spacing w:after="0" w:line="14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The Conversion Shares and the Warrant Shares were issued in reliance upon the exemption from the registration requirements in Section 4(a)(2) of the Securities Act of 1933, as amended (the “Securities Act”) and Regulation D promulgated thereunder.</w:t>
      </w:r>
    </w:p>
    <w:p>
      <w:pPr>
        <w:spacing w:after="0" w:line="1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We are registering the resale of the Conversion Shares and Warrant Shares issuable upon exercise of the Investor Warrants covered by this prospectus as required by the Registration Rights Agreement, dated February 27, 2026, by and among the Company, the Investor and the Placement Agent (the “Registration Rights Agreement”). We are also registering for resale the Warrant Shares issuable upon exercise of the Placement Agent Warrants covered by this prospectus.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selling stockholders will receive all of the proceeds from any sales of the shares offered hereby. We will not receive any of the proceeds, but we will incur expenses in connection with the offering.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extent the Warrants are exercised for cash, if at all, we will receive the exercise price of the Warrants. We intend to use those proceeds, if any, for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716343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2" w:name="page3"/>
    <w:bookmarkEnd w:id="2"/>
    <w:p>
      <w:pPr>
        <w:jc w:val="both"/>
        <w:spacing w:after="0" w:line="281" w:lineRule="auto"/>
        <w:rPr>
          <w:sz w:val="20"/>
          <w:szCs w:val="20"/>
          <w:color w:val="auto"/>
        </w:rPr>
      </w:pPr>
      <w:r>
        <w:rPr>
          <w:rFonts w:ascii="Times New Roman" w:cs="Times New Roman" w:eastAsia="Times New Roman" w:hAnsi="Times New Roman"/>
          <w:sz w:val="13"/>
          <w:szCs w:val="13"/>
          <w:color w:val="auto"/>
        </w:rPr>
        <w:t>The issuance of the shares of Common Stock covered by this prospectus could cause substantial dilution to our existing stockholders. The actual number of shares of Common Stock that we issue to the selling stockholders may be less than the aggregate number of shares covered by this prospectus. Please refer to risk factor entitled “</w:t>
      </w:r>
      <w:r>
        <w:rPr>
          <w:rFonts w:ascii="Times New Roman" w:cs="Times New Roman" w:eastAsia="Times New Roman" w:hAnsi="Times New Roman"/>
          <w:sz w:val="13"/>
          <w:szCs w:val="13"/>
          <w:i w:val="1"/>
          <w:iCs w:val="1"/>
          <w:color w:val="auto"/>
        </w:rPr>
        <w:t>The issuance of the shares of Common Stock covered by this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prospectus could significantly increase the total number of shares of Common Stock issued and outstanding and thereby cause our existing stockholders to experience substantial dilution</w:t>
      </w:r>
      <w:r>
        <w:rPr>
          <w:rFonts w:ascii="Times New Roman" w:cs="Times New Roman" w:eastAsia="Times New Roman" w:hAnsi="Times New Roman"/>
          <w:sz w:val="13"/>
          <w:szCs w:val="13"/>
          <w:color w:val="auto"/>
        </w:rPr>
        <w:t>” on page 8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this prospectus. For additional information on the terms of the Preferred Shares and the Warrants, including those terms which may affect the number of Conversion Shares or Warrant Shares that will be issued to the holders of the Preferred Shares and the Warrants, you should refer to the sections of this prospectus entitled “</w:t>
      </w:r>
      <w:r>
        <w:rPr>
          <w:rFonts w:ascii="Times New Roman" w:cs="Times New Roman" w:eastAsia="Times New Roman" w:hAnsi="Times New Roman"/>
          <w:sz w:val="13"/>
          <w:szCs w:val="13"/>
          <w:i w:val="1"/>
          <w:iCs w:val="1"/>
          <w:color w:val="auto"/>
        </w:rPr>
        <w:t>Prospectus Summary—Private Placement of Preferred Shares and Warrants”</w:t>
      </w:r>
    </w:p>
    <w:p>
      <w:pPr>
        <w:spacing w:after="0" w:line="1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registration of the shares of Common Stock covered by this prospectus does not mean that the selling stockholders will offer or sell any of such shares of Common Stock. The selling stockholders named in this prospectus, or their donees, pledgees, transferees or other successors-in-interest, may resell the shares of Common Stock covered by this prospectus through public or private transactions at prevailing market prices, at prices related to prevailing market prices or at privately negotiated prices. For additional information on the possible methods of sale that may be used by the selling stockholders, you should refer to the section of this prospectus entitled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shares of Common Stock subject to resale hereunder will have been issued by us and acquired by the selling stockholders prior to any resale of such shares pursuant to this prospectus.</w:t>
      </w:r>
    </w:p>
    <w:p>
      <w:pPr>
        <w:spacing w:after="0" w:line="17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No underwriter or other person has been engaged to facilitate the sale of the Common Stock in this offering. We will bear all costs, expenses and fees in connection with the registration of the Common Stock. The selling stockholders will bear all commissions and discounts, if any, attributable to their respective sales of the Common Stock.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Stock is listed on the Nasdaq Capital Market under the symbol “XWEL.” On March 31, 2026, the last reported sales price for our Common Stock was $1.15 per share.</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b w:val="1"/>
          <w:bCs w:val="1"/>
          <w:color w:val="auto"/>
        </w:rPr>
        <w:t>Investment in our Common Stock involves risk. See “Risk Factors” contained in this prospectus, in our periodic reports filed from time to time with the Securities and Exchange Commission, which are incorporated by reference in this prospectus and in any applicable prospectus supplement. You should carefully read this prospectus and any applicable prospectus supplement, together with the documents we incorporate by reference, before you invest in our Common Stock.</w:t>
      </w:r>
    </w:p>
    <w:p>
      <w:pPr>
        <w:spacing w:after="0" w:line="13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the accuracy of this prospectus. Any representation to the contrary is a criminal offense.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date of this prospectus is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345440</wp:posOffset>
            </wp:positionV>
            <wp:extent cx="716343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78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720" w:type="dxa"/>
            <w:vAlign w:val="bottom"/>
            <w:tcBorders>
              <w:bottom w:val="single" w:sz="8" w:color="0000EE"/>
            </w:tcBorders>
            <w:gridSpan w:val="7"/>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0000EE"/>
                <w:w w:val="97"/>
              </w:rPr>
              <w:t>ABOUT THIS PROSPECTUS</w:t>
            </w:r>
          </w:p>
        </w:tc>
        <w:tc>
          <w:tcPr>
            <w:tcW w:w="2780" w:type="dxa"/>
            <w:vAlign w:val="bottom"/>
            <w:tcBorders>
              <w:bottom w:val="single" w:sz="8" w:color="CCEEFF"/>
            </w:tcBorders>
            <w:gridSpan w:val="4"/>
            <w:shd w:val="clear" w:color="auto" w:fill="CCEEFF"/>
          </w:tcPr>
          <w:p>
            <w:pPr>
              <w:spacing w:after="0"/>
              <w:rPr>
                <w:sz w:val="12"/>
                <w:szCs w:val="12"/>
                <w:color w:val="auto"/>
              </w:rPr>
            </w:pPr>
          </w:p>
        </w:tc>
        <w:tc>
          <w:tcPr>
            <w:tcW w:w="66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right w:val="single" w:sz="8" w:color="CCEEFF"/>
            </w:tcBorders>
            <w:shd w:val="clear" w:color="auto" w:fill="CCEEFF"/>
          </w:tcPr>
          <w:p>
            <w:pPr>
              <w:spacing w:after="0"/>
              <w:rPr>
                <w:sz w:val="12"/>
                <w:szCs w:val="12"/>
                <w:color w:val="auto"/>
              </w:rPr>
            </w:pPr>
          </w:p>
        </w:tc>
        <w:tc>
          <w:tcPr>
            <w:tcW w:w="6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0000EE"/>
                <w:w w:val="71"/>
              </w:rPr>
              <w:t>ii</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00" w:type="dxa"/>
            <w:vAlign w:val="bottom"/>
            <w:gridSpan w:val="5"/>
          </w:tcPr>
          <w:p>
            <w:pPr>
              <w:spacing w:after="0" w:line="136" w:lineRule="exact"/>
              <w:rPr>
                <w:sz w:val="20"/>
                <w:szCs w:val="20"/>
                <w:color w:val="auto"/>
              </w:rPr>
            </w:pPr>
            <w:r>
              <w:rPr>
                <w:rFonts w:ascii="Times New Roman" w:cs="Times New Roman" w:eastAsia="Times New Roman" w:hAnsi="Times New Roman"/>
                <w:sz w:val="14"/>
                <w:szCs w:val="14"/>
                <w:color w:val="0000EE"/>
                <w:w w:val="95"/>
              </w:rPr>
              <w:t>PROSPECTUS SUMMARY</w:t>
            </w:r>
          </w:p>
        </w:tc>
        <w:tc>
          <w:tcPr>
            <w:tcW w:w="2900" w:type="dxa"/>
            <w:vAlign w:val="bottom"/>
            <w:gridSpan w:val="6"/>
          </w:tcPr>
          <w:p>
            <w:pPr>
              <w:spacing w:after="0"/>
              <w:rPr>
                <w:sz w:val="11"/>
                <w:szCs w:val="11"/>
                <w:color w:val="auto"/>
              </w:rPr>
            </w:pPr>
          </w:p>
        </w:tc>
        <w:tc>
          <w:tcPr>
            <w:tcW w:w="676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4"/>
                <w:szCs w:val="14"/>
                <w:color w:val="0000EE"/>
              </w:rPr>
              <w:t>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w w:val="92"/>
              </w:rPr>
              <w:t>THE OFFERING</w:t>
            </w:r>
          </w:p>
        </w:tc>
        <w:tc>
          <w:tcPr>
            <w:tcW w:w="640" w:type="dxa"/>
            <w:vAlign w:val="bottom"/>
            <w:tcBorders>
              <w:left w:val="single" w:sz="8" w:color="CCEEFF"/>
              <w:right w:val="single" w:sz="8" w:color="CCEEFF"/>
            </w:tcBorders>
            <w:gridSpan w:val="3"/>
            <w:shd w:val="clear" w:color="auto" w:fill="CCEEFF"/>
          </w:tcPr>
          <w:p>
            <w:pPr>
              <w:spacing w:after="0"/>
              <w:rPr>
                <w:sz w:val="12"/>
                <w:szCs w:val="12"/>
                <w:color w:val="auto"/>
              </w:rPr>
            </w:pPr>
          </w:p>
        </w:tc>
        <w:tc>
          <w:tcPr>
            <w:tcW w:w="2900" w:type="dxa"/>
            <w:vAlign w:val="bottom"/>
            <w:gridSpan w:val="6"/>
            <w:shd w:val="clear" w:color="auto" w:fill="CCEEFF"/>
          </w:tcPr>
          <w:p>
            <w:pPr>
              <w:spacing w:after="0"/>
              <w:rPr>
                <w:sz w:val="12"/>
                <w:szCs w:val="12"/>
                <w:color w:val="auto"/>
              </w:rPr>
            </w:pPr>
          </w:p>
        </w:tc>
        <w:tc>
          <w:tcPr>
            <w:tcW w:w="6760" w:type="dxa"/>
            <w:vAlign w:val="bottom"/>
            <w:gridSpan w:val="3"/>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0000EE"/>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96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0000EE"/>
                <w:w w:val="93"/>
              </w:rPr>
              <w:t>RISK FACTORS</w:t>
            </w:r>
          </w:p>
        </w:tc>
        <w:tc>
          <w:tcPr>
            <w:tcW w:w="3540" w:type="dxa"/>
            <w:vAlign w:val="bottom"/>
            <w:gridSpan w:val="9"/>
          </w:tcPr>
          <w:p>
            <w:pPr>
              <w:spacing w:after="0"/>
              <w:rPr>
                <w:sz w:val="11"/>
                <w:szCs w:val="11"/>
                <w:color w:val="auto"/>
              </w:rPr>
            </w:pPr>
          </w:p>
        </w:tc>
        <w:tc>
          <w:tcPr>
            <w:tcW w:w="676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4"/>
                <w:szCs w:val="14"/>
                <w:color w:val="0000EE"/>
              </w:rPr>
              <w:t>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4120" w:type="dxa"/>
            <w:vAlign w:val="bottom"/>
            <w:tcBorders>
              <w:bottom w:val="single" w:sz="8" w:color="0000EE"/>
            </w:tcBorders>
            <w:gridSpan w:val="10"/>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w w:val="97"/>
              </w:rPr>
              <w:t>SPECIAL NOTE REGARDING FORWARD-LOOKING STATEMENTS</w:t>
            </w:r>
          </w:p>
        </w:tc>
        <w:tc>
          <w:tcPr>
            <w:tcW w:w="380" w:type="dxa"/>
            <w:vAlign w:val="bottom"/>
            <w:tcBorders>
              <w:bottom w:val="single" w:sz="8" w:color="CCEEFF"/>
            </w:tcBorders>
            <w:shd w:val="clear" w:color="auto" w:fill="CCEEFF"/>
          </w:tcPr>
          <w:p>
            <w:pPr>
              <w:spacing w:after="0"/>
              <w:rPr>
                <w:sz w:val="13"/>
                <w:szCs w:val="13"/>
                <w:color w:val="auto"/>
              </w:rPr>
            </w:pPr>
          </w:p>
        </w:tc>
        <w:tc>
          <w:tcPr>
            <w:tcW w:w="66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EE"/>
            </w:tcBorders>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0000EE"/>
                <w:w w:val="85"/>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500" w:type="dxa"/>
            <w:vAlign w:val="bottom"/>
            <w:gridSpan w:val="11"/>
          </w:tcPr>
          <w:p>
            <w:pPr>
              <w:spacing w:after="0" w:line="136" w:lineRule="exact"/>
              <w:rPr>
                <w:sz w:val="20"/>
                <w:szCs w:val="20"/>
                <w:color w:val="auto"/>
              </w:rPr>
            </w:pPr>
            <w:r>
              <w:rPr>
                <w:rFonts w:ascii="Times New Roman" w:cs="Times New Roman" w:eastAsia="Times New Roman" w:hAnsi="Times New Roman"/>
                <w:sz w:val="14"/>
                <w:szCs w:val="14"/>
                <w:color w:val="0000EE"/>
              </w:rPr>
              <w:t>USE OF PROCEEDS</w:t>
            </w:r>
          </w:p>
        </w:tc>
        <w:tc>
          <w:tcPr>
            <w:tcW w:w="676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4"/>
                <w:szCs w:val="14"/>
                <w:color w:val="0000EE"/>
              </w:rPr>
              <w:t>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700" w:type="dxa"/>
            <w:vAlign w:val="bottom"/>
            <w:tcBorders>
              <w:bottom w:val="single" w:sz="8" w:color="0000EE"/>
            </w:tcBorders>
            <w:gridSpan w:val="6"/>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w w:val="97"/>
              </w:rPr>
              <w:t>SELLING STOCKHOLDERS</w:t>
            </w:r>
          </w:p>
        </w:tc>
        <w:tc>
          <w:tcPr>
            <w:tcW w:w="2800" w:type="dxa"/>
            <w:vAlign w:val="bottom"/>
            <w:tcBorders>
              <w:bottom w:val="single" w:sz="8" w:color="CCEEFF"/>
            </w:tcBorders>
            <w:gridSpan w:val="5"/>
            <w:shd w:val="clear" w:color="auto" w:fill="CCEEFF"/>
          </w:tcPr>
          <w:p>
            <w:pPr>
              <w:spacing w:after="0"/>
              <w:rPr>
                <w:sz w:val="13"/>
                <w:szCs w:val="13"/>
                <w:color w:val="auto"/>
              </w:rPr>
            </w:pPr>
          </w:p>
        </w:tc>
        <w:tc>
          <w:tcPr>
            <w:tcW w:w="66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EE"/>
            </w:tcBorders>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0000EE"/>
                <w:w w:val="85"/>
              </w:rPr>
              <w:t>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00" w:type="dxa"/>
            <w:vAlign w:val="bottom"/>
            <w:tcBorders>
              <w:bottom w:val="single" w:sz="8" w:color="0000EE"/>
            </w:tcBorders>
            <w:gridSpan w:val="5"/>
          </w:tcPr>
          <w:p>
            <w:pPr>
              <w:spacing w:after="0" w:line="136" w:lineRule="exact"/>
              <w:rPr>
                <w:sz w:val="20"/>
                <w:szCs w:val="20"/>
                <w:color w:val="auto"/>
              </w:rPr>
            </w:pPr>
            <w:r>
              <w:rPr>
                <w:rFonts w:ascii="Times New Roman" w:cs="Times New Roman" w:eastAsia="Times New Roman" w:hAnsi="Times New Roman"/>
                <w:sz w:val="14"/>
                <w:szCs w:val="14"/>
                <w:color w:val="0000EE"/>
                <w:w w:val="97"/>
              </w:rPr>
              <w:t>PLAN OF DISTRIBUTION</w:t>
            </w:r>
          </w:p>
        </w:tc>
        <w:tc>
          <w:tcPr>
            <w:tcW w:w="2900" w:type="dxa"/>
            <w:vAlign w:val="bottom"/>
            <w:gridSpan w:val="6"/>
          </w:tcPr>
          <w:p>
            <w:pPr>
              <w:spacing w:after="0"/>
              <w:rPr>
                <w:sz w:val="11"/>
                <w:szCs w:val="11"/>
                <w:color w:val="auto"/>
              </w:rPr>
            </w:pPr>
          </w:p>
        </w:tc>
        <w:tc>
          <w:tcPr>
            <w:tcW w:w="6620" w:type="dxa"/>
            <w:vAlign w:val="bottom"/>
          </w:tcPr>
          <w:p>
            <w:pPr>
              <w:spacing w:after="0"/>
              <w:rPr>
                <w:sz w:val="11"/>
                <w:szCs w:val="11"/>
                <w:color w:val="auto"/>
              </w:rPr>
            </w:pPr>
          </w:p>
        </w:tc>
        <w:tc>
          <w:tcPr>
            <w:tcW w:w="140" w:type="dxa"/>
            <w:vAlign w:val="bottom"/>
            <w:tcBorders>
              <w:bottom w:val="single" w:sz="8" w:color="0000EE"/>
            </w:tcBorders>
            <w:gridSpan w:val="2"/>
          </w:tcPr>
          <w:p>
            <w:pPr>
              <w:jc w:val="right"/>
              <w:spacing w:after="0" w:line="136" w:lineRule="exact"/>
              <w:rPr>
                <w:sz w:val="20"/>
                <w:szCs w:val="20"/>
                <w:color w:val="auto"/>
              </w:rPr>
            </w:pPr>
            <w:r>
              <w:rPr>
                <w:rFonts w:ascii="Times New Roman" w:cs="Times New Roman" w:eastAsia="Times New Roman" w:hAnsi="Times New Roman"/>
                <w:sz w:val="14"/>
                <w:szCs w:val="14"/>
                <w:color w:val="0000EE"/>
                <w:w w:val="85"/>
              </w:rPr>
              <w:t>15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00" w:type="dxa"/>
            <w:vAlign w:val="bottom"/>
            <w:gridSpan w:val="11"/>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rPr>
              <w:t>LEGAL MATTERS</w:t>
            </w:r>
          </w:p>
        </w:tc>
        <w:tc>
          <w:tcPr>
            <w:tcW w:w="6760" w:type="dxa"/>
            <w:vAlign w:val="bottom"/>
            <w:gridSpan w:val="3"/>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0000EE"/>
              </w:rPr>
              <w:t>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80" w:type="dxa"/>
            <w:vAlign w:val="bottom"/>
            <w:tcBorders>
              <w:top w:val="single" w:sz="8" w:color="0000EE"/>
              <w:bottom w:val="single" w:sz="8" w:color="0000EE"/>
            </w:tcBorders>
          </w:tcPr>
          <w:p>
            <w:pPr>
              <w:spacing w:after="0" w:line="136" w:lineRule="exact"/>
              <w:rPr>
                <w:sz w:val="20"/>
                <w:szCs w:val="20"/>
                <w:color w:val="auto"/>
              </w:rPr>
            </w:pPr>
            <w:r>
              <w:rPr>
                <w:rFonts w:ascii="Times New Roman" w:cs="Times New Roman" w:eastAsia="Times New Roman" w:hAnsi="Times New Roman"/>
                <w:sz w:val="14"/>
                <w:szCs w:val="14"/>
                <w:color w:val="0000EE"/>
                <w:w w:val="92"/>
              </w:rPr>
              <w:t>EXPERTS</w:t>
            </w:r>
          </w:p>
        </w:tc>
        <w:tc>
          <w:tcPr>
            <w:tcW w:w="520" w:type="dxa"/>
            <w:vAlign w:val="bottom"/>
            <w:tcBorders>
              <w:top w:val="single" w:sz="8" w:color="0000EE"/>
            </w:tcBorders>
            <w:gridSpan w:val="2"/>
          </w:tcPr>
          <w:p>
            <w:pPr>
              <w:spacing w:after="0"/>
              <w:rPr>
                <w:sz w:val="11"/>
                <w:szCs w:val="11"/>
                <w:color w:val="auto"/>
              </w:rPr>
            </w:pPr>
          </w:p>
        </w:tc>
        <w:tc>
          <w:tcPr>
            <w:tcW w:w="3400" w:type="dxa"/>
            <w:vAlign w:val="bottom"/>
            <w:tcBorders>
              <w:top w:val="single" w:sz="8" w:color="CCEEFF"/>
            </w:tcBorders>
            <w:gridSpan w:val="8"/>
          </w:tcPr>
          <w:p>
            <w:pPr>
              <w:spacing w:after="0"/>
              <w:rPr>
                <w:sz w:val="11"/>
                <w:szCs w:val="11"/>
                <w:color w:val="auto"/>
              </w:rPr>
            </w:pPr>
          </w:p>
        </w:tc>
        <w:tc>
          <w:tcPr>
            <w:tcW w:w="6620" w:type="dxa"/>
            <w:vAlign w:val="bottom"/>
            <w:tcBorders>
              <w:top w:val="single" w:sz="8" w:color="CCEEFF"/>
            </w:tcBorders>
          </w:tcPr>
          <w:p>
            <w:pPr>
              <w:spacing w:after="0"/>
              <w:rPr>
                <w:sz w:val="11"/>
                <w:szCs w:val="11"/>
                <w:color w:val="auto"/>
              </w:rPr>
            </w:pPr>
          </w:p>
        </w:tc>
        <w:tc>
          <w:tcPr>
            <w:tcW w:w="140" w:type="dxa"/>
            <w:vAlign w:val="bottom"/>
            <w:tcBorders>
              <w:top w:val="single" w:sz="8" w:color="0000EE"/>
              <w:bottom w:val="single" w:sz="8" w:color="0000EE"/>
            </w:tcBorders>
            <w:gridSpan w:val="2"/>
          </w:tcPr>
          <w:p>
            <w:pPr>
              <w:jc w:val="right"/>
              <w:spacing w:after="0" w:line="136" w:lineRule="exact"/>
              <w:rPr>
                <w:sz w:val="20"/>
                <w:szCs w:val="20"/>
                <w:color w:val="auto"/>
              </w:rPr>
            </w:pPr>
            <w:r>
              <w:rPr>
                <w:rFonts w:ascii="Times New Roman" w:cs="Times New Roman" w:eastAsia="Times New Roman" w:hAnsi="Times New Roman"/>
                <w:sz w:val="14"/>
                <w:szCs w:val="14"/>
                <w:color w:val="0000EE"/>
                <w:w w:val="85"/>
              </w:rPr>
              <w:t>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40" w:type="dxa"/>
            <w:vAlign w:val="bottom"/>
            <w:tcBorders>
              <w:bottom w:val="single" w:sz="8" w:color="0000EE"/>
            </w:tcBorders>
            <w:gridSpan w:val="8"/>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w w:val="97"/>
              </w:rPr>
              <w:t>WHERE YOU CAN FIND MORE INFORMATION</w:t>
            </w:r>
          </w:p>
        </w:tc>
        <w:tc>
          <w:tcPr>
            <w:tcW w:w="1560" w:type="dxa"/>
            <w:vAlign w:val="bottom"/>
            <w:tcBorders>
              <w:bottom w:val="single" w:sz="8" w:color="CCEEFF"/>
            </w:tcBorders>
            <w:gridSpan w:val="3"/>
            <w:shd w:val="clear" w:color="auto" w:fill="CCEEFF"/>
          </w:tcPr>
          <w:p>
            <w:pPr>
              <w:spacing w:after="0"/>
              <w:rPr>
                <w:sz w:val="13"/>
                <w:szCs w:val="13"/>
                <w:color w:val="auto"/>
              </w:rPr>
            </w:pPr>
          </w:p>
        </w:tc>
        <w:tc>
          <w:tcPr>
            <w:tcW w:w="66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EE"/>
            </w:tcBorders>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0000EE"/>
                <w:w w:val="85"/>
              </w:rPr>
              <w:t>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Borders>
              <w:bottom w:val="single" w:sz="8" w:color="0000EE"/>
            </w:tcBorders>
          </w:tcPr>
          <w:p>
            <w:pPr>
              <w:spacing w:after="0"/>
              <w:rPr>
                <w:sz w:val="11"/>
                <w:szCs w:val="11"/>
                <w:color w:val="auto"/>
              </w:rPr>
            </w:pPr>
          </w:p>
        </w:tc>
        <w:tc>
          <w:tcPr>
            <w:tcW w:w="4000" w:type="dxa"/>
            <w:vAlign w:val="bottom"/>
            <w:tcBorders>
              <w:bottom w:val="single" w:sz="8" w:color="0000EE"/>
            </w:tcBorders>
            <w:gridSpan w:val="9"/>
          </w:tcPr>
          <w:p>
            <w:pPr>
              <w:spacing w:after="0" w:line="136" w:lineRule="exact"/>
              <w:rPr>
                <w:sz w:val="20"/>
                <w:szCs w:val="20"/>
                <w:color w:val="auto"/>
              </w:rPr>
            </w:pPr>
            <w:r>
              <w:rPr>
                <w:rFonts w:ascii="Times New Roman" w:cs="Times New Roman" w:eastAsia="Times New Roman" w:hAnsi="Times New Roman"/>
                <w:sz w:val="14"/>
                <w:szCs w:val="14"/>
                <w:color w:val="0000EE"/>
                <w:w w:val="97"/>
              </w:rPr>
              <w:t>INCORPORATION OF CERTAIN INFORMATION BY REFERENCE</w:t>
            </w:r>
          </w:p>
        </w:tc>
        <w:tc>
          <w:tcPr>
            <w:tcW w:w="500" w:type="dxa"/>
            <w:vAlign w:val="bottom"/>
            <w:gridSpan w:val="2"/>
          </w:tcPr>
          <w:p>
            <w:pPr>
              <w:spacing w:after="0"/>
              <w:rPr>
                <w:sz w:val="11"/>
                <w:szCs w:val="11"/>
                <w:color w:val="auto"/>
              </w:rPr>
            </w:pPr>
          </w:p>
        </w:tc>
        <w:tc>
          <w:tcPr>
            <w:tcW w:w="6620" w:type="dxa"/>
            <w:vAlign w:val="bottom"/>
          </w:tcPr>
          <w:p>
            <w:pPr>
              <w:spacing w:after="0"/>
              <w:rPr>
                <w:sz w:val="11"/>
                <w:szCs w:val="11"/>
                <w:color w:val="auto"/>
              </w:rPr>
            </w:pPr>
          </w:p>
        </w:tc>
        <w:tc>
          <w:tcPr>
            <w:tcW w:w="140" w:type="dxa"/>
            <w:vAlign w:val="bottom"/>
            <w:tcBorders>
              <w:bottom w:val="single" w:sz="8" w:color="0000EE"/>
            </w:tcBorders>
            <w:gridSpan w:val="2"/>
          </w:tcPr>
          <w:p>
            <w:pPr>
              <w:jc w:val="right"/>
              <w:spacing w:after="0" w:line="136" w:lineRule="exact"/>
              <w:rPr>
                <w:sz w:val="20"/>
                <w:szCs w:val="20"/>
                <w:color w:val="auto"/>
              </w:rPr>
            </w:pPr>
            <w:r>
              <w:rPr>
                <w:rFonts w:ascii="Times New Roman" w:cs="Times New Roman" w:eastAsia="Times New Roman" w:hAnsi="Times New Roman"/>
                <w:sz w:val="14"/>
                <w:szCs w:val="14"/>
                <w:color w:val="0000EE"/>
                <w:w w:val="85"/>
              </w:rPr>
              <w:t>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343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This prospectus is part of the registration statement that we filed with the Securities and Exchange Commission (the “SEC”) pursuant to which the selling stockholders named herein may, from time to time, offer and sell or otherwise dispose of the shares of our Common Stock covered by this prospectus. As permitted by the rules and regulations of the SEC, the registration statement filed by us includes additional information not contained in this prospectus.</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into this prospectus include important information about us, the securities being offered and other information you should know before investing in our securities. You should not assume that the information contained in this prospectus is accurate on any date subsequent to the date set forth on the front cover of this prospectus or that any information we have incorporated by reference is correct on any date subsequent to the date of the document incorporated by reference, even though this prospectus is delivered or shares of Common Stock are sold or otherwise disposed of on a later date. It is important for you to read and consider all information contained in this prospectus, including the documents incorporated by reference therein, in making your investment decision. A prospectus supplement may add to, update or change the information contained in this prospectus. You should read both this prospectus and any applicable prospectus supplement together with additional information described below under the headings “Where You Can Find More Information” and “Incorporation of Certain Information by Reference” in this prospectus.</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You should rely only on this prospectus and the applicable prospectus supplement and the information incorporated or deemed to be incorporated by reference in this prospectus. We have not, and the selling stockholders have not, authorized anyone to give any information or to make any representation to you other than those contained or incorporated by reference in this prospectus. If anyone provides you with different or inconsistent information, you should not rely on it. This prospectus does not constitute an offer to sell or the solicitation of an offer to buy securities in any jurisdiction to any person to whom it is unlawful to make such offer or solicitation in such jurisdiction.</w:t>
      </w:r>
    </w:p>
    <w:p>
      <w:pPr>
        <w:spacing w:after="0" w:line="1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4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Unless otherwise indicated, information contained or incorporated by reference in this prospectus concerning our industry, including our general expectations and market opportunity, is based on information from our own management estimates and research, as well as from industry and general publications and research, surveys and studies conducted by third parties. Management estimates are derived from publicly available information, our knowledge of our industry and assumptions based on such information and knowledge, which we believe to be reasonable. In addition, assumptions and estimates of our and our industry’s future performance are necessarily uncertain due to a variety of factors, including those described in “Risk Factors” beginning on page 8 of this prospectus. These and other factors could cause our future performance to differ materially from our assumptions and estimates.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343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i w:val="1"/>
          <w:iCs w:val="1"/>
          <w:color w:val="auto"/>
        </w:rPr>
        <w:t>This summary provides an overview of selected information contained elsewhere or incorporated by reference in this prospectus and does not contain all of the information you should consider before investing in our securities. You should carefully read the prospectus, any applicable prospectus supplement, the information incorporated by reference and the registration statement of which this prospectus is a part in their entirety before investing in our securities, including the information discussed under “Risk Factors” in this prospectus and the documents incorporated by reference and our financial statements and related notes that are incorporated by reference in this prospectus. In this prospectus, unless the context indicates otherwise, “XWELL,” the “Company,” the “registrant,” “we,” “us,” “our,” or “ours” refer to XWELL, Inc. and its consolidated subsidiaries.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XWELL is a global wellness organization dedicated to delivering restorative and health-focused products and services to travelers. Through its three reportable operating segments: XpresSpa®,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XpresTest®, and Naples Wax Center®. As of the date of this prospectus, XWELL currently has three reportable operating segments: XpresSpa®, XpresTest® and Naples Wax Center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w:t>
      </w:r>
    </w:p>
    <w:p>
      <w:pPr>
        <w:spacing w:after="0" w:line="1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October 25, 2022, the Company changed its name to XWELL, Inc. (“XWELL” or the “Company”) from XpresSpa Group, Inc. The Company’s Common Stock, which had previously been listed under the trading symbol “XSPA” on Nasdaq, now trades under the trading symbol “XWEL”. The Company filed an amended and restated certificate of incorporation with the Delaware Secretary of State on October 24, 2022 (as amended, the “Amended and Restated Certificate”) reflecting the name change. Rebranding to XWELL aligned the Company’s corporate strategy to build a pure-play wellness services company, in both the airport and off-airport marketplaces.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amounts are in thousands, except share, per share, or as otherwise specifically noted.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XpresSpa</w:t>
      </w:r>
    </w:p>
    <w:p>
      <w:pPr>
        <w:spacing w:after="0" w:line="17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XWELL’s subsidiary, XpresSpa Holdings, LLC (“XpresSpa”) has been a global airport retailer of spa services through its XpresSpa spa locations, offering travelers premium spa services, including massage, nail and skin care, as well as spa and travel products.</w:t>
      </w:r>
    </w:p>
    <w:p>
      <w:pPr>
        <w:spacing w:after="0" w:line="1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As of December 31, 2025, there were 16 domestic XpresSpa locations in total. The Company also had 9 international locations operating as of December 31, 2025, including 2 XpresSpa locations in the Dubai International Airport in the United Arab Emirates, 1 XpresSpa location in the Zayad International Airport in Abu Dhabi, United Arab Emirates, 2 XpresSpa locations in the Schiphol Amsterdam Airport in the Netherlands and 4 XpresSpa locations in the Istanbul Airport in Turkey.</w:t>
      </w:r>
    </w:p>
    <w:p>
      <w:pPr>
        <w:spacing w:after="0" w:line="1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Treat, which is operating through XWELL’s subsidiary Treat, Inc. (“Treat”) is a wellness brand that provides access to wellness services for travelers at on-site centers. In April 2024, the decision was made to close the location in the Salt Lake City International Airport. In the first quarter of 2025, the decision was made to convert the final remaining Treat location at JFK International Airport in New York City to an XWELL location. As of December 31, 2025, all Treat locations have been converted to XWELL.</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XpresTest</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in partnership with certain COVID-19 testing partners, successfully launched its XpresCheck Wellness Centers, in June of 2020, through its XpresTest, Inc. subsidiary (“XpresTest”), which offered COVID-19 and other medical testing to the traveling public, as well as airline, airport and concessionaire employees, and TSA and U.S. Customs and Border Protection agents during the pandemic. As of December 31, 2023, the Company closed all XpresCheck locations and XpresTest no longer provides diagnostic testing services XpresTest began conducting bio surveillance monitoring with the Centers for Disease Control and Prevention (CDC) in collaboration with Concentric by Ginkgo Bioworks Holdings, Inc. (“Ginkgo Bioworks”)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205105</wp:posOffset>
            </wp:positionV>
            <wp:extent cx="716343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6" w:name="page7"/>
    <w:bookmarkEnd w:id="6"/>
    <w:p>
      <w:pPr>
        <w:jc w:val="both"/>
        <w:spacing w:after="0" w:line="255" w:lineRule="auto"/>
        <w:rPr>
          <w:sz w:val="20"/>
          <w:szCs w:val="20"/>
          <w:color w:val="auto"/>
        </w:rPr>
      </w:pPr>
      <w:r>
        <w:rPr>
          <w:rFonts w:ascii="Times New Roman" w:cs="Times New Roman" w:eastAsia="Times New Roman" w:hAnsi="Times New Roman"/>
          <w:sz w:val="14"/>
          <w:szCs w:val="14"/>
          <w:color w:val="auto"/>
        </w:rPr>
        <w:t>The program was renewed through August 2024. The revenue to XpresTest from such one-year extension totaled approximately $7,044. In January 2024, the program funding and scope were expanded, a revenue increase of $4,000, to an estimated $11,044 in revenue for XpresTest with new collection locations at U.S. international airports and the roll out of multi-pathogen testing across the program. In July 2024, the contract was further amended to extend the time period for services by two weeks (extension period August 12, 2024 to August 25, 2024). An increase of $293 in revenue for the two week extension brought total revenue to $11,337. The program was again extended in August 2024 through February 25, 2025. The funding was expanded with a revenue increase of $3,763, to an estimated $15,100 in revenue for XpresTest. In February 2025, the program was extended through a three-year contract with a total base value of $22,200 over three years, and a maximum ceiling value of $24,800 within the same timeframe.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Naples Wax Center</w:t>
      </w:r>
    </w:p>
    <w:p>
      <w:pPr>
        <w:spacing w:after="0" w:line="17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3"/>
          <w:szCs w:val="13"/>
          <w:color w:val="auto"/>
        </w:rPr>
        <w:t>XWELL’s subsidiary Naples Wax, LLC, d/b/a Naples Wax Centers (“Naples Wax Center” or “Naples Wax”) which was acquired on September 12, 2023, for a purchase price of $1,624, operates a group of upscale hair removal locations with core products and service offerings from face and body waxing to a range of skincare and cosmetic products. The acquisition of Naples Wax Center is intended to enable us to move beyond our airport client base with a business that can be adapted to a larger wellness platform while also growing our retail footprint to serve our long-term financial goals.</w:t>
      </w:r>
    </w:p>
    <w:p>
      <w:pPr>
        <w:spacing w:after="0" w:line="12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Although we recognize four segments of business, we believe there is opportunity to leverage a segment of our products and services across our platform of brands. Additionally, we are expanding our retail strategy, not only adding more products for sale but aligning those products more efficiently to our service offerings. This product strategy includes, for example, adding muscle relaxation patches to a neck or back massage to continue treatment after the delivery of the service.</w:t>
      </w:r>
    </w:p>
    <w:p>
      <w:pPr>
        <w:spacing w:after="0" w:line="13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We also plan to build our capability for delivering health and wellness services outside of the airport. We believe operating outside of the airport complements our offering and represents the fastest way to scale the XWELL family of brands.</w:t>
      </w:r>
    </w:p>
    <w:p>
      <w:pPr>
        <w:spacing w:after="0" w:line="12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We will be looking to further expand internationally. We believe a strategy for international expansion further advances our ability to expand our other brands including bio surveillance outside of the US.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343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color w:val="auto"/>
        </w:rPr>
        <w:t>Private Placement of Preferred Shares and Warrants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On February 24, 2026, we entered into the Purchase Agreement with the Investor, pursuant to which we issued and sold in a private placement, (A) in an initial closing on February 27, 2026 (the “Initial Closing Date”), (i) 30,832 Preferred Shares, initially convertible into up to 65,600,000 shares of the Company’s Common Stock at an initial conversion price of $0.47 per share (subject to customary adjustments, the “Conversion Price”) and (ii) Investor Warrants to acquire up to an aggregate of 65,600,000 shares of Common Stock at an initial exercise price of $0.345 per share (subject to customary adjustments, the “Exercise Price”) (B) in a subsequent closing on March 3, 2026 (the “Second Closing Date”), (i) 501 Preferred Shares, initially convertible into up to 1,065,957 shares of the Company’s Common Stock at the Conversion Price and (ii) Investor Warrants to acquire up to an aggregate of 1,065,957 shares of Common Stock at the Exercise Price.</w:t>
      </w:r>
    </w:p>
    <w:p>
      <w:pPr>
        <w:spacing w:after="0" w:line="14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terms of the Preferred Shares are as set forth in the Certificate of Designations of the Series H Convertible Preferred Stock (the “Preferred Stock”) of XWELL, Inc. (the “Certificate of Designations”), which was filed and became effective with the Secretary of State of the State of Delaware on February 26, 2026. The Investor Warrants are immediately exercisable and expire three years from the date of issuance.</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343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8" w:name="page9"/>
    <w:bookmarkEnd w:id="8"/>
    <w:p>
      <w:pPr>
        <w:jc w:val="both"/>
        <w:spacing w:after="0" w:line="281" w:lineRule="auto"/>
        <w:rPr>
          <w:sz w:val="20"/>
          <w:szCs w:val="20"/>
          <w:color w:val="auto"/>
        </w:rPr>
      </w:pPr>
      <w:r>
        <w:rPr>
          <w:rFonts w:ascii="Times New Roman" w:cs="Times New Roman" w:eastAsia="Times New Roman" w:hAnsi="Times New Roman"/>
          <w:sz w:val="13"/>
          <w:szCs w:val="13"/>
          <w:color w:val="auto"/>
        </w:rPr>
        <w:t>In connection with the Private Placement, pursuant to the Engagement Agreement, the Company engaged the Placement Agent to act as exclusive placement agent in connection with the Private Placement, pursuant to which, the Company agreed to (i) pay the Placement Agent a cash fee equal to 8% of the gross proceeds of the Private Placement, (ii) reimbursement and payment of certain expenses, including non-accountable expense allowance equal to 1% of the gross proceeds raised in the Private Placement and reasonable out-of-pocket expenses, not to exceed $250,000, and (iii) issue to the Placement Agent the Placement Agent Warrants to purchase up to an aggregate number of shares of Common Stock equal to 8.0% of the aggregate number of shares of Common Stock underlying the Preferred Shares issued in the Private Placement, with terms identical to the Investor Warrants, except that the Placement Agent Warrants have a term of five years from the date of issuance.</w:t>
      </w:r>
    </w:p>
    <w:p>
      <w:pPr>
        <w:spacing w:after="0" w:line="1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Private Placement was exempt from the registration requirements of the Securities Act pursuant to the exemption for transactions by an issuer not involving any public offering under Section 4(a)(2) of the Securities Act and Rule 506 of Regulation D of the Securities Act and in reliance on similar exemptions under applicable state laws. The Investor in the Private Placement has represented to us that it is an accredited investor within the meaning of Rule 501(a) of Regulation D and that it is acquiring the securities for investment only and not with a view towards, or for resale in connection with, the public sale or distribution thereof. The Preferred Shares and Investor Warrants were offered without any general solicitation by us or our representatives.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Registration Rights Agreements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In connection with the Private Placement, we entered into the Registration Rights Agreement, pursuant to which we are obligated, among other things, to (A) file a resale registration statement (the “Registration Statement”) with the SEC to register for resale promptly following the Second Closing Date, but in no event later than the earlier of (i) 50 days after (1) the Second Closing Date or (2) the Escrow Release Date (as defined in the Purchase Agreement) and (ii) the second trading day following the date on which the Company files its Annual Report on Form 10-K for the year ended December 31, 2025, the sum of (i) the Conversion Shares issuable upon conversion of the Preferred Shares ((x) assuming for purposes hereof that the Preferred Shares are convertible at the initial Conversion Price and (y) any such conversion shall not take into account any limitations on the conversion of the Preferred Shares set forth in the Certificate of Designations), (ii) the Warrant Shares issuable upon exercise of the Investor Warrants (assuming for purposes hereof that any such exercise shall not take into account any limitations on the exercise of such Investor Warrants as set forth therein), and (iii) the Warrant Shares issuable upon exercise of the Placement Agent Warrants (assuming for purposes hereof that any such exercise shall not take into account any limitations on the exercise of such Placement Agent Warrants as set forth therein), in each case subject to customary adjustments set forth in the Certificate of Designations and the Warrants, (B) have such Registration Statement declared effective by the Effective Date (as defined in the Registration Rights Agreement and as may be amended from time to time), and (C) maintain the registration until the date on which the Conversion Shares or Warrant Shares (i) have been sold pursuant to the Registration Statement or pursuant to Rule 144, or (ii) may be sold without volume or manner-of-sale restrictions pursuant to Rule 144 and without the requirement for the Company to be in compliance with the current public information requirement under Rule 144.</w:t>
      </w:r>
    </w:p>
    <w:p>
      <w:pPr>
        <w:spacing w:after="0" w:line="148"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3"/>
          <w:szCs w:val="13"/>
          <w:color w:val="auto"/>
        </w:rPr>
        <w:t>The Company will be obligated to pay certain liquidated damages to the Investor and the Placement Agent if the Company fails to file the Registration Statement when required, fails to cause the Registration Statement to be declared effective by the SEC when required, or fails to maintain the effectiveness of the Registration Statement pursuant to the terms of the Registration Rights Agreement.</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343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color w:val="auto"/>
        </w:rPr>
        <w:t>Preferred Shares</w:t>
      </w:r>
    </w:p>
    <w:p>
      <w:pPr>
        <w:spacing w:after="0" w:line="17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All shares of capital stock of the Company rank junior to the Preferred Shares, with respect to the preferences as to dividends, distributions and payments upon the liquidation, dissolution and winding up of the Company.</w:t>
      </w:r>
    </w:p>
    <w:p>
      <w:pPr>
        <w:spacing w:after="0" w:line="12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The Preferred Shares are convertible into Common Stock at the election of the holders of the Preferred Stock (the “Holders”) at any time at an initial Conversion Price of $0.47. The Conversion Price is subject to customary adjustments for stock dividends, stock splits, reclassifications, stock combinations and the like.</w:t>
      </w:r>
    </w:p>
    <w:p>
      <w:pPr>
        <w:spacing w:after="0" w:line="1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A Holder of the Preferred Stock may not convert any portion of the Preferred Stock to the extent that the Holder, together with its affiliates, would beneficially own more than 4.99% of the Company’s outstanding shares of Common Stock immediately after conversion, except that upon at least 61 days’ prior notice from the Holder to the Company, the Holder may increase the beneficial ownership limitation to up to 9.99% of the number of shares of Common Stock outstanding immediately after giving effect to the conversion.</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Pursuant to the Certificate of Designations, so long as any Preferred Shares are outstanding, the Company may not, directly or indirectly, redeem, or declare or pay any cash dividend or distribution on, any securities of the Company without the prior express written consent of the Required Holders (as defined in the Certificate of Designations). In the event that dividends are consented to by the Required Holders, the Holders of the Preferred Shares shall be entitled to receive dividends on the Preferred Shares equal (on an as-if-converted-to-Common-Stock basis) to and in the same form as dividends actually paid on shares of the Common Stock when, as and if such dividends are paid on shares of the Common Stock. No other dividends may be paid on the Preferred Shares.</w:t>
      </w:r>
    </w:p>
    <w:p>
      <w:pPr>
        <w:spacing w:after="0" w:line="1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Except as otherwise provided in the Certificate of Designations or as otherwise required by law, the Preferred Stock will have no voting rights except as provided by law. However, as long as any Preferred Shares are outstanding, the Company may not, without the affirmative vote at a meeting duly called for such purpose, or the written consent without a meeting, of the Required Holders, voting together as a single class, (a) amend or repeal any provision of, or add any provision to, its charter documents, including, without limitation, its Certificate of Incorporation or bylaws, the Certificate of Designation, or file any certificate of designations or articles of amendment of any series of shares of preferred stock, in each case, only if such action would adversely alter or change in any respect the preferences, rights, privileges or powers, or restrictions provided for the benefit, of the Preferred Stock, regardless of whether any such action shall be by means of amendment to the Certificate of Incorporation or by merger, consolidation or otherwise; (b) increase or decrease (other than by conversion) the authorized number of shares of the Preferred Stock; (c) create or authorize (by reclassification or otherwise) any new class or series of shares that has a preference over the Preferred Stock with respect to dividends or the distribution of assets on the liquidation, dissolution or winding up of the Company; (d) pay dividends or make any other distribution on any shares of any capital stock of the Company junior in rank to the Preferred Stock; (e) issue any shares of Preferred Stock other than as set forth in the Certificate of Designations; or (f) whether or not prohibited by the terms of the Preferred Stock, circumvent a right of the Preferred Stock.</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343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color w:val="auto"/>
        </w:rPr>
        <w:t>Warrants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Warrants are exercisable for shares of Common Stock immediately, at the Exercise Price. The Investor Warrants expire three years from the date of issuance and the Placement Agent Warrants expire five years from the date of issuance. The Exercise Price of the Warrants is subject to customary adjustments for stock dividends, stock splits, reclassifications, stock combinations and the like. The Exercise Price may also be voluntarily reduced by the Company to any amount and for any period of time deemed appropriate by the board of directors of the Company, subject to the rules and regulations of the Nasdaq Capital Market. The Warrants may be exercised for cash, provided that, if there is no effective registration statement available registering the exercise of the Warrants, the Warrants may be exercised on a cashless basis.</w:t>
      </w:r>
    </w:p>
    <w:p>
      <w:pPr>
        <w:spacing w:after="0" w:line="14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A holder of the Warrants may not exercise any portion of such holder’s Warrants to the extent that the holder, together with its affiliates, would beneficially own more than 4.99% of the Company’s outstanding shares of Common Stock immediately after exercise, except that upon at least 61 days’ prior notice from the holder to the Company, the holder may increase the beneficial ownership limitation to up to 9.99% of the number of shares of Common Stock outstanding immediately after giving effect to the exercise.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Implications of Being a Smaller Reporting Company</w:t>
      </w:r>
    </w:p>
    <w:p>
      <w:pPr>
        <w:spacing w:after="0" w:line="17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We are a “smaller reporting company” and accordingly may provide less public disclosure than larger public companies. As a result, the information that we provide to our stockholders may be different than you might receive from other public reporting companies in which you hold equity interests.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were incorporated in Delaware as a corporation on January 9, 2006, and completed an initial public offering in June 2010. Our Common Stock, which was previously listed since January 8, 2018, under the trading symbol “XSPA” on Nasdaq, has been listed under the trading symbol “XWEL” since October 25, 2022. Our principal executive offices are located at 254 West 31st Street, 11th Floor, New York, New York 10001. Our telephone number is (212) 750-9595 and our website address is www.xwell.com. We also operate the websites www.xpresspa.com, www.xprescheck.com, www.hyperpointe.com and www.napleswaxcenter.com. Through our website, we will make available, free of charge, our annual report on Form 10-K, quarterly reports on Form 10-Q, current reports on Form 8-K and any amendments to those reports, as soon as reasonably practicable after such material is electronically filed with, or furnished to, the SEC. Information contained on, or that can be accessed through, our website is not and shall not be deemed to be a part of this prospectus or incorporated by reference hereto.</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343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4"/>
        </w:trPr>
        <w:tc>
          <w:tcPr>
            <w:tcW w:w="2100" w:type="dxa"/>
            <w:vAlign w:val="bottom"/>
          </w:tcPr>
          <w:p>
            <w:pPr>
              <w:spacing w:after="0"/>
              <w:rPr>
                <w:sz w:val="16"/>
                <w:szCs w:val="16"/>
                <w:color w:val="auto"/>
              </w:rPr>
            </w:pPr>
          </w:p>
        </w:tc>
        <w:tc>
          <w:tcPr>
            <w:tcW w:w="9180" w:type="dxa"/>
            <w:vAlign w:val="bottom"/>
          </w:tcPr>
          <w:p>
            <w:pPr>
              <w:ind w:left="3020"/>
              <w:spacing w:after="0"/>
              <w:rPr>
                <w:sz w:val="20"/>
                <w:szCs w:val="20"/>
                <w:color w:val="auto"/>
              </w:rPr>
            </w:pPr>
            <w:r>
              <w:rPr>
                <w:rFonts w:ascii="Times New Roman" w:cs="Times New Roman" w:eastAsia="Times New Roman" w:hAnsi="Times New Roman"/>
                <w:sz w:val="14"/>
                <w:szCs w:val="14"/>
                <w:b w:val="1"/>
                <w:bCs w:val="1"/>
                <w:color w:val="auto"/>
              </w:rPr>
              <w:t>THE OFFERING</w:t>
            </w:r>
          </w:p>
        </w:tc>
      </w:tr>
      <w:tr>
        <w:trPr>
          <w:trHeight w:val="318"/>
        </w:trPr>
        <w:tc>
          <w:tcPr>
            <w:tcW w:w="2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Common Stock to be Offered by</w:t>
            </w:r>
          </w:p>
        </w:tc>
        <w:tc>
          <w:tcPr>
            <w:tcW w:w="9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Up to an aggregate of 138,665,191 shares of Common Stock, which are issuable to such selling stockholders pursuant to the terms of the Preferred Shares and</w:t>
            </w:r>
          </w:p>
        </w:tc>
      </w:tr>
      <w:tr>
        <w:trPr>
          <w:trHeight w:val="184"/>
        </w:trPr>
        <w:tc>
          <w:tcPr>
            <w:tcW w:w="2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the Selling Stockholders</w:t>
            </w:r>
          </w:p>
        </w:tc>
        <w:tc>
          <w:tcPr>
            <w:tcW w:w="9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Warrants.</w:t>
            </w:r>
          </w:p>
        </w:tc>
      </w:tr>
      <w:tr>
        <w:trPr>
          <w:trHeight w:val="320"/>
        </w:trPr>
        <w:tc>
          <w:tcPr>
            <w:tcW w:w="2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Use of Proceeds</w:t>
            </w:r>
          </w:p>
        </w:tc>
        <w:tc>
          <w:tcPr>
            <w:tcW w:w="9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We will not receive any proceeds from the sale of the Conversion Shares and Warrant Shares by the selling stockholders. However, we will receive proceeds</w:t>
            </w:r>
          </w:p>
        </w:tc>
      </w:tr>
      <w:tr>
        <w:trPr>
          <w:trHeight w:val="182"/>
        </w:trPr>
        <w:tc>
          <w:tcPr>
            <w:tcW w:w="2100" w:type="dxa"/>
            <w:vAlign w:val="bottom"/>
          </w:tcPr>
          <w:p>
            <w:pPr>
              <w:spacing w:after="0"/>
              <w:rPr>
                <w:sz w:val="15"/>
                <w:szCs w:val="15"/>
                <w:color w:val="auto"/>
              </w:rPr>
            </w:pPr>
          </w:p>
        </w:tc>
        <w:tc>
          <w:tcPr>
            <w:tcW w:w="9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from the exercise of the Warrants if such Warrants, if any, are exercised for cash. We currently intend to use such proceeds for general corporate purposes.</w:t>
            </w:r>
          </w:p>
        </w:tc>
      </w:tr>
      <w:tr>
        <w:trPr>
          <w:trHeight w:val="320"/>
        </w:trPr>
        <w:tc>
          <w:tcPr>
            <w:tcW w:w="2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Plan of Distribution</w:t>
            </w:r>
          </w:p>
        </w:tc>
        <w:tc>
          <w:tcPr>
            <w:tcW w:w="9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selling stockholders named in this prospectus, or their pledgees, donees, transferees, distributees, beneficiaries or other successors-in-interest, may offer or</w:t>
            </w:r>
          </w:p>
        </w:tc>
      </w:tr>
      <w:tr>
        <w:trPr>
          <w:trHeight w:val="167"/>
        </w:trPr>
        <w:tc>
          <w:tcPr>
            <w:tcW w:w="2100" w:type="dxa"/>
            <w:vAlign w:val="bottom"/>
          </w:tcPr>
          <w:p>
            <w:pPr>
              <w:spacing w:after="0"/>
              <w:rPr>
                <w:sz w:val="14"/>
                <w:szCs w:val="14"/>
                <w:color w:val="auto"/>
              </w:rPr>
            </w:pPr>
          </w:p>
        </w:tc>
        <w:tc>
          <w:tcPr>
            <w:tcW w:w="91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sell the shares of Common Stock from time to time through public or private transactions at prevailing market prices, at prices related to prevailing market prices</w:t>
            </w:r>
          </w:p>
        </w:tc>
      </w:tr>
      <w:tr>
        <w:trPr>
          <w:trHeight w:val="167"/>
        </w:trPr>
        <w:tc>
          <w:tcPr>
            <w:tcW w:w="2100" w:type="dxa"/>
            <w:vAlign w:val="bottom"/>
          </w:tcPr>
          <w:p>
            <w:pPr>
              <w:spacing w:after="0"/>
              <w:rPr>
                <w:sz w:val="14"/>
                <w:szCs w:val="14"/>
                <w:color w:val="auto"/>
              </w:rPr>
            </w:pPr>
          </w:p>
        </w:tc>
        <w:tc>
          <w:tcPr>
            <w:tcW w:w="9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or at privately negotiated prices. The selling stockholders may also resell the shares of Common Stock to or through underwriters, broker-dealers or agents, who</w:t>
            </w:r>
          </w:p>
        </w:tc>
      </w:tr>
      <w:tr>
        <w:trPr>
          <w:trHeight w:val="182"/>
        </w:trPr>
        <w:tc>
          <w:tcPr>
            <w:tcW w:w="2100" w:type="dxa"/>
            <w:vAlign w:val="bottom"/>
          </w:tcPr>
          <w:p>
            <w:pPr>
              <w:spacing w:after="0"/>
              <w:rPr>
                <w:sz w:val="15"/>
                <w:szCs w:val="15"/>
                <w:color w:val="auto"/>
              </w:rPr>
            </w:pPr>
          </w:p>
        </w:tc>
        <w:tc>
          <w:tcPr>
            <w:tcW w:w="9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may receive compensation in the form of discounts, concessions or commissions.</w:t>
            </w:r>
          </w:p>
        </w:tc>
      </w:tr>
      <w:tr>
        <w:trPr>
          <w:trHeight w:val="320"/>
        </w:trPr>
        <w:tc>
          <w:tcPr>
            <w:tcW w:w="2100" w:type="dxa"/>
            <w:vAlign w:val="bottom"/>
          </w:tcPr>
          <w:p>
            <w:pPr>
              <w:spacing w:after="0"/>
              <w:rPr>
                <w:sz w:val="24"/>
                <w:szCs w:val="24"/>
                <w:color w:val="auto"/>
              </w:rPr>
            </w:pPr>
          </w:p>
        </w:tc>
        <w:tc>
          <w:tcPr>
            <w:tcW w:w="9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See “Plan of Distribution” beginning on page 15 of this prospectus for additional information on the methods of sale that may be used by the selling</w:t>
            </w:r>
          </w:p>
        </w:tc>
      </w:tr>
      <w:tr>
        <w:trPr>
          <w:trHeight w:val="182"/>
        </w:trPr>
        <w:tc>
          <w:tcPr>
            <w:tcW w:w="2100" w:type="dxa"/>
            <w:vAlign w:val="bottom"/>
          </w:tcPr>
          <w:p>
            <w:pPr>
              <w:spacing w:after="0"/>
              <w:rPr>
                <w:sz w:val="15"/>
                <w:szCs w:val="15"/>
                <w:color w:val="auto"/>
              </w:rPr>
            </w:pPr>
          </w:p>
        </w:tc>
        <w:tc>
          <w:tcPr>
            <w:tcW w:w="9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stockholders.</w:t>
            </w:r>
          </w:p>
        </w:tc>
      </w:tr>
      <w:tr>
        <w:trPr>
          <w:trHeight w:val="335"/>
        </w:trPr>
        <w:tc>
          <w:tcPr>
            <w:tcW w:w="2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Nasdaq Capital Market Symbol</w:t>
            </w:r>
          </w:p>
        </w:tc>
        <w:tc>
          <w:tcPr>
            <w:tcW w:w="9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Our Common Stock is listed on the Nasdaq Capital Market under the symbol “XWEL.”</w:t>
            </w:r>
          </w:p>
        </w:tc>
      </w:tr>
      <w:tr>
        <w:trPr>
          <w:trHeight w:val="320"/>
        </w:trPr>
        <w:tc>
          <w:tcPr>
            <w:tcW w:w="2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Risk Factors</w:t>
            </w:r>
          </w:p>
        </w:tc>
        <w:tc>
          <w:tcPr>
            <w:tcW w:w="9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Investing in our Common Stock involves significant risks. See “Risk Factors” beginning on page 8 of this prospectus and the documents incorporated by</w:t>
            </w:r>
          </w:p>
        </w:tc>
      </w:tr>
      <w:tr>
        <w:trPr>
          <w:trHeight w:val="182"/>
        </w:trPr>
        <w:tc>
          <w:tcPr>
            <w:tcW w:w="2100" w:type="dxa"/>
            <w:vAlign w:val="bottom"/>
          </w:tcPr>
          <w:p>
            <w:pPr>
              <w:spacing w:after="0"/>
              <w:rPr>
                <w:sz w:val="15"/>
                <w:szCs w:val="15"/>
                <w:color w:val="auto"/>
              </w:rPr>
            </w:pPr>
          </w:p>
        </w:tc>
        <w:tc>
          <w:tcPr>
            <w:tcW w:w="9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reference in this prospectus.</w:t>
            </w:r>
          </w:p>
        </w:tc>
      </w:tr>
      <w:tr>
        <w:trPr>
          <w:trHeight w:val="502"/>
        </w:trPr>
        <w:tc>
          <w:tcPr>
            <w:tcW w:w="210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ind w:left="3500"/>
              <w:spacing w:after="0"/>
              <w:rPr>
                <w:sz w:val="20"/>
                <w:szCs w:val="20"/>
                <w:color w:val="auto"/>
              </w:rPr>
            </w:pPr>
            <w:r>
              <w:rPr>
                <w:rFonts w:ascii="Times New Roman" w:cs="Times New Roman" w:eastAsia="Times New Roman" w:hAnsi="Times New Roman"/>
                <w:sz w:val="14"/>
                <w:szCs w:val="14"/>
                <w:color w:val="auto"/>
              </w:rPr>
              <w:t>7</w:t>
            </w:r>
          </w:p>
        </w:tc>
      </w:tr>
    </w:tbl>
    <w:p>
      <w:pPr>
        <w:sectPr>
          <w:pgSz w:w="11900" w:h="16838" w:orient="portrait"/>
          <w:cols w:equalWidth="0" w:num="1">
            <w:col w:w="11280"/>
          </w:cols>
          <w:pgMar w:left="300" w:top="729"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4" w:lineRule="exact"/>
        <w:rPr>
          <w:sz w:val="20"/>
          <w:szCs w:val="20"/>
          <w:color w:val="auto"/>
        </w:rPr>
      </w:pPr>
    </w:p>
    <w:p>
      <w:pPr>
        <w:jc w:val="both"/>
        <w:spacing w:after="0" w:line="256" w:lineRule="auto"/>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Investing in our securities involves a high degree of risk. In addition to the other information contained in this prospectus and any prospectus supplement and in the documents we incorporate by reference, you should carefully consider the risks discussed below and under the heading “Risk Factors” in our </w:t>
      </w:r>
      <w:hyperlink r:id="rId24">
        <w:r>
          <w:rPr>
            <w:rFonts w:ascii="Times New Roman" w:cs="Times New Roman" w:eastAsia="Times New Roman" w:hAnsi="Times New Roman"/>
            <w:sz w:val="14"/>
            <w:szCs w:val="14"/>
            <w:i w:val="1"/>
            <w:iCs w:val="1"/>
            <w:u w:val="single" w:color="auto"/>
            <w:color w:val="0000EE"/>
          </w:rPr>
          <w:t>Annual Report on Form 10-K for the fiscal year ended December 31, 2025</w:t>
        </w:r>
      </w:hyperlink>
      <w:r>
        <w:rPr>
          <w:rFonts w:ascii="Times New Roman" w:cs="Times New Roman" w:eastAsia="Times New Roman" w:hAnsi="Times New Roman"/>
          <w:sz w:val="14"/>
          <w:szCs w:val="14"/>
          <w:i w:val="1"/>
          <w:iCs w:val="1"/>
          <w:color w:val="auto"/>
        </w:rPr>
        <w:t>, as well as any amendment or update to our risk factors reflected in subsequent filings with the SEC, before making a decision about investing in our securities. The risks and uncertainties discussed below and in the documents incorporated by reference are not the only ones facing us.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this Offering and Our Common Stock</w:t>
      </w:r>
    </w:p>
    <w:p>
      <w:pPr>
        <w:spacing w:after="0" w:line="17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b w:val="1"/>
          <w:bCs w:val="1"/>
          <w:i w:val="1"/>
          <w:iCs w:val="1"/>
          <w:color w:val="auto"/>
        </w:rPr>
        <w:t>The issuance of the shares of Common Stock covered by this prospectus could significantly increase the total number of shares of Common Stock issued and outstanding and thereby cause our existing stockholders to experience substantial dilution.</w:t>
      </w:r>
    </w:p>
    <w:p>
      <w:pPr>
        <w:spacing w:after="0" w:line="12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shares of Common Stock being offered pursuant to this prospectus represent Conversion Shares issuable upon the conversion of our Preferred Shares and Warrant Shares issuable upon the exercise of the Warrants. As of March 31, 2026, there were 7,926,766 shares of Common Stock issued and outstanding (prior to any deemed issuance of any Conversion Shares or Warrant Shares). If we are required to issue the maximum number of Conversion Shares and Warrant Shares that are being registered hereunder, the number of shares of Common Stock issued and outstanding after such issuance would represent approximately 1,849.33% of the number of shares of Common Stock issued and outstanding as of the date of this prospectus. As a result, an existing stockholder’s proportionate interest in us will be substantially diluted. The actual number of shares of Common Stock that we issue to the selling stockholders may be less than the aggregate number of shares covered by this prospectus.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Substantial future sales or other issuances of our Common Stock could depress the market for our Common Stock.</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Sales of a substantial number of shares of our Common Stock and any future sales of a substantial number of shares of Common Stock in the public market, including the issuance of shares or any shares issuable upon conversion of the Preferred Shares or exercise of the Warrants, or the perception by the market that those sales could occur, could cause the market price of our Common Stock to decline or could make it more difficult for us to raise funds through the sale of equity and equity-related securities in the future at a time and price that our management deems acceptable, or at all. In addition, as opportunities present themselves, we may enter into financing or similar arrangements in the future, including the issuance of debt securities, preferred stock or Common Stock, which could also depress the market for our Common Stock. We cannot predict the effect, if any, that market sales of those shares of Common Stock or the availability of those shares for sale will have on the market price of our Common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You may experience future dilution as a result of future equity offerings and other issuances of our securities.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order to raise additional capital, we may in the future offer additional shares of Common Stock or other securities convertible into or exchangeable for our Common Stock prices that may not be the same as the price per share paid by the investors in this offering. We may not be able to sell shares or other securities in any other offering at a price per share that is equal to or greater than the price per share paid by the investor in this offering, and investors purchasing shares or other securities in the future could have rights superior to existing stockholders. The price per share at which we sell additional shares of Common Stock or securities convertible into shares of Common Stock in future transactions may be higher or lower than the price per share paid to the applicable selling stockholders. Our stockholders will incur dilution upon exercise of any outstanding stock options, warrants or other convertible securities or upon the issuance of shares of Common Stock under our stock incentive programs.</w:t>
      </w:r>
    </w:p>
    <w:p>
      <w:pPr>
        <w:spacing w:after="0" w:line="14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Any additional capital raised through the sale of equity or equity-backed securities may dilute our stockholders’ ownership percentages and could also result in a decrease in the market value of our equity securities.</w:t>
      </w:r>
    </w:p>
    <w:p>
      <w:pPr>
        <w:spacing w:after="0" w:line="12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The terms of any securities issued by us in future capital transactions may be more favorable to new investors, and may include preferences, superior voting rights and the issuance of warrants or other derivative securities, which may have a further dilutive effect on the holders of any of our securities then outstanding.</w:t>
      </w:r>
    </w:p>
    <w:p>
      <w:pPr>
        <w:spacing w:after="0" w:line="1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In addition, we may incur substantial costs in pursuing future capital financing, including investment banking fees, legal fees, accounting fees, securities law compliance fees, printing and distribution expenses and other costs. We may also be required to recognize non-cash expenses in connection with certain securities we issue, such as convertible notes and warrants, which may adversely impact our financial condition.</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343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3" w:name="page14"/>
    <w:bookmarkEnd w:id="13"/>
    <w:p>
      <w:pPr>
        <w:jc w:val="both"/>
        <w:spacing w:after="0" w:line="283" w:lineRule="auto"/>
        <w:rPr>
          <w:sz w:val="20"/>
          <w:szCs w:val="20"/>
          <w:color w:val="auto"/>
        </w:rPr>
      </w:pPr>
      <w:r>
        <w:rPr>
          <w:rFonts w:ascii="Times New Roman" w:cs="Times New Roman" w:eastAsia="Times New Roman" w:hAnsi="Times New Roman"/>
          <w:sz w:val="14"/>
          <w:szCs w:val="14"/>
          <w:b w:val="1"/>
          <w:bCs w:val="1"/>
          <w:i w:val="1"/>
          <w:iCs w:val="1"/>
          <w:color w:val="auto"/>
        </w:rPr>
        <w:t>The Certificate of Designations contains restrictive covenants and terms that may make it difficult to procure additional financing and that may affect our financial condition and results of operations.</w:t>
      </w:r>
    </w:p>
    <w:p>
      <w:pPr>
        <w:spacing w:after="0" w:line="1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Certificate of Designations contains certain restrictive covenants including but not limited to, restrictions on directly or indirectly, redeeming, repurchasing or declaring or paying any cash dividend or distribution on any of our capital stock. Additionally, the Preferred Shares also contain certain purchase rights (the “Purchase Rights”) permitting the holders of the Preferred Shares to acquire upon the terms applicable to such Purchase Rights, the aggregate Purchase Rights which such holder could have acquired if such holder had held the number of shares of Common Stock acquirable upon complete conversion of all of its Preferred Shares. These restrictive covenants may limit our flexibility in raising capital or incurring any indebtedness, which may have an adverse effect on our financial condition.</w:t>
      </w:r>
    </w:p>
    <w:p>
      <w:pPr>
        <w:spacing w:after="0" w:line="14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b w:val="1"/>
          <w:bCs w:val="1"/>
          <w:i w:val="1"/>
          <w:iCs w:val="1"/>
          <w:color w:val="auto"/>
        </w:rPr>
        <w:t>There is currently no trading market for the Preferred Shares or the Warrants. If an active trading market does not develop, then preferred stockholders and warrant holders may be unable to sell their Preferred Shares or Warrants, as applicable, at desired times or prices, or at all.</w:t>
      </w:r>
    </w:p>
    <w:p>
      <w:pPr>
        <w:spacing w:after="0" w:line="1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No market for the Preferred Shares or the Warrants currently exists. We do not currently intend to apply to list the Preferred Shares or the Warrants on any securities exchange or for quotation on any inter-dealer quotation system. Accordingly, an active market for the Preferred Shares or the Warrants may never develop, and, even if one develops, it may not be maintained. If an active trading market for the Preferred Shares or the Warrants does not develop or is not maintained, then the market price and liquidity of the Preferred Shares and the Warrants will be adversely affected and holders of the Preferred Shares or the Warrants may not be able to sell their Preferred Shares or Warrants at desired times or prices, or at all.</w:t>
      </w:r>
    </w:p>
    <w:p>
      <w:pPr>
        <w:spacing w:after="0" w:line="1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liquidity of the trading market, if any, and future value or trading price, if any, of the Preferred Shares or the Warrants will depend on many factors, including, among other things, the trading price and volatility of our common stock, prevailing interest rates, financial condition, results of operations, business, prospects and credit quality relative to our competitors, the market for similar securities and the overall securities market. Many of these factors are beyond our control. Market volatility could significantly harm the market for the Preferred Shares or the Warrants, regardless of our financial condition, results of operations, business, prospects or credit quality.</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343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This prospectus and the information incorporated by reference in this prospectus contain “forward-looking statements,” which include information relating to future events, future financial performance, strategies, expectations, competitive environment and regulation. Our use of the words “may,” “will,” “would,” “could,” “should,” “believes,” “estimates,” “projects,” “potential,” “expects,” “plans,” “seeks,” “intends,” “evaluates,” “pursues,” “anticipates,” “continues,” “designs,” “impacts,” “forecasts,” “target,” “outlook,” “initiative,” “objective,” “designed,” “priorities,” “goal” or the negative of those words or other similar expressions is intended to identify forward-looking statements that represent our current judgment about possible future events. Forward-looking statements should not be read as a guarantee of future performance or results and will probably not be accurate indications of when such performance or results will be achieved. All statements included or incorporated by reference in this prospectus,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any applicable prospectus supplement and the documents incorporated by reference under the captions “Risk Factors” and “Special Note Regarding Forward-Looking Statements” and elsewhere in those documents.</w:t>
      </w:r>
    </w:p>
    <w:p>
      <w:pPr>
        <w:spacing w:after="0" w:line="1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Consequently, all of the forward-looking statements made in this prospectus as well as all of the forward-looking statements incorporated by reference to our filings under the Securities Exchange Act of 1934, as amended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such factors that affect the subject of these statements, except where we are expressly required to do so by law.</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343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All shares of our Common Stock offered by this prospectus are being registered for the accounts of the selling stockholders and we will not receive any proceeds from the sale of these shares. However, we will receive proceeds from the exercise of the Warrants if the Warrants are exercised for cash. Unless we inform you otherwise in a prospectus supplement or free writing prospectus, we intend to use those proceeds, if any, for general corporate purposes. The holders of the Warrants are not obligated to exercise their Warrants for cash, and we cannot predict whether holders of the Warrants will choose to exercise all or any of their Warrants for cash.</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343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4"/>
          <w:szCs w:val="14"/>
          <w:b w:val="1"/>
          <w:bCs w:val="1"/>
          <w:color w:val="auto"/>
        </w:rPr>
        <w:t>SELLING STOCKHOLDERS</w:t>
      </w:r>
    </w:p>
    <w:p>
      <w:pPr>
        <w:spacing w:after="0" w:line="17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Unless the context otherwise requires, as used in this prospectus, “selling stockholders” includes the selling stockholders listed below and donees, pledgees, transferees or other successors-in-interest selling shares received after the date of this prospectus from the selling stockholders as a gift, pledge or other non-sale related transfer.</w:t>
      </w:r>
    </w:p>
    <w:p>
      <w:pPr>
        <w:spacing w:after="0" w:line="12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We have prepared this prospectus to allow the selling stockholders or their successors, assignees or other permitted transferees to sell or otherwise dispose of, from time to time, up to 138,665,191 shares of our Common Stock.</w:t>
      </w:r>
    </w:p>
    <w:p>
      <w:pPr>
        <w:spacing w:after="0" w:line="1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Common Stock being offered by the selling stockholders are those issuable to the selling stockholders upon conversion of the Preferred Shares and exercise of the Warrants. For additional information regarding the issuance of the Preferred Shares and the Warrants, see “</w:t>
      </w:r>
      <w:r>
        <w:rPr>
          <w:rFonts w:ascii="Times New Roman" w:cs="Times New Roman" w:eastAsia="Times New Roman" w:hAnsi="Times New Roman"/>
          <w:sz w:val="14"/>
          <w:szCs w:val="14"/>
          <w:i w:val="1"/>
          <w:iCs w:val="1"/>
          <w:color w:val="auto"/>
        </w:rPr>
        <w:t>Private Placement of Preferred Shares and Warrants”</w:t>
      </w:r>
      <w:r>
        <w:rPr>
          <w:rFonts w:ascii="Times New Roman" w:cs="Times New Roman" w:eastAsia="Times New Roman" w:hAnsi="Times New Roman"/>
          <w:sz w:val="14"/>
          <w:szCs w:val="14"/>
          <w:color w:val="auto"/>
        </w:rPr>
        <w:t xml:space="preserve"> above. We are registering the Conversion Shares and the Warrant Shares in order to permit the selling stockholders to offer the shares for resale from time to time. The selling stockholders may also sell, transfer or otherwise dispose of all or a portion of their shares in transactions exempt from the registration requirements of the Securities Act, or pursuant to another effective registration statement covering those shares.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Relationships with the Selling Stockholders</w:t>
      </w:r>
    </w:p>
    <w:p>
      <w:pPr>
        <w:spacing w:after="0" w:line="17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Except for the ownership of the Preferred Shares and the Warrants issued pursuant to the Purchase Agreement and the Engagement Agreement, as applicable, and except as described in our periodic reports and current reports filed with the SEC from time to time, the selling stockholders have not had any material relationship with us within the past three years.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About Selling Stockholders Offering</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table below lists the selling stockholders and other information regarding the beneficial ownership (as determined under Section 13(d) of the Exchange Act and the rules and regulations thereunder) of the shares of Common Stock held by each of the selling stockholders. The second column (titled “Number of Shares of Common Stock Owned Prior to Offering”) lists the number of shares of Common Stock beneficially owned by the selling stockholders, based on their respective ownership of shares of Common Stock, Preferred Shares and Warrants as of March 31, 2026, assuming (i) conversion of the Preferred Shares, (ii) exercise of the Warrants, and (iii) any other warrants held by each such selling stockholder on that date, but taking account of any limitations on conversion and exercise set forth therein.</w:t>
      </w:r>
    </w:p>
    <w:p>
      <w:pPr>
        <w:spacing w:after="0" w:line="14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The third column (titled “Maximum Number of Shares of Common Stock to be Sold Pursuant to this Prospectus”) lists the shares of Common Stock being offered by this prospectus by the selling stockholders and does not take in account any limitations on (i) conversion of the Preferred Shares set forth therein or (ii) exercise of the Warrants set forth therein.</w:t>
      </w:r>
    </w:p>
    <w:p>
      <w:pPr>
        <w:spacing w:after="0" w:line="12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The fourth and fifth columns (titled “Number of Shares of Common Stock Owned After Offering” and “Percentage of Common Stock Owned After Offering”) assume the conversion of the Preferred Shares at the initial Conversion Price and exercise of the Warrants at the Exercise Price and the sale of all such shares offered by the selling stockholders pursuant to this prospectus.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terms of the Registration Rights Agreement require us to register the number of shares of Common Stock equal to the sum of (i) the Conversion Shares issuable upon conversion of the Preferred Shares ((x) assuming for purposes hereof that the Preferred Shares are convertible at the initial Conversion Price and (y) any such conversion shall not take into account any limitations on the conversion of the Preferred Shares set forth in the Certificate of Designations), (ii) the Warrant Shares issuable upon exercise of the Investor Warrants (assuming for purposes hereof that any such exercise shall not take into account any limitations on the exercise of such Investor Warrants as set forth therein), and (iii) the Warrant Shares issuable upon exercise of the Placement Agent Warrants (assuming for purposes hereof that any such exercise shall not take into account any limitations on the exercise of such Placement Agent Warrants as set forth therein), in each case subject to customary adjustments set forth in the Certificate of Designations and Warrants.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343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7" w:name="page18"/>
    <w:bookmarkEnd w:id="17"/>
    <w:p>
      <w:pPr>
        <w:jc w:val="both"/>
        <w:spacing w:after="0" w:line="255" w:lineRule="auto"/>
        <w:rPr>
          <w:sz w:val="20"/>
          <w:szCs w:val="20"/>
          <w:color w:val="auto"/>
        </w:rPr>
      </w:pPr>
      <w:r>
        <w:rPr>
          <w:rFonts w:ascii="Times New Roman" w:cs="Times New Roman" w:eastAsia="Times New Roman" w:hAnsi="Times New Roman"/>
          <w:sz w:val="14"/>
          <w:szCs w:val="14"/>
          <w:color w:val="auto"/>
        </w:rPr>
        <w:t>Under the terms of the Certificate of Designations and the Warrants, a selling stockholder may not convert the Preferred Shares or exercise the Investor Warrants to the extent (but only to the extent) such selling stockholder or any of its affiliates would beneficially own a number of shares of our shares of Common Stock which would exceed 4.99% of the outstanding shares of the Company, except that upon at least 61 days’ prior notice from the holder to the Company, the holder may increase the beneficial ownership limitation to up to 9.99% of the number of shares of Common Stock outstanding. Under the terms of the Placement Agent Warrants, a selling stockholder may not convert the Placement Agent Warrants to the extent (but only to the extent) such selling stockholder or any of its affiliates would beneficially own a number of shares of our shares of Common Stock which would exceed 4.99%, or, at the election of the selling stockholder, 9.99% of the outstanding shares of the Company. The number of shares in the second column reflects these limitations. The selling stockholders may sell all, some or none of their shares in this offering. See “Plan of Distribution.”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Percentage of</w:t>
            </w:r>
          </w:p>
        </w:tc>
      </w:tr>
      <w:tr>
        <w:trPr>
          <w:trHeight w:val="167"/>
        </w:trPr>
        <w:tc>
          <w:tcPr>
            <w:tcW w:w="2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Stock to be</w:t>
            </w: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Common</w:t>
            </w:r>
          </w:p>
        </w:tc>
      </w:tr>
      <w:tr>
        <w:trPr>
          <w:trHeight w:val="167"/>
        </w:trPr>
        <w:tc>
          <w:tcPr>
            <w:tcW w:w="2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Stock Owned</w:t>
            </w: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Sold</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 Owned</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 Owned</w:t>
            </w:r>
          </w:p>
        </w:tc>
      </w:tr>
      <w:tr>
        <w:trPr>
          <w:trHeight w:val="167"/>
        </w:trPr>
        <w:tc>
          <w:tcPr>
            <w:tcW w:w="2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Prior to</w:t>
            </w: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Pursuant to</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After</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After</w:t>
            </w:r>
          </w:p>
        </w:tc>
      </w:tr>
      <w:tr>
        <w:trPr>
          <w:trHeight w:val="184"/>
        </w:trPr>
        <w:tc>
          <w:tcPr>
            <w:tcW w:w="5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Offering (1)</w:t>
            </w: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this Prospectus</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Offering</w:t>
            </w:r>
          </w:p>
        </w:tc>
      </w:tr>
      <w:tr>
        <w:trPr>
          <w:trHeight w:val="158"/>
        </w:trPr>
        <w:tc>
          <w:tcPr>
            <w:tcW w:w="4960" w:type="dxa"/>
            <w:vAlign w:val="bottom"/>
            <w:tcBorders>
              <w:top w:val="single" w:sz="8" w:color="auto"/>
            </w:tcBorders>
            <w:gridSpan w:val="2"/>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American Ventures LLC Series XXIV XWELL (2)</w:t>
            </w:r>
          </w:p>
        </w:tc>
        <w:tc>
          <w:tcPr>
            <w:tcW w:w="12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416,320</w:t>
            </w:r>
          </w:p>
        </w:tc>
        <w:tc>
          <w:tcPr>
            <w:tcW w:w="2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133,331,914</w:t>
            </w:r>
          </w:p>
        </w:tc>
        <w:tc>
          <w:tcPr>
            <w:tcW w:w="22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3"/>
                <w:szCs w:val="13"/>
                <w:color w:val="auto"/>
              </w:rPr>
            </w:pPr>
          </w:p>
        </w:tc>
      </w:tr>
      <w:tr>
        <w:trPr>
          <w:trHeight w:val="182"/>
        </w:trPr>
        <w:tc>
          <w:tcPr>
            <w:tcW w:w="5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Dominari Securities LLC (3)</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416,320</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5,333,277</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320"/>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8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Less than 1%</w:t>
            </w: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52" w:lineRule="exact"/>
        <w:rPr>
          <w:sz w:val="20"/>
          <w:szCs w:val="20"/>
          <w:color w:val="auto"/>
        </w:rPr>
      </w:pPr>
    </w:p>
    <w:p>
      <w:pPr>
        <w:jc w:val="both"/>
        <w:ind w:left="260" w:hanging="256"/>
        <w:spacing w:after="0" w:line="255" w:lineRule="auto"/>
        <w:tabs>
          <w:tab w:leader="none" w:pos="2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table and the information in the notes below are based upon information available to the Company and upon 7,926,766 shares of Common Stock issued and outstanding as of March 31, 2026. Any securities not outstanding which are subject to options, warrants, rights or conversion privileges are deemed to be outstanding for the purpose of computing the percentage of outstanding securities of the class owned by such selling stockholder but are not deemed to be outstanding for the purpose of computing the percentage of the class by any other selling stockholder. Except as expressly noted in the footnotes below, beneficial ownership has been determined in accordance with Rule 13d-3 under the Exchange Act. The amounts set forth in this column reflect the application of various limitations on the issuance of Conversion Shares and Warrant Shares in the Certificate of Designations and the Warrants, respectively, including beneficial ownership limitations and limitations under the rules or regulations of Nasdaq.</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343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18" w:name="page19"/>
    <w:bookmarkEnd w:id="18"/>
    <w:p>
      <w:pPr>
        <w:ind w:left="260" w:hanging="256"/>
        <w:spacing w:after="0"/>
        <w:tabs>
          <w:tab w:leader="none" w:pos="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total amount of shares that may be sold under this prospectus are comprised of (i) 66,665,957 Conversion Shares and (ii) 66,665,957 Warrant Shares.</w:t>
      </w:r>
    </w:p>
    <w:p>
      <w:pPr>
        <w:spacing w:after="0" w:line="173" w:lineRule="exact"/>
        <w:rPr>
          <w:rFonts w:ascii="Times New Roman" w:cs="Times New Roman" w:eastAsia="Times New Roman" w:hAnsi="Times New Roman"/>
          <w:sz w:val="14"/>
          <w:szCs w:val="14"/>
          <w:color w:val="auto"/>
        </w:rPr>
      </w:pPr>
    </w:p>
    <w:p>
      <w:pPr>
        <w:jc w:val="both"/>
        <w:ind w:left="260"/>
        <w:spacing w:after="0" w:line="26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Eric Newman, as manager of American Ventures LLC Series XXIV XWELL, has voting and dispositive control with respect to the securities being offered. As such, Eric Newman may be deemed to be the beneficial owner (as determined under Section 13(d) of the Exchange Act) of the securities held by American Ventures LLC Series XXIV XWELL. The address of American Ventures LLC Series XXIV XWELL is 3835 PGA Blvd, Suite 103, Palm Beach Gardens, FL 33410.</w:t>
      </w:r>
    </w:p>
    <w:p>
      <w:pPr>
        <w:spacing w:after="0" w:line="135" w:lineRule="exact"/>
        <w:rPr>
          <w:rFonts w:ascii="Times New Roman" w:cs="Times New Roman" w:eastAsia="Times New Roman" w:hAnsi="Times New Roman"/>
          <w:sz w:val="14"/>
          <w:szCs w:val="14"/>
          <w:color w:val="auto"/>
        </w:rPr>
      </w:pPr>
    </w:p>
    <w:p>
      <w:pPr>
        <w:jc w:val="both"/>
        <w:ind w:left="260" w:hanging="256"/>
        <w:spacing w:after="0" w:line="265" w:lineRule="auto"/>
        <w:tabs>
          <w:tab w:leader="none" w:pos="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to be sold pursuant to this prospectus represent 5,333,277 shares of Common Stock that may be issued, in the aggregate, upon exercise of any Placement Agent Warrants beneficially owned by the selling stockholder. Dominari Securities LLC is a Delaware limited liability company with an address at 725 Fifth Avenue, 23rd Floor, New York, NY 10022. Soo Yu, the Chief Operating Officer of Dominari Securities LLC, exercises voting and dispositive power over the securities held by Dominari Securities LLC.</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3435"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are registering the shares of Common Stock issuable upon conversion of the Preferred Shares and exercise of the Warrants to permit the resale of these shares of Common Stock by the holders of the Preferred Shares and Warrants from time to time after the date of this prospectus. We will not receive any of the proceeds from the sale by the selling stockholders of the shares of Common Stock, although we will receive the exercise price of any Warrants not exercised by the selling stockholders on a cashless exercise basis. We will bear all fees and expenses incident to our obligation to register the shares of Common Stock.</w:t>
      </w:r>
    </w:p>
    <w:p>
      <w:pPr>
        <w:spacing w:after="0" w:line="14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Each selling stockholder of the securities and any of their pledgees, assignees and successors-in-interest may sell all or a portion of the shares of Common Stock held by them and offered hereby from time to time directly or through one or more underwriters, broker-dealers or agents. If the shares of Common Stock are sold through underwriters or broker-dealers, the selling stockholders will be responsible for underwriting discounts or commissions or agent’s commissions. The shares of Common Stock may be sold in one or more transactions at fixed prices, at prevailing market prices at the time of the sale, at prices related to prevailing market prices, varying prices determined at the time of sale or at negotiated prices. These sales may be effected in transactions, which may involve crosses or block transactions, pursuant to one or more of the following methods:</w:t>
      </w:r>
    </w:p>
    <w:p>
      <w:pPr>
        <w:spacing w:after="0" w:line="142" w:lineRule="exact"/>
        <w:rPr>
          <w:sz w:val="20"/>
          <w:szCs w:val="20"/>
          <w:color w:val="auto"/>
        </w:rPr>
      </w:pPr>
    </w:p>
    <w:p>
      <w:pPr>
        <w:ind w:left="240" w:hanging="236"/>
        <w:spacing w:after="0"/>
        <w:tabs>
          <w:tab w:leader="none" w:pos="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any national securities exchange or quotation service on which the securities may be listed or quoted at the time of sale;</w:t>
      </w:r>
    </w:p>
    <w:p>
      <w:pPr>
        <w:spacing w:after="0" w:line="173" w:lineRule="exact"/>
        <w:rPr>
          <w:rFonts w:ascii="Times New Roman" w:cs="Times New Roman" w:eastAsia="Times New Roman" w:hAnsi="Times New Roman"/>
          <w:sz w:val="14"/>
          <w:szCs w:val="14"/>
          <w:color w:val="auto"/>
        </w:rPr>
      </w:pPr>
    </w:p>
    <w:p>
      <w:pPr>
        <w:ind w:left="240" w:hanging="236"/>
        <w:spacing w:after="0"/>
        <w:tabs>
          <w:tab w:leader="none" w:pos="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over-the-counter market;</w:t>
      </w:r>
    </w:p>
    <w:p>
      <w:pPr>
        <w:spacing w:after="0" w:line="173" w:lineRule="exact"/>
        <w:rPr>
          <w:rFonts w:ascii="Times New Roman" w:cs="Times New Roman" w:eastAsia="Times New Roman" w:hAnsi="Times New Roman"/>
          <w:sz w:val="14"/>
          <w:szCs w:val="14"/>
          <w:color w:val="auto"/>
        </w:rPr>
      </w:pPr>
    </w:p>
    <w:p>
      <w:pPr>
        <w:ind w:left="240" w:hanging="236"/>
        <w:spacing w:after="0"/>
        <w:tabs>
          <w:tab w:leader="none" w:pos="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transactions otherwise than on these exchanges or systems or in the over-the-counter market;</w:t>
      </w:r>
    </w:p>
    <w:p>
      <w:pPr>
        <w:spacing w:after="0" w:line="173" w:lineRule="exact"/>
        <w:rPr>
          <w:rFonts w:ascii="Times New Roman" w:cs="Times New Roman" w:eastAsia="Times New Roman" w:hAnsi="Times New Roman"/>
          <w:sz w:val="14"/>
          <w:szCs w:val="14"/>
          <w:color w:val="auto"/>
        </w:rPr>
      </w:pPr>
    </w:p>
    <w:p>
      <w:pPr>
        <w:ind w:left="240" w:hanging="236"/>
        <w:spacing w:after="0"/>
        <w:tabs>
          <w:tab w:leader="none" w:pos="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or settlement of options, whether such options are listed on an options exchange or otherwise;</w:t>
      </w:r>
    </w:p>
    <w:p>
      <w:pPr>
        <w:spacing w:after="0" w:line="173" w:lineRule="exact"/>
        <w:rPr>
          <w:rFonts w:ascii="Times New Roman" w:cs="Times New Roman" w:eastAsia="Times New Roman" w:hAnsi="Times New Roman"/>
          <w:sz w:val="14"/>
          <w:szCs w:val="14"/>
          <w:color w:val="auto"/>
        </w:rPr>
      </w:pPr>
    </w:p>
    <w:p>
      <w:pPr>
        <w:ind w:left="240" w:hanging="236"/>
        <w:spacing w:after="0"/>
        <w:tabs>
          <w:tab w:leader="none" w:pos="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broker-dealer solicits purchasers;</w:t>
      </w:r>
    </w:p>
    <w:p>
      <w:pPr>
        <w:spacing w:after="0" w:line="173" w:lineRule="exact"/>
        <w:rPr>
          <w:rFonts w:ascii="Times New Roman" w:cs="Times New Roman" w:eastAsia="Times New Roman" w:hAnsi="Times New Roman"/>
          <w:sz w:val="14"/>
          <w:szCs w:val="14"/>
          <w:color w:val="auto"/>
        </w:rPr>
      </w:pPr>
    </w:p>
    <w:p>
      <w:pPr>
        <w:ind w:left="240" w:hanging="236"/>
        <w:spacing w:after="0"/>
        <w:tabs>
          <w:tab w:leader="none" w:pos="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broker-dealer will attempt to sell the securities as agent but may position and resell a portion of the block as principal to facilitate the transaction;</w:t>
      </w:r>
    </w:p>
    <w:p>
      <w:pPr>
        <w:spacing w:after="0" w:line="173" w:lineRule="exact"/>
        <w:rPr>
          <w:rFonts w:ascii="Times New Roman" w:cs="Times New Roman" w:eastAsia="Times New Roman" w:hAnsi="Times New Roman"/>
          <w:sz w:val="14"/>
          <w:szCs w:val="14"/>
          <w:color w:val="auto"/>
        </w:rPr>
      </w:pPr>
    </w:p>
    <w:p>
      <w:pPr>
        <w:ind w:left="240" w:hanging="236"/>
        <w:spacing w:after="0"/>
        <w:tabs>
          <w:tab w:leader="none" w:pos="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the broker-dealer for its account;</w:t>
      </w:r>
    </w:p>
    <w:p>
      <w:pPr>
        <w:spacing w:after="0" w:line="173" w:lineRule="exact"/>
        <w:rPr>
          <w:rFonts w:ascii="Times New Roman" w:cs="Times New Roman" w:eastAsia="Times New Roman" w:hAnsi="Times New Roman"/>
          <w:sz w:val="14"/>
          <w:szCs w:val="14"/>
          <w:color w:val="auto"/>
        </w:rPr>
      </w:pPr>
    </w:p>
    <w:p>
      <w:pPr>
        <w:ind w:left="240" w:hanging="236"/>
        <w:spacing w:after="0"/>
        <w:tabs>
          <w:tab w:leader="none" w:pos="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exchange distribution in accordance with the rules of the applicable exchange;</w:t>
      </w:r>
    </w:p>
    <w:p>
      <w:pPr>
        <w:spacing w:after="0" w:line="173" w:lineRule="exact"/>
        <w:rPr>
          <w:rFonts w:ascii="Times New Roman" w:cs="Times New Roman" w:eastAsia="Times New Roman" w:hAnsi="Times New Roman"/>
          <w:sz w:val="14"/>
          <w:szCs w:val="14"/>
          <w:color w:val="auto"/>
        </w:rPr>
      </w:pPr>
    </w:p>
    <w:p>
      <w:pPr>
        <w:ind w:left="240" w:hanging="236"/>
        <w:spacing w:after="0"/>
        <w:tabs>
          <w:tab w:leader="none" w:pos="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173" w:lineRule="exact"/>
        <w:rPr>
          <w:rFonts w:ascii="Times New Roman" w:cs="Times New Roman" w:eastAsia="Times New Roman" w:hAnsi="Times New Roman"/>
          <w:sz w:val="14"/>
          <w:szCs w:val="14"/>
          <w:color w:val="auto"/>
        </w:rPr>
      </w:pPr>
    </w:p>
    <w:p>
      <w:pPr>
        <w:ind w:left="240" w:hanging="236"/>
        <w:spacing w:after="0"/>
        <w:tabs>
          <w:tab w:leader="none" w:pos="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 sales made after the date the Registration Statement is declared effective by the SEC;</w:t>
      </w:r>
    </w:p>
    <w:p>
      <w:pPr>
        <w:spacing w:after="0" w:line="173" w:lineRule="exact"/>
        <w:rPr>
          <w:rFonts w:ascii="Times New Roman" w:cs="Times New Roman" w:eastAsia="Times New Roman" w:hAnsi="Times New Roman"/>
          <w:sz w:val="14"/>
          <w:szCs w:val="14"/>
          <w:color w:val="auto"/>
        </w:rPr>
      </w:pPr>
    </w:p>
    <w:p>
      <w:pPr>
        <w:ind w:left="240" w:hanging="236"/>
        <w:spacing w:after="0"/>
        <w:tabs>
          <w:tab w:leader="none" w:pos="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broker-dealers may agree with a selling security holder to sell a specified number of such shares at a stipulated price per share;</w:t>
      </w:r>
    </w:p>
    <w:p>
      <w:pPr>
        <w:spacing w:after="0" w:line="173" w:lineRule="exact"/>
        <w:rPr>
          <w:rFonts w:ascii="Times New Roman" w:cs="Times New Roman" w:eastAsia="Times New Roman" w:hAnsi="Times New Roman"/>
          <w:sz w:val="14"/>
          <w:szCs w:val="14"/>
          <w:color w:val="auto"/>
        </w:rPr>
      </w:pPr>
    </w:p>
    <w:p>
      <w:pPr>
        <w:ind w:left="240" w:hanging="236"/>
        <w:spacing w:after="0"/>
        <w:tabs>
          <w:tab w:leader="none" w:pos="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sale; and</w:t>
      </w:r>
    </w:p>
    <w:p>
      <w:pPr>
        <w:spacing w:after="0" w:line="173" w:lineRule="exact"/>
        <w:rPr>
          <w:rFonts w:ascii="Times New Roman" w:cs="Times New Roman" w:eastAsia="Times New Roman" w:hAnsi="Times New Roman"/>
          <w:sz w:val="14"/>
          <w:szCs w:val="14"/>
          <w:color w:val="auto"/>
        </w:rPr>
      </w:pPr>
    </w:p>
    <w:p>
      <w:pPr>
        <w:ind w:left="240" w:hanging="236"/>
        <w:spacing w:after="0"/>
        <w:tabs>
          <w:tab w:leader="none" w:pos="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pursuant to applicable law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selling stockholders may also sell securities under Rule 144 or any other exemption from registration under the Securities Act, if available, rather than under this prospectus.</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343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20" w:name="page21"/>
    <w:bookmarkEnd w:id="20"/>
    <w:p>
      <w:pPr>
        <w:jc w:val="both"/>
        <w:spacing w:after="0" w:line="254" w:lineRule="auto"/>
        <w:rPr>
          <w:sz w:val="20"/>
          <w:szCs w:val="20"/>
          <w:color w:val="auto"/>
        </w:rPr>
      </w:pPr>
      <w:r>
        <w:rPr>
          <w:rFonts w:ascii="Times New Roman" w:cs="Times New Roman" w:eastAsia="Times New Roman" w:hAnsi="Times New Roman"/>
          <w:sz w:val="14"/>
          <w:szCs w:val="14"/>
          <w:color w:val="auto"/>
        </w:rPr>
        <w:t>In addition, the selling stockholders may transfer the securities by other means not described in this prospectus. If the selling stockholders effect such transactions by selling securities to or through underwriters, broker-dealers or agents, such underwriters, broker-dealers or agents may receive commissions in the form of discounts, concessions or commissions from the selling stockholders or commissions from purchasers of the securities for whom they may act as agent or to whom they may sell as principal (which discounts, concessions or commissions as to particular underwriters, broker-dealers or agents may be in excess of those customary in the types of transactions involved). In connection with sales of the securities or otherwise, the selling stockholders may enter into hedging transactions with broker-dealers, which may in turn engage in short sales of the securities in the course of hedging in positions they assume. The selling stockholders may also sell securities short and deliver securities covered by this prospectus to close out short positions and to return borrowed shares in connection with such short sales. The selling stockholders may also loan or pledge securities to broker-dealers that in turn may sell such securities.</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selling stockholders may pledge or grant a security interest in some or all of the securities owned by them and, if they default in the performance of their secured obligations, the pledgees or secured parties may offer and sell the securities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securities in other circumstances in which case the transferees, donees, pledgees or other successors in interest will be the selling beneficial owners for purposes of this prospectus.</w:t>
      </w:r>
    </w:p>
    <w:p>
      <w:pPr>
        <w:spacing w:after="0" w:line="1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To the extent required by the Securities Act and the rules and regulations thereunder, the selling stockholders and any broker-dealer participating in the distribution of the securities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securities is made, a prospectus supplement, if required, will be distributed, which will set forth the aggregate amount of securities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spacing w:after="0" w:line="14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Under the securities laws of some states, the securities may be sold in such states only through registered or licensed brokers or dealers. In addition, in some states the securities may not be sold unless such shares have been registered or qualified for sale in such state or an exemption from registration or qualification is available and is complied with.</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can be no assurance that any selling stockholder will sell any or all of the securities registered pursuant to the registration statement of which this prospectus forms a part.</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selling stockholders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shares of securities by the selling stockholders and any other participating person. To the extent applicable, Regulation M may also restrict the ability of any person engaged in the distribution of the securities to engage in market-making activities with respect to such securities. All of the foregoing may affect the marketability of the securities and the ability of any person or entity to engage in market-making activities with respect to the securities.</w:t>
      </w:r>
    </w:p>
    <w:p>
      <w:pPr>
        <w:spacing w:after="0" w:line="14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will pay all expenses of the registration of the securities pursuant to the Registration Rights Agreement, including, without limitation, SEC filing fees and expenses of compliance with state securities or “blue sky” laws; provided, however, a selling stockholder will pay all underwriting discounts and selling commissions, if any. We will indemnify the selling stockholders against liabilities, including some liabilities under the Securities Act in accordance with the Registration Rights Agreement or the selling stockholders will be entitled to contribution. We may be indemnified by the selling stockholders against civil liabilities, including liabilities under the Securities Act that may arise from any written information furnished to us by the selling stockholder specifically for use in this prospectus, in accordance with the related registration rights agreement or we may be entitled to contribution.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Once sold under the registration statement, of which this prospectus forms a part, the securities will be freely tradable in the hands of persons other than our affiliates.</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3435"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validity of the securities offered by this prospectus will be passed upon for us by Haynes and Boone, LLP, New York, New York.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6" w:lineRule="exact"/>
        <w:rPr>
          <w:sz w:val="20"/>
          <w:szCs w:val="20"/>
          <w:color w:val="auto"/>
        </w:rPr>
      </w:pPr>
    </w:p>
    <w:p>
      <w:pPr>
        <w:jc w:val="both"/>
        <w:spacing w:after="0" w:line="28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financial statements incorporated in this Prospectus by reference to the </w:t>
      </w:r>
      <w:hyperlink r:id="rId24">
        <w:r>
          <w:rPr>
            <w:rFonts w:ascii="Times New Roman" w:cs="Times New Roman" w:eastAsia="Times New Roman" w:hAnsi="Times New Roman"/>
            <w:sz w:val="14"/>
            <w:szCs w:val="14"/>
            <w:u w:val="single" w:color="auto"/>
            <w:color w:val="0000EE"/>
          </w:rPr>
          <w:t>Annual Report on Form 10-K for the year ended December 31, 2025</w:t>
        </w:r>
      </w:hyperlink>
      <w:r>
        <w:rPr>
          <w:rFonts w:ascii="Times New Roman" w:cs="Times New Roman" w:eastAsia="Times New Roman" w:hAnsi="Times New Roman"/>
          <w:sz w:val="14"/>
          <w:szCs w:val="14"/>
          <w:color w:val="auto"/>
        </w:rPr>
        <w:t>, have been so incorporated in reliance on the report of CBIZ CPAs P.C., and independent registered public accounting firm, given on the authority of said firm as experts in auditing and accounting.</w:t>
      </w:r>
    </w:p>
    <w:p>
      <w:pPr>
        <w:spacing w:after="0" w:line="126" w:lineRule="exact"/>
        <w:rPr>
          <w:sz w:val="20"/>
          <w:szCs w:val="20"/>
          <w:color w:val="auto"/>
        </w:rPr>
      </w:pPr>
    </w:p>
    <w:p>
      <w:pPr>
        <w:jc w:val="both"/>
        <w:spacing w:after="0" w:line="26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financial statements incorporated in this Prospectus by reference to the </w:t>
      </w:r>
      <w:hyperlink r:id="rId34">
        <w:r>
          <w:rPr>
            <w:rFonts w:ascii="Times New Roman" w:cs="Times New Roman" w:eastAsia="Times New Roman" w:hAnsi="Times New Roman"/>
            <w:sz w:val="14"/>
            <w:szCs w:val="14"/>
            <w:u w:val="single" w:color="auto"/>
            <w:color w:val="0000EE"/>
          </w:rPr>
          <w:t>Annual Report on Form 10-K for the year ended December 31, 2024</w:t>
        </w:r>
      </w:hyperlink>
      <w:r>
        <w:rPr>
          <w:rFonts w:ascii="Times New Roman" w:cs="Times New Roman" w:eastAsia="Times New Roman" w:hAnsi="Times New Roman"/>
          <w:sz w:val="14"/>
          <w:szCs w:val="14"/>
          <w:color w:val="auto"/>
        </w:rPr>
        <w:t>, have been so incorporated in reliance on the report (which contains an explanatory paragraph relating to the Company’s ability to continue as a going concern) of Marcum LLP, and independent registered public accounting firm, given on the authority of said firm as experts in auditing and accounting.</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S-3 under the Securities Act with respect to the securities offered by this prospectus. This prospectus, filed as part of the registration statement, does not contain all the information set forth in the registration statement and its exhibits and schedules, portions of which have been omitted as permitted by the rules and regulations of the SEC. For further information about us, we refer you to the registration statement and to its exhibits and schedules.</w:t>
      </w:r>
    </w:p>
    <w:p>
      <w:pPr>
        <w:spacing w:after="0" w:line="13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We file annual, quarterly and current reports and other information with the SEC. The SEC maintains an internet website at www.sec.gov that contains periodic and current reports, proxy and information statements, and other information regarding registrants that are filed electronically with the SEC.</w:t>
      </w:r>
    </w:p>
    <w:p>
      <w:pPr>
        <w:spacing w:after="0" w:line="12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These documents are also available, free of charge, through the Investors section of our website, which is located at www.xwell.com. Information contained on our website is not incorporated by reference into this prospectus and you should not consider information on our website to be part of this prospectus.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3435"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 free writing prospectus prepared by or on behalf of us. This prospectus and any accompanying prospectus supplement incorporates by reference the documents set forth below that we have previously filed with the SEC (other than information deemed furnished and not filed in accordance with SEC rules, including Items 2.02 and 7.01 of Form 8-K or certain exhibits furnished pursuant to Item 9.01 of Form 8-K). These documents contain important information about us and our finances.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incorporate by reference in this prospectus the following documents or information filed or to be filed with the SEC:</w:t>
      </w:r>
    </w:p>
    <w:p>
      <w:pPr>
        <w:spacing w:after="0" w:line="174" w:lineRule="exact"/>
        <w:rPr>
          <w:sz w:val="20"/>
          <w:szCs w:val="20"/>
          <w:color w:val="auto"/>
        </w:rPr>
      </w:pPr>
    </w:p>
    <w:p>
      <w:pPr>
        <w:ind w:left="240" w:hanging="236"/>
        <w:spacing w:after="0"/>
        <w:tabs>
          <w:tab w:leader="none" w:pos="240" w:val="left"/>
        </w:tabs>
        <w:numPr>
          <w:ilvl w:val="0"/>
          <w:numId w:val="4"/>
        </w:numPr>
        <w:rPr>
          <w:rFonts w:ascii="Times New Roman" w:cs="Times New Roman" w:eastAsia="Times New Roman" w:hAnsi="Times New Roman"/>
          <w:sz w:val="14"/>
          <w:szCs w:val="14"/>
          <w:u w:val="single" w:color="auto"/>
          <w:color w:val="0000EE"/>
        </w:rPr>
      </w:pPr>
      <w:hyperlink r:id="rId24">
        <w:r>
          <w:rPr>
            <w:rFonts w:ascii="Times New Roman" w:cs="Times New Roman" w:eastAsia="Times New Roman" w:hAnsi="Times New Roman"/>
            <w:sz w:val="14"/>
            <w:szCs w:val="14"/>
            <w:u w:val="single" w:color="auto"/>
            <w:color w:val="0000EE"/>
          </w:rPr>
          <w:t>our Annual Report on Form 10-K for the year ended December 31, 2025, filed with the SEC on April 1, 2026;</w:t>
        </w:r>
      </w:hyperlink>
    </w:p>
    <w:p>
      <w:pPr>
        <w:spacing w:after="0" w:line="173" w:lineRule="exact"/>
        <w:rPr>
          <w:rFonts w:ascii="Times New Roman" w:cs="Times New Roman" w:eastAsia="Times New Roman" w:hAnsi="Times New Roman"/>
          <w:sz w:val="14"/>
          <w:szCs w:val="14"/>
          <w:u w:val="single" w:color="auto"/>
          <w:color w:val="0000EE"/>
        </w:rPr>
      </w:pPr>
    </w:p>
    <w:p>
      <w:pPr>
        <w:ind w:left="240" w:hanging="236"/>
        <w:spacing w:after="0"/>
        <w:tabs>
          <w:tab w:leader="none" w:pos="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36">
        <w:r>
          <w:rPr>
            <w:rFonts w:ascii="Times New Roman" w:cs="Times New Roman" w:eastAsia="Times New Roman" w:hAnsi="Times New Roman"/>
            <w:sz w:val="14"/>
            <w:szCs w:val="14"/>
            <w:u w:val="single" w:color="auto"/>
            <w:color w:val="0000EE"/>
          </w:rPr>
          <w:t>February 25,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37">
        <w:r>
          <w:rPr>
            <w:rFonts w:ascii="Times New Roman" w:cs="Times New Roman" w:eastAsia="Times New Roman" w:hAnsi="Times New Roman"/>
            <w:sz w:val="14"/>
            <w:szCs w:val="14"/>
            <w:u w:val="single" w:color="auto"/>
            <w:color w:val="0000EE"/>
          </w:rPr>
          <w:t>March 4, 2026</w:t>
        </w:r>
      </w:hyperlink>
      <w:r>
        <w:rPr>
          <w:rFonts w:ascii="Times New Roman" w:cs="Times New Roman" w:eastAsia="Times New Roman" w:hAnsi="Times New Roman"/>
          <w:sz w:val="14"/>
          <w:szCs w:val="14"/>
          <w:color w:val="auto"/>
        </w:rPr>
        <w:t>; and</w:t>
      </w:r>
    </w:p>
    <w:p>
      <w:pPr>
        <w:spacing w:after="0" w:line="173" w:lineRule="exact"/>
        <w:rPr>
          <w:rFonts w:ascii="Times New Roman" w:cs="Times New Roman" w:eastAsia="Times New Roman" w:hAnsi="Times New Roman"/>
          <w:sz w:val="14"/>
          <w:szCs w:val="14"/>
          <w:color w:val="auto"/>
        </w:rPr>
      </w:pPr>
    </w:p>
    <w:p>
      <w:pPr>
        <w:ind w:left="240" w:hanging="236"/>
        <w:spacing w:after="0" w:line="280" w:lineRule="auto"/>
        <w:tabs>
          <w:tab w:leader="none" w:pos="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that is included as </w:t>
      </w:r>
      <w:hyperlink r:id="rId38">
        <w:r>
          <w:rPr>
            <w:rFonts w:ascii="Times New Roman" w:cs="Times New Roman" w:eastAsia="Times New Roman" w:hAnsi="Times New Roman"/>
            <w:sz w:val="14"/>
            <w:szCs w:val="14"/>
            <w:u w:val="single" w:color="auto"/>
            <w:color w:val="0000EE"/>
          </w:rPr>
          <w:t>Exhibit 4.1</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fiscal year ended December 31, 2025, filed with the SEC on April 1, 2026, including any amendments thereto or reports filed for the purposes of updating this description.</w:t>
      </w:r>
    </w:p>
    <w:p>
      <w:pPr>
        <w:spacing w:after="0" w:line="126" w:lineRule="exact"/>
        <w:rPr>
          <w:rFonts w:ascii="Times New Roman" w:cs="Times New Roman" w:eastAsia="Times New Roman" w:hAnsi="Times New Roman"/>
          <w:sz w:val="14"/>
          <w:szCs w:val="14"/>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also incorporate by reference into this prospectus all documents that are filed by us with the SEC pursuant to Sections 13(a), 13(c), 14 or 15(d) of the Exchange Act (i) after the date of the registration statement of which this prospectus forms a part and prior to effectiveness of the registration statement, and (ii) after the date of this prospectus and any accompanying prospectus supplement and before the termination of the offering shall also be deemed to be incorporated herein by reference. We are not, however, incorporating by reference any documents or portions thereof, whether specifically listed above or filed in the future, that are not deemed “filed” with the SEC, including our audit and compensation committee reports and performance graph or any information furnished pursuant to Items 2.02 or 7.01 of Form 8-K or certain exhibits furnished pursuant to Item 9.01 of Form 8-K.</w:t>
      </w:r>
    </w:p>
    <w:p>
      <w:pPr>
        <w:spacing w:after="0" w:line="142" w:lineRule="exact"/>
        <w:rPr>
          <w:rFonts w:ascii="Times New Roman" w:cs="Times New Roman" w:eastAsia="Times New Roman" w:hAnsi="Times New Roman"/>
          <w:sz w:val="14"/>
          <w:szCs w:val="14"/>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You should rely only on the information incorporated by reference or provided in this prospectus. We have not authorized anyone else to provide you with different information. Any statement contained in a document incorporated by reference into this prospectus will be deemed to be modified or superseded for the purposes of this prospectus to the extent that a later statement contained in this prospectus or in any other document incorporated by reference into this prospectus modifies or supersedes the earlier statement. Any statement so modified or superseded will not be deemed, except as so modified or superseded, to constitute a part of this prospectus. You should not assume that the information in this prospectus is accurate as of any date other than the date of this prospectus or the date of the documents incorporated by reference in this prospectus.</w:t>
      </w:r>
    </w:p>
    <w:p>
      <w:pPr>
        <w:spacing w:after="0" w:line="142" w:lineRule="exact"/>
        <w:rPr>
          <w:rFonts w:ascii="Times New Roman" w:cs="Times New Roman" w:eastAsia="Times New Roman" w:hAnsi="Times New Roman"/>
          <w:sz w:val="14"/>
          <w:szCs w:val="14"/>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We will provide without charge to each person to whom a copy of this prospectus is delivered, upon written or oral request, a copy of any or all of the reports or documents that have been incorporated by reference in this prospectus but not delivered with this prospectus (other than an exhibit to these filings, unless we have specifically incorporated that exhibit by reference in this prospectus). Any such request should be addressed to us at:</w:t>
      </w:r>
    </w:p>
    <w:p>
      <w:pPr>
        <w:spacing w:after="0" w:line="136"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XWELL, Inc.</w:t>
      </w:r>
    </w:p>
    <w:p>
      <w:pPr>
        <w:spacing w:after="0" w:line="21"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254 West 31st Street, 11th Floor</w:t>
      </w:r>
    </w:p>
    <w:p>
      <w:pPr>
        <w:spacing w:after="0" w:line="6"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New York, New York 10001</w:t>
      </w:r>
    </w:p>
    <w:p>
      <w:pPr>
        <w:spacing w:after="0" w:line="6"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(212) 750-9595</w:t>
      </w:r>
    </w:p>
    <w:p>
      <w:pPr>
        <w:spacing w:after="0" w:line="159" w:lineRule="exact"/>
        <w:rPr>
          <w:rFonts w:ascii="Times New Roman" w:cs="Times New Roman" w:eastAsia="Times New Roman" w:hAnsi="Times New Roman"/>
          <w:sz w:val="14"/>
          <w:szCs w:val="14"/>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You may also access the documents incorporated by reference in this prospectus through our website at www.xwell.com. Except for the specific incorporated documents listed above, no information available on or through our website shall be deemed to be incorporated in this prospectus or the registration statement of which it forms a part.</w:t>
      </w:r>
    </w:p>
    <w:p>
      <w:pPr>
        <w:spacing w:after="0" w:line="293"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3435"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138,665,191 Shares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XWELL, Inc.</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COMMON STOCK</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13335</wp:posOffset>
            </wp:positionV>
            <wp:extent cx="7163435"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9019"/>
          </w:cols>
          <w:pgMar w:left="1440" w:top="729" w:right="1440"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17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The following table sets forth the various costs and expenses payable by us in connection with the sale of the securities being registered. All such costs and expenses shall be borne by us. Except for the Securities and Exchange Commission registration fee, all the amounts shown are estimates.</w:t>
      </w:r>
    </w:p>
    <w:p>
      <w:pPr>
        <w:sectPr>
          <w:pgSz w:w="11900" w:h="16838" w:orient="portrait"/>
          <w:cols w:equalWidth="0" w:num="1">
            <w:col w:w="11280"/>
          </w:cols>
          <w:pgMar w:left="300" w:top="729" w:right="319" w:bottom="1440" w:gutter="0" w:footer="0" w:header="0"/>
        </w:sectPr>
      </w:pP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163435" cy="1060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63435" cy="1060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Printing and engraving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7163435" cy="1060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63435" cy="1060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Legal fees and expenses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7163435" cy="1130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63435" cy="1130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Miscellaneous Fees and Expenses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left="684" w:hanging="684"/>
        <w:spacing w:after="0"/>
        <w:tabs>
          <w:tab w:leader="none" w:pos="68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21,304.96</w:t>
      </w:r>
    </w:p>
    <w:p>
      <w:pPr>
        <w:spacing w:after="0" w:line="21" w:lineRule="exact"/>
        <w:rPr>
          <w:rFonts w:ascii="Times New Roman" w:cs="Times New Roman" w:eastAsia="Times New Roman" w:hAnsi="Times New Roman"/>
          <w:sz w:val="14"/>
          <w:szCs w:val="14"/>
          <w:color w:val="auto"/>
        </w:rPr>
      </w:pPr>
    </w:p>
    <w:p>
      <w:pPr>
        <w:ind w:left="1204"/>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w:t>
      </w:r>
    </w:p>
    <w:p>
      <w:pPr>
        <w:spacing w:after="0" w:line="2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color w:val="auto"/>
        </w:rPr>
        <w:t>75,000</w:t>
      </w:r>
    </w:p>
    <w:p>
      <w:pPr>
        <w:spacing w:after="0" w:line="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color w:val="auto"/>
        </w:rPr>
        <w:t>20,000</w:t>
      </w:r>
    </w:p>
    <w:p>
      <w:pPr>
        <w:spacing w:after="0" w:line="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color w:val="auto"/>
        </w:rPr>
        <w:t>3,695.04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8994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89940" cy="6350"/>
                    </a:xfrm>
                    <a:prstGeom prst="rect">
                      <a:avLst/>
                    </a:prstGeom>
                    <a:noFill/>
                  </pic:spPr>
                </pic:pic>
              </a:graphicData>
            </a:graphic>
          </wp:anchor>
        </w:drawing>
      </w:r>
    </w:p>
    <w:p>
      <w:pPr>
        <w:spacing w:after="0" w:line="3" w:lineRule="exact"/>
        <w:rPr>
          <w:sz w:val="20"/>
          <w:szCs w:val="20"/>
          <w:color w:val="auto"/>
        </w:rPr>
      </w:pPr>
    </w:p>
    <w:p>
      <w:pPr>
        <w:ind w:left="784" w:hanging="784"/>
        <w:spacing w:after="0"/>
        <w:tabs>
          <w:tab w:leader="none" w:pos="78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8994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8994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26670</wp:posOffset>
            </wp:positionV>
            <wp:extent cx="78994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89940" cy="6350"/>
                    </a:xfrm>
                    <a:prstGeom prst="rect">
                      <a:avLst/>
                    </a:prstGeom>
                    <a:noFill/>
                  </pic:spPr>
                </pic:pic>
              </a:graphicData>
            </a:graphic>
          </wp:anchor>
        </w:drawing>
      </w:r>
    </w:p>
    <w:p>
      <w:pPr>
        <w:spacing w:after="0" w:line="539" w:lineRule="exact"/>
        <w:rPr>
          <w:sz w:val="20"/>
          <w:szCs w:val="20"/>
          <w:color w:val="auto"/>
        </w:rPr>
      </w:pPr>
    </w:p>
    <w:p>
      <w:pPr>
        <w:sectPr>
          <w:pgSz w:w="11900" w:h="16838" w:orient="portrait"/>
          <w:cols w:equalWidth="0" w:num="2">
            <w:col w:w="9216" w:space="720"/>
            <w:col w:w="1344"/>
          </w:cols>
          <w:pgMar w:left="300" w:top="729" w:right="319" w:bottom="1440" w:gutter="0" w:footer="0" w:header="0"/>
          <w:type w:val="continuous"/>
        </w:sectPr>
      </w:pPr>
    </w:p>
    <w:p>
      <w:pPr>
        <w:spacing w:after="0" w:line="280"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all our directors, officers, employees and agents shall be entitled to be indemnified by us to the fullest extent permitted by Section 145 of the Delaware General Corporation Law.</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145 of the Delaware General Corporation Law concerning indemnification of officers, directors, employees and agents is set forth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145. Indemnification of officers, directors, employees and agents; insurance.</w:t>
      </w:r>
    </w:p>
    <w:p>
      <w:pPr>
        <w:spacing w:after="0" w:line="174" w:lineRule="exact"/>
        <w:rPr>
          <w:sz w:val="20"/>
          <w:szCs w:val="20"/>
          <w:color w:val="auto"/>
        </w:rPr>
      </w:pPr>
    </w:p>
    <w:p>
      <w:pPr>
        <w:jc w:val="both"/>
        <w:ind w:left="260" w:hanging="256"/>
        <w:spacing w:after="0" w:line="253" w:lineRule="auto"/>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47" w:lineRule="exact"/>
        <w:rPr>
          <w:rFonts w:ascii="Times New Roman" w:cs="Times New Roman" w:eastAsia="Times New Roman" w:hAnsi="Times New Roman"/>
          <w:sz w:val="14"/>
          <w:szCs w:val="14"/>
          <w:color w:val="auto"/>
        </w:rPr>
      </w:pPr>
    </w:p>
    <w:p>
      <w:pPr>
        <w:jc w:val="both"/>
        <w:ind w:left="260" w:hanging="256"/>
        <w:spacing w:after="0" w:line="254" w:lineRule="auto"/>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343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color w:val="auto"/>
        </w:rPr>
        <w:t>Item 16. Exhibits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84"/>
        </w:trPr>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60" w:type="dxa"/>
            <w:vAlign w:val="bottom"/>
            <w:tcBorders>
              <w:bottom w:val="single" w:sz="8" w:color="auto"/>
            </w:tcBorders>
            <w:gridSpan w:val="8"/>
          </w:tcPr>
          <w:p>
            <w:pPr>
              <w:ind w:left="31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94"/>
        </w:trPr>
        <w:tc>
          <w:tcPr>
            <w:tcW w:w="180" w:type="dxa"/>
            <w:vAlign w:val="bottom"/>
          </w:tcPr>
          <w:p>
            <w:pPr>
              <w:spacing w:after="0"/>
              <w:rPr>
                <w:rFonts w:ascii="Times New Roman" w:cs="Times New Roman" w:eastAsia="Times New Roman" w:hAnsi="Times New Roman"/>
                <w:sz w:val="14"/>
                <w:szCs w:val="14"/>
                <w:color w:val="0000EE"/>
                <w:w w:val="91"/>
              </w:rPr>
            </w:pPr>
            <w:hyperlink r:id="rId48">
              <w:r>
                <w:rPr>
                  <w:rFonts w:ascii="Times New Roman" w:cs="Times New Roman" w:eastAsia="Times New Roman" w:hAnsi="Times New Roman"/>
                  <w:sz w:val="14"/>
                  <w:szCs w:val="14"/>
                  <w:color w:val="0000EE"/>
                  <w:w w:val="91"/>
                </w:rPr>
                <w:t>2.</w:t>
              </w:r>
              <w:r>
                <w:rPr>
                  <w:rFonts w:ascii="Times New Roman" w:cs="Times New Roman" w:eastAsia="Times New Roman" w:hAnsi="Times New Roman"/>
                  <w:sz w:val="14"/>
                  <w:szCs w:val="14"/>
                  <w:u w:val="single" w:color="auto"/>
                  <w:color w:val="0000EE"/>
                  <w:w w:val="91"/>
                </w:rPr>
                <w:t>1</w:t>
              </w:r>
            </w:hyperlink>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60" w:type="dxa"/>
            <w:vAlign w:val="bottom"/>
            <w:gridSpan w:val="15"/>
          </w:tcPr>
          <w:p>
            <w:pPr>
              <w:spacing w:after="0"/>
              <w:rPr>
                <w:rFonts w:ascii="Times New Roman" w:cs="Times New Roman" w:eastAsia="Times New Roman" w:hAnsi="Times New Roman"/>
                <w:sz w:val="14"/>
                <w:szCs w:val="14"/>
                <w:color w:val="0000EE"/>
              </w:rPr>
            </w:pPr>
            <w:hyperlink r:id="rId48">
              <w:r>
                <w:rPr>
                  <w:rFonts w:ascii="Times New Roman" w:cs="Times New Roman" w:eastAsia="Times New Roman" w:hAnsi="Times New Roman"/>
                  <w:sz w:val="14"/>
                  <w:szCs w:val="14"/>
                  <w:color w:val="0000EE"/>
                </w:rPr>
                <w:t>Agreement and Plan of Merger by and among FORM Holdings Corp., FHXMS, LLC, XpresSpa Holdings, LLC, the unitholders of XpresSpa who are parties thereto and Mistral XH</w:t>
              </w:r>
            </w:hyperlink>
          </w:p>
        </w:tc>
      </w:tr>
      <w:tr>
        <w:trPr>
          <w:trHeight w:val="20"/>
        </w:trPr>
        <w:tc>
          <w:tcPr>
            <w:tcW w:w="1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r>
      <w:tr>
        <w:trPr>
          <w:trHeight w:val="147"/>
        </w:trPr>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360" w:type="dxa"/>
            <w:vAlign w:val="bottom"/>
            <w:tcBorders>
              <w:bottom w:val="single" w:sz="8" w:color="0000EE"/>
            </w:tcBorders>
            <w:gridSpan w:val="15"/>
          </w:tcPr>
          <w:p>
            <w:pPr>
              <w:spacing w:after="0" w:line="147" w:lineRule="exact"/>
              <w:rPr>
                <w:rFonts w:ascii="Times New Roman" w:cs="Times New Roman" w:eastAsia="Times New Roman" w:hAnsi="Times New Roman"/>
                <w:sz w:val="14"/>
                <w:szCs w:val="14"/>
                <w:color w:val="0000EE"/>
                <w:w w:val="99"/>
              </w:rPr>
            </w:pPr>
            <w:hyperlink r:id="rId48">
              <w:r>
                <w:rPr>
                  <w:rFonts w:ascii="Times New Roman" w:cs="Times New Roman" w:eastAsia="Times New Roman" w:hAnsi="Times New Roman"/>
                  <w:sz w:val="14"/>
                  <w:szCs w:val="14"/>
                  <w:color w:val="0000EE"/>
                  <w:w w:val="99"/>
                </w:rPr>
                <w:t>Representative, LLC, as representative of the unitholders, dated as of August 8, 2016 (incorporated by reference to Exhibit 2.1 to our Current Report on Form 8-K filed with the SEC on</w:t>
              </w:r>
            </w:hyperlink>
          </w:p>
        </w:tc>
      </w:tr>
      <w:tr>
        <w:trPr>
          <w:trHeight w:val="147"/>
        </w:trPr>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360" w:type="dxa"/>
            <w:vAlign w:val="bottom"/>
            <w:gridSpan w:val="15"/>
          </w:tcPr>
          <w:p>
            <w:pPr>
              <w:spacing w:after="0" w:line="147" w:lineRule="exact"/>
              <w:rPr>
                <w:rFonts w:ascii="Times New Roman" w:cs="Times New Roman" w:eastAsia="Times New Roman" w:hAnsi="Times New Roman"/>
                <w:sz w:val="14"/>
                <w:szCs w:val="14"/>
                <w:color w:val="0000EE"/>
              </w:rPr>
            </w:pPr>
            <w:hyperlink r:id="rId48">
              <w:r>
                <w:rPr>
                  <w:rFonts w:ascii="Times New Roman" w:cs="Times New Roman" w:eastAsia="Times New Roman" w:hAnsi="Times New Roman"/>
                  <w:sz w:val="14"/>
                  <w:szCs w:val="14"/>
                  <w:color w:val="0000EE"/>
                </w:rPr>
                <w:t>August 8, 2016).</w:t>
              </w:r>
            </w:hyperlink>
          </w:p>
        </w:tc>
      </w:tr>
      <w:tr>
        <w:trPr>
          <w:trHeight w:val="20"/>
        </w:trPr>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5"/>
        </w:trPr>
        <w:tc>
          <w:tcPr>
            <w:tcW w:w="180" w:type="dxa"/>
            <w:vAlign w:val="bottom"/>
          </w:tcPr>
          <w:p>
            <w:pPr>
              <w:spacing w:after="0"/>
              <w:rPr>
                <w:rFonts w:ascii="Times New Roman" w:cs="Times New Roman" w:eastAsia="Times New Roman" w:hAnsi="Times New Roman"/>
                <w:sz w:val="14"/>
                <w:szCs w:val="14"/>
                <w:color w:val="0000EE"/>
                <w:w w:val="91"/>
              </w:rPr>
            </w:pPr>
            <w:hyperlink r:id="rId49">
              <w:r>
                <w:rPr>
                  <w:rFonts w:ascii="Times New Roman" w:cs="Times New Roman" w:eastAsia="Times New Roman" w:hAnsi="Times New Roman"/>
                  <w:sz w:val="14"/>
                  <w:szCs w:val="14"/>
                  <w:color w:val="0000EE"/>
                  <w:w w:val="91"/>
                </w:rPr>
                <w:t>2.</w:t>
              </w:r>
              <w:r>
                <w:rPr>
                  <w:rFonts w:ascii="Times New Roman" w:cs="Times New Roman" w:eastAsia="Times New Roman" w:hAnsi="Times New Roman"/>
                  <w:sz w:val="14"/>
                  <w:szCs w:val="14"/>
                  <w:u w:val="single" w:color="auto"/>
                  <w:color w:val="0000EE"/>
                  <w:w w:val="91"/>
                </w:rPr>
                <w:t>2</w:t>
              </w:r>
            </w:hyperlink>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60" w:type="dxa"/>
            <w:vAlign w:val="bottom"/>
            <w:gridSpan w:val="15"/>
          </w:tcPr>
          <w:p>
            <w:pPr>
              <w:spacing w:after="0"/>
              <w:rPr>
                <w:rFonts w:ascii="Times New Roman" w:cs="Times New Roman" w:eastAsia="Times New Roman" w:hAnsi="Times New Roman"/>
                <w:sz w:val="14"/>
                <w:szCs w:val="14"/>
                <w:color w:val="0000EE"/>
              </w:rPr>
            </w:pPr>
            <w:hyperlink r:id="rId49">
              <w:r>
                <w:rPr>
                  <w:rFonts w:ascii="Times New Roman" w:cs="Times New Roman" w:eastAsia="Times New Roman" w:hAnsi="Times New Roman"/>
                  <w:sz w:val="14"/>
                  <w:szCs w:val="14"/>
                  <w:color w:val="0000EE"/>
                </w:rPr>
                <w:t>Amendment No. 1 to Agreement and Plan of Merger by and among FORM Holdings Corp., FHXMS, LLC, XpresSpa Holdings, LLC and Mistral XH Representative, LLC, as</w:t>
              </w:r>
            </w:hyperlink>
          </w:p>
        </w:tc>
      </w:tr>
      <w:tr>
        <w:trPr>
          <w:trHeight w:val="20"/>
        </w:trPr>
        <w:tc>
          <w:tcPr>
            <w:tcW w:w="180" w:type="dxa"/>
            <w:vAlign w:val="bottom"/>
            <w:tcBorders>
              <w:bottom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r>
      <w:tr>
        <w:trPr>
          <w:trHeight w:val="127"/>
        </w:trPr>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360" w:type="dxa"/>
            <w:vAlign w:val="bottom"/>
            <w:gridSpan w:val="15"/>
          </w:tcPr>
          <w:p>
            <w:pPr>
              <w:spacing w:after="0" w:line="127" w:lineRule="exact"/>
              <w:rPr>
                <w:rFonts w:ascii="Times New Roman" w:cs="Times New Roman" w:eastAsia="Times New Roman" w:hAnsi="Times New Roman"/>
                <w:sz w:val="14"/>
                <w:szCs w:val="14"/>
                <w:color w:val="0000EE"/>
              </w:rPr>
            </w:pPr>
            <w:hyperlink r:id="rId49">
              <w:r>
                <w:rPr>
                  <w:rFonts w:ascii="Times New Roman" w:cs="Times New Roman" w:eastAsia="Times New Roman" w:hAnsi="Times New Roman"/>
                  <w:sz w:val="14"/>
                  <w:szCs w:val="14"/>
                  <w:color w:val="0000EE"/>
                </w:rPr>
                <w:t>representative of the unitholders, dated September 8, 2016 (incorporated by reference to Exhibit 2.1 to our Current Report on Form 8-K filed with the SEC on September 9, 2016).</w:t>
              </w:r>
            </w:hyperlink>
          </w:p>
        </w:tc>
      </w:tr>
      <w:tr>
        <w:trPr>
          <w:trHeight w:val="20"/>
        </w:trPr>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5"/>
        </w:trPr>
        <w:tc>
          <w:tcPr>
            <w:tcW w:w="180" w:type="dxa"/>
            <w:vAlign w:val="bottom"/>
          </w:tcPr>
          <w:p>
            <w:pPr>
              <w:spacing w:after="0"/>
              <w:rPr>
                <w:rFonts w:ascii="Times New Roman" w:cs="Times New Roman" w:eastAsia="Times New Roman" w:hAnsi="Times New Roman"/>
                <w:sz w:val="14"/>
                <w:szCs w:val="14"/>
                <w:color w:val="0000EE"/>
                <w:w w:val="91"/>
              </w:rPr>
            </w:pPr>
            <w:hyperlink r:id="rId50">
              <w:r>
                <w:rPr>
                  <w:rFonts w:ascii="Times New Roman" w:cs="Times New Roman" w:eastAsia="Times New Roman" w:hAnsi="Times New Roman"/>
                  <w:sz w:val="14"/>
                  <w:szCs w:val="14"/>
                  <w:color w:val="0000EE"/>
                  <w:w w:val="91"/>
                </w:rPr>
                <w:t>2.</w:t>
              </w:r>
              <w:r>
                <w:rPr>
                  <w:rFonts w:ascii="Times New Roman" w:cs="Times New Roman" w:eastAsia="Times New Roman" w:hAnsi="Times New Roman"/>
                  <w:sz w:val="14"/>
                  <w:szCs w:val="14"/>
                  <w:u w:val="single" w:color="auto"/>
                  <w:color w:val="0000EE"/>
                  <w:w w:val="91"/>
                </w:rPr>
                <w:t>3</w:t>
              </w:r>
            </w:hyperlink>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60" w:type="dxa"/>
            <w:vAlign w:val="bottom"/>
            <w:gridSpan w:val="15"/>
          </w:tcPr>
          <w:p>
            <w:pPr>
              <w:spacing w:after="0"/>
              <w:rPr>
                <w:rFonts w:ascii="Times New Roman" w:cs="Times New Roman" w:eastAsia="Times New Roman" w:hAnsi="Times New Roman"/>
                <w:sz w:val="14"/>
                <w:szCs w:val="14"/>
                <w:color w:val="0000EE"/>
              </w:rPr>
            </w:pPr>
            <w:hyperlink r:id="rId50">
              <w:r>
                <w:rPr>
                  <w:rFonts w:ascii="Times New Roman" w:cs="Times New Roman" w:eastAsia="Times New Roman" w:hAnsi="Times New Roman"/>
                  <w:sz w:val="14"/>
                  <w:szCs w:val="14"/>
                  <w:color w:val="0000EE"/>
                </w:rPr>
                <w:t>Amendment No. 2 to Agreement and Plan of Merger by and among FORM Holdings Corp., FHXMS, LLC, XpresSpa Holdings, LLC and Mistral XH Representative, LLC, as</w:t>
              </w:r>
            </w:hyperlink>
          </w:p>
        </w:tc>
      </w:tr>
      <w:tr>
        <w:trPr>
          <w:trHeight w:val="20"/>
        </w:trPr>
        <w:tc>
          <w:tcPr>
            <w:tcW w:w="1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r>
      <w:tr>
        <w:trPr>
          <w:trHeight w:val="147"/>
        </w:trPr>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20" w:type="dxa"/>
            <w:vAlign w:val="bottom"/>
            <w:tcBorders>
              <w:bottom w:val="single" w:sz="8" w:color="0000EE"/>
            </w:tcBorders>
            <w:gridSpan w:val="13"/>
          </w:tcPr>
          <w:p>
            <w:pPr>
              <w:spacing w:after="0" w:line="147" w:lineRule="exact"/>
              <w:rPr>
                <w:rFonts w:ascii="Times New Roman" w:cs="Times New Roman" w:eastAsia="Times New Roman" w:hAnsi="Times New Roman"/>
                <w:sz w:val="14"/>
                <w:szCs w:val="14"/>
                <w:color w:val="0000EE"/>
                <w:w w:val="99"/>
              </w:rPr>
            </w:pPr>
            <w:hyperlink r:id="rId50">
              <w:r>
                <w:rPr>
                  <w:rFonts w:ascii="Times New Roman" w:cs="Times New Roman" w:eastAsia="Times New Roman" w:hAnsi="Times New Roman"/>
                  <w:sz w:val="14"/>
                  <w:szCs w:val="14"/>
                  <w:color w:val="0000EE"/>
                  <w:w w:val="99"/>
                </w:rPr>
                <w:t>representative of the unitholders, dated October 25, 2016 (incorporated by reference to Exhibit 2.1 to our Current Report on Form 8-K filed with the SEC on October 25, 2016).</w:t>
              </w:r>
            </w:hyperlink>
          </w:p>
        </w:tc>
        <w:tc>
          <w:tcPr>
            <w:tcW w:w="540" w:type="dxa"/>
            <w:vAlign w:val="bottom"/>
            <w:gridSpan w:val="2"/>
          </w:tcPr>
          <w:p>
            <w:pPr>
              <w:spacing w:after="0"/>
              <w:rPr>
                <w:sz w:val="12"/>
                <w:szCs w:val="12"/>
                <w:color w:val="auto"/>
              </w:rPr>
            </w:pPr>
          </w:p>
        </w:tc>
      </w:tr>
      <w:tr>
        <w:trPr>
          <w:trHeight w:val="315"/>
        </w:trPr>
        <w:tc>
          <w:tcPr>
            <w:tcW w:w="180" w:type="dxa"/>
            <w:vAlign w:val="bottom"/>
          </w:tcPr>
          <w:p>
            <w:pPr>
              <w:spacing w:after="0"/>
              <w:rPr>
                <w:rFonts w:ascii="Times New Roman" w:cs="Times New Roman" w:eastAsia="Times New Roman" w:hAnsi="Times New Roman"/>
                <w:sz w:val="14"/>
                <w:szCs w:val="14"/>
                <w:color w:val="0000EE"/>
                <w:w w:val="91"/>
              </w:rPr>
            </w:pPr>
            <w:hyperlink r:id="rId51">
              <w:r>
                <w:rPr>
                  <w:rFonts w:ascii="Times New Roman" w:cs="Times New Roman" w:eastAsia="Times New Roman" w:hAnsi="Times New Roman"/>
                  <w:sz w:val="14"/>
                  <w:szCs w:val="14"/>
                  <w:color w:val="0000EE"/>
                  <w:w w:val="91"/>
                </w:rPr>
                <w:t>3.</w:t>
              </w:r>
              <w:r>
                <w:rPr>
                  <w:rFonts w:ascii="Times New Roman" w:cs="Times New Roman" w:eastAsia="Times New Roman" w:hAnsi="Times New Roman"/>
                  <w:sz w:val="14"/>
                  <w:szCs w:val="14"/>
                  <w:u w:val="single" w:color="auto"/>
                  <w:color w:val="0000EE"/>
                  <w:w w:val="91"/>
                </w:rPr>
                <w:t>1</w:t>
              </w:r>
            </w:hyperlink>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60" w:type="dxa"/>
            <w:vAlign w:val="bottom"/>
            <w:gridSpan w:val="15"/>
          </w:tcPr>
          <w:p>
            <w:pPr>
              <w:spacing w:after="0"/>
              <w:rPr>
                <w:rFonts w:ascii="Times New Roman" w:cs="Times New Roman" w:eastAsia="Times New Roman" w:hAnsi="Times New Roman"/>
                <w:sz w:val="14"/>
                <w:szCs w:val="14"/>
                <w:color w:val="0000EE"/>
              </w:rPr>
            </w:pPr>
            <w:hyperlink r:id="rId52">
              <w:r>
                <w:rPr>
                  <w:rFonts w:ascii="Times New Roman" w:cs="Times New Roman" w:eastAsia="Times New Roman" w:hAnsi="Times New Roman"/>
                  <w:sz w:val="14"/>
                  <w:szCs w:val="14"/>
                  <w:color w:val="0000EE"/>
                </w:rPr>
                <w:t>Certificate of Designations of Series H Convertible Preferred Stock (incorporated by reference from Exhibit 3.1 to our Current Report on Form 8-K filed with the SEC on March 4,</w:t>
              </w:r>
            </w:hyperlink>
          </w:p>
        </w:tc>
      </w:tr>
      <w:tr>
        <w:trPr>
          <w:trHeight w:val="20"/>
        </w:trPr>
        <w:tc>
          <w:tcPr>
            <w:tcW w:w="180" w:type="dxa"/>
            <w:vAlign w:val="bottom"/>
            <w:tcBorders>
              <w:bottom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r>
      <w:tr>
        <w:trPr>
          <w:trHeight w:val="127"/>
        </w:trPr>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gridSpan w:val="3"/>
          </w:tcPr>
          <w:p>
            <w:pPr>
              <w:ind w:left="120"/>
              <w:spacing w:after="0" w:line="127" w:lineRule="exact"/>
              <w:rPr>
                <w:rFonts w:ascii="Times New Roman" w:cs="Times New Roman" w:eastAsia="Times New Roman" w:hAnsi="Times New Roman"/>
                <w:sz w:val="14"/>
                <w:szCs w:val="14"/>
                <w:color w:val="0000EE"/>
                <w:w w:val="93"/>
              </w:rPr>
            </w:pPr>
            <w:hyperlink r:id="rId52">
              <w:r>
                <w:rPr>
                  <w:rFonts w:ascii="Times New Roman" w:cs="Times New Roman" w:eastAsia="Times New Roman" w:hAnsi="Times New Roman"/>
                  <w:sz w:val="14"/>
                  <w:szCs w:val="14"/>
                  <w:color w:val="0000EE"/>
                  <w:w w:val="93"/>
                </w:rPr>
                <w:t>2026).</w:t>
              </w:r>
            </w:hyperlink>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20"/>
        </w:trPr>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r>
      <w:tr>
        <w:trPr>
          <w:trHeight w:val="315"/>
        </w:trPr>
        <w:tc>
          <w:tcPr>
            <w:tcW w:w="180" w:type="dxa"/>
            <w:vAlign w:val="bottom"/>
          </w:tcPr>
          <w:p>
            <w:pPr>
              <w:spacing w:after="0"/>
              <w:rPr>
                <w:rFonts w:ascii="Times New Roman" w:cs="Times New Roman" w:eastAsia="Times New Roman" w:hAnsi="Times New Roman"/>
                <w:sz w:val="14"/>
                <w:szCs w:val="14"/>
                <w:color w:val="0000EE"/>
                <w:w w:val="91"/>
              </w:rPr>
            </w:pPr>
            <w:hyperlink r:id="rId53">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1</w:t>
              </w:r>
            </w:hyperlink>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60" w:type="dxa"/>
            <w:vAlign w:val="bottom"/>
            <w:gridSpan w:val="15"/>
          </w:tcPr>
          <w:p>
            <w:pPr>
              <w:spacing w:after="0"/>
              <w:rPr>
                <w:rFonts w:ascii="Times New Roman" w:cs="Times New Roman" w:eastAsia="Times New Roman" w:hAnsi="Times New Roman"/>
                <w:sz w:val="14"/>
                <w:szCs w:val="14"/>
                <w:color w:val="0000EE"/>
              </w:rPr>
            </w:pPr>
            <w:hyperlink r:id="rId53">
              <w:r>
                <w:rPr>
                  <w:rFonts w:ascii="Times New Roman" w:cs="Times New Roman" w:eastAsia="Times New Roman" w:hAnsi="Times New Roman"/>
                  <w:sz w:val="14"/>
                  <w:szCs w:val="14"/>
                  <w:color w:val="0000EE"/>
                </w:rPr>
                <w:t>Section 382 Rights Agreement, dated as of March 18, 2016, between Vringo, Inc. and American Stock Transfer &amp; Trust Company, LLC, which includes the Form of Certificate of</w:t>
              </w:r>
            </w:hyperlink>
          </w:p>
        </w:tc>
      </w:tr>
      <w:tr>
        <w:trPr>
          <w:trHeight w:val="20"/>
        </w:trPr>
        <w:tc>
          <w:tcPr>
            <w:tcW w:w="1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r>
      <w:tr>
        <w:trPr>
          <w:trHeight w:val="147"/>
        </w:trPr>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360" w:type="dxa"/>
            <w:vAlign w:val="bottom"/>
            <w:tcBorders>
              <w:bottom w:val="single" w:sz="8" w:color="0000EE"/>
            </w:tcBorders>
            <w:gridSpan w:val="15"/>
          </w:tcPr>
          <w:p>
            <w:pPr>
              <w:spacing w:after="0" w:line="147" w:lineRule="exact"/>
              <w:rPr>
                <w:rFonts w:ascii="Times New Roman" w:cs="Times New Roman" w:eastAsia="Times New Roman" w:hAnsi="Times New Roman"/>
                <w:sz w:val="14"/>
                <w:szCs w:val="14"/>
                <w:color w:val="0000EE"/>
              </w:rPr>
            </w:pPr>
            <w:hyperlink r:id="rId53">
              <w:r>
                <w:rPr>
                  <w:rFonts w:ascii="Times New Roman" w:cs="Times New Roman" w:eastAsia="Times New Roman" w:hAnsi="Times New Roman"/>
                  <w:sz w:val="14"/>
                  <w:szCs w:val="14"/>
                  <w:color w:val="0000EE"/>
                </w:rPr>
                <w:t>Designation of Series C Junior Participating Preferred Stock as Exhibit A, the Form of Right Certificate as Exhibit B and the Summary of Rights to Purchase Preferred Stock as Exhibit</w:t>
              </w:r>
            </w:hyperlink>
          </w:p>
        </w:tc>
      </w:tr>
      <w:tr>
        <w:trPr>
          <w:trHeight w:val="147"/>
        </w:trPr>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360" w:type="dxa"/>
            <w:vAlign w:val="bottom"/>
            <w:gridSpan w:val="15"/>
          </w:tcPr>
          <w:p>
            <w:pPr>
              <w:spacing w:after="0" w:line="147" w:lineRule="exact"/>
              <w:rPr>
                <w:rFonts w:ascii="Times New Roman" w:cs="Times New Roman" w:eastAsia="Times New Roman" w:hAnsi="Times New Roman"/>
                <w:sz w:val="14"/>
                <w:szCs w:val="14"/>
                <w:color w:val="0000EE"/>
              </w:rPr>
            </w:pPr>
            <w:hyperlink r:id="rId53">
              <w:r>
                <w:rPr>
                  <w:rFonts w:ascii="Times New Roman" w:cs="Times New Roman" w:eastAsia="Times New Roman" w:hAnsi="Times New Roman"/>
                  <w:sz w:val="14"/>
                  <w:szCs w:val="14"/>
                  <w:color w:val="0000EE"/>
                </w:rPr>
                <w:t>C (incorporated by reference from Exhibit 4.1 to our Current Report on Form 8-K filed with the SEC on March 21, 2016).</w:t>
              </w:r>
            </w:hyperlink>
          </w:p>
        </w:tc>
      </w:tr>
      <w:tr>
        <w:trPr>
          <w:trHeight w:val="20"/>
        </w:trPr>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r>
      <w:tr>
        <w:trPr>
          <w:trHeight w:val="315"/>
        </w:trPr>
        <w:tc>
          <w:tcPr>
            <w:tcW w:w="180" w:type="dxa"/>
            <w:vAlign w:val="bottom"/>
          </w:tcPr>
          <w:p>
            <w:pPr>
              <w:spacing w:after="0"/>
              <w:rPr>
                <w:rFonts w:ascii="Times New Roman" w:cs="Times New Roman" w:eastAsia="Times New Roman" w:hAnsi="Times New Roman"/>
                <w:sz w:val="14"/>
                <w:szCs w:val="14"/>
                <w:color w:val="0000EE"/>
                <w:w w:val="91"/>
              </w:rPr>
            </w:pPr>
            <w:hyperlink r:id="rId54">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2</w:t>
              </w:r>
            </w:hyperlink>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60" w:type="dxa"/>
            <w:vAlign w:val="bottom"/>
            <w:gridSpan w:val="15"/>
          </w:tcPr>
          <w:p>
            <w:pPr>
              <w:spacing w:after="0"/>
              <w:rPr>
                <w:rFonts w:ascii="Times New Roman" w:cs="Times New Roman" w:eastAsia="Times New Roman" w:hAnsi="Times New Roman"/>
                <w:sz w:val="14"/>
                <w:szCs w:val="14"/>
                <w:color w:val="0000EE"/>
              </w:rPr>
            </w:pPr>
            <w:hyperlink r:id="rId54">
              <w:r>
                <w:rPr>
                  <w:rFonts w:ascii="Times New Roman" w:cs="Times New Roman" w:eastAsia="Times New Roman" w:hAnsi="Times New Roman"/>
                  <w:sz w:val="14"/>
                  <w:szCs w:val="14"/>
                  <w:color w:val="0000EE"/>
                </w:rPr>
                <w:t>Amendment to Section 382 Rights Agreement, dated March 18, 2019, between the Company and American Stock Transfer &amp; Trust Company, LLC (incorporated by reference from</w:t>
              </w:r>
            </w:hyperlink>
          </w:p>
        </w:tc>
      </w:tr>
      <w:tr>
        <w:trPr>
          <w:trHeight w:val="20"/>
        </w:trPr>
        <w:tc>
          <w:tcPr>
            <w:tcW w:w="1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38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r>
      <w:tr>
        <w:trPr>
          <w:trHeight w:val="147"/>
        </w:trPr>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360" w:type="dxa"/>
            <w:vAlign w:val="bottom"/>
            <w:gridSpan w:val="15"/>
          </w:tcPr>
          <w:p>
            <w:pPr>
              <w:spacing w:after="0" w:line="147" w:lineRule="exact"/>
              <w:rPr>
                <w:rFonts w:ascii="Times New Roman" w:cs="Times New Roman" w:eastAsia="Times New Roman" w:hAnsi="Times New Roman"/>
                <w:sz w:val="14"/>
                <w:szCs w:val="14"/>
                <w:color w:val="0000EE"/>
              </w:rPr>
            </w:pPr>
            <w:hyperlink r:id="rId54">
              <w:r>
                <w:rPr>
                  <w:rFonts w:ascii="Times New Roman" w:cs="Times New Roman" w:eastAsia="Times New Roman" w:hAnsi="Times New Roman"/>
                  <w:sz w:val="14"/>
                  <w:szCs w:val="14"/>
                  <w:color w:val="0000EE"/>
                </w:rPr>
                <w:t>Exhibit 10.1 to our Current Report on Form 8-K filed with the SEC on March 22, 2019).</w:t>
              </w:r>
            </w:hyperlink>
          </w:p>
        </w:tc>
      </w:tr>
      <w:tr>
        <w:trPr>
          <w:trHeight w:val="20"/>
        </w:trPr>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r>
      <w:tr>
        <w:trPr>
          <w:trHeight w:val="315"/>
        </w:trPr>
        <w:tc>
          <w:tcPr>
            <w:tcW w:w="180" w:type="dxa"/>
            <w:vAlign w:val="bottom"/>
          </w:tcPr>
          <w:p>
            <w:pPr>
              <w:spacing w:after="0"/>
              <w:rPr>
                <w:rFonts w:ascii="Times New Roman" w:cs="Times New Roman" w:eastAsia="Times New Roman" w:hAnsi="Times New Roman"/>
                <w:sz w:val="14"/>
                <w:szCs w:val="14"/>
                <w:color w:val="0000EE"/>
                <w:w w:val="91"/>
              </w:rPr>
            </w:pPr>
            <w:hyperlink r:id="rId55">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3</w:t>
              </w:r>
            </w:hyperlink>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60" w:type="dxa"/>
            <w:vAlign w:val="bottom"/>
            <w:gridSpan w:val="15"/>
          </w:tcPr>
          <w:p>
            <w:pPr>
              <w:spacing w:after="0"/>
              <w:rPr>
                <w:rFonts w:ascii="Times New Roman" w:cs="Times New Roman" w:eastAsia="Times New Roman" w:hAnsi="Times New Roman"/>
                <w:sz w:val="14"/>
                <w:szCs w:val="14"/>
                <w:color w:val="0000EE"/>
                <w:w w:val="99"/>
              </w:rPr>
            </w:pPr>
            <w:hyperlink r:id="rId55">
              <w:r>
                <w:rPr>
                  <w:rFonts w:ascii="Times New Roman" w:cs="Times New Roman" w:eastAsia="Times New Roman" w:hAnsi="Times New Roman"/>
                  <w:sz w:val="14"/>
                  <w:szCs w:val="14"/>
                  <w:color w:val="0000EE"/>
                  <w:w w:val="99"/>
                </w:rPr>
                <w:t>Form of Warrant to Purchase Shares of Common Stock of FORM Holdings Corp. (incorporated by reference from Annex F to our Registration Statement on Form S-4 filed with the SEC</w:t>
              </w:r>
            </w:hyperlink>
          </w:p>
        </w:tc>
      </w:tr>
      <w:tr>
        <w:trPr>
          <w:trHeight w:val="20"/>
        </w:trPr>
        <w:tc>
          <w:tcPr>
            <w:tcW w:w="1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r>
      <w:tr>
        <w:trPr>
          <w:trHeight w:val="147"/>
        </w:trPr>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Borders>
              <w:bottom w:val="single" w:sz="8" w:color="0000EE"/>
            </w:tcBorders>
            <w:gridSpan w:val="5"/>
          </w:tcPr>
          <w:p>
            <w:pPr>
              <w:spacing w:after="0" w:line="147" w:lineRule="exact"/>
              <w:rPr>
                <w:rFonts w:ascii="Times New Roman" w:cs="Times New Roman" w:eastAsia="Times New Roman" w:hAnsi="Times New Roman"/>
                <w:sz w:val="14"/>
                <w:szCs w:val="14"/>
                <w:color w:val="0000EE"/>
                <w:w w:val="97"/>
              </w:rPr>
            </w:pPr>
            <w:hyperlink r:id="rId55">
              <w:r>
                <w:rPr>
                  <w:rFonts w:ascii="Times New Roman" w:cs="Times New Roman" w:eastAsia="Times New Roman" w:hAnsi="Times New Roman"/>
                  <w:sz w:val="14"/>
                  <w:szCs w:val="14"/>
                  <w:color w:val="0000EE"/>
                  <w:w w:val="97"/>
                </w:rPr>
                <w:t>on October 26, 2016).</w:t>
              </w:r>
            </w:hyperlink>
          </w:p>
        </w:tc>
        <w:tc>
          <w:tcPr>
            <w:tcW w:w="9140" w:type="dxa"/>
            <w:vAlign w:val="bottom"/>
            <w:gridSpan w:val="10"/>
          </w:tcPr>
          <w:p>
            <w:pPr>
              <w:spacing w:after="0"/>
              <w:rPr>
                <w:sz w:val="12"/>
                <w:szCs w:val="12"/>
                <w:color w:val="auto"/>
              </w:rPr>
            </w:pPr>
          </w:p>
        </w:tc>
      </w:tr>
      <w:tr>
        <w:trPr>
          <w:trHeight w:val="315"/>
        </w:trPr>
        <w:tc>
          <w:tcPr>
            <w:tcW w:w="180" w:type="dxa"/>
            <w:vAlign w:val="bottom"/>
          </w:tcPr>
          <w:p>
            <w:pPr>
              <w:spacing w:after="0"/>
              <w:rPr>
                <w:rFonts w:ascii="Times New Roman" w:cs="Times New Roman" w:eastAsia="Times New Roman" w:hAnsi="Times New Roman"/>
                <w:sz w:val="14"/>
                <w:szCs w:val="14"/>
                <w:color w:val="0000EE"/>
                <w:w w:val="91"/>
              </w:rPr>
            </w:pPr>
            <w:hyperlink r:id="rId56">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4</w:t>
              </w:r>
            </w:hyperlink>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60" w:type="dxa"/>
            <w:vAlign w:val="bottom"/>
            <w:gridSpan w:val="15"/>
          </w:tcPr>
          <w:p>
            <w:pPr>
              <w:spacing w:after="0"/>
              <w:rPr>
                <w:rFonts w:ascii="Times New Roman" w:cs="Times New Roman" w:eastAsia="Times New Roman" w:hAnsi="Times New Roman"/>
                <w:sz w:val="14"/>
                <w:szCs w:val="14"/>
                <w:color w:val="0000EE"/>
              </w:rPr>
            </w:pPr>
            <w:hyperlink r:id="rId56">
              <w:r>
                <w:rPr>
                  <w:rFonts w:ascii="Times New Roman" w:cs="Times New Roman" w:eastAsia="Times New Roman" w:hAnsi="Times New Roman"/>
                  <w:sz w:val="14"/>
                  <w:szCs w:val="14"/>
                  <w:color w:val="0000EE"/>
                </w:rPr>
                <w:t>Form of Secured Convertible Note (incorporated by reference from Exhibit 4.1 to our Quarterly Report on Form 10-Q filed with the SEC on May 15, 2018).</w:t>
              </w:r>
            </w:hyperlink>
          </w:p>
        </w:tc>
      </w:tr>
      <w:tr>
        <w:trPr>
          <w:trHeight w:val="20"/>
        </w:trPr>
        <w:tc>
          <w:tcPr>
            <w:tcW w:w="1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5"/>
        </w:trPr>
        <w:tc>
          <w:tcPr>
            <w:tcW w:w="180" w:type="dxa"/>
            <w:vAlign w:val="bottom"/>
          </w:tcPr>
          <w:p>
            <w:pPr>
              <w:spacing w:after="0"/>
              <w:rPr>
                <w:rFonts w:ascii="Times New Roman" w:cs="Times New Roman" w:eastAsia="Times New Roman" w:hAnsi="Times New Roman"/>
                <w:sz w:val="14"/>
                <w:szCs w:val="14"/>
                <w:color w:val="0000EE"/>
                <w:w w:val="91"/>
              </w:rPr>
            </w:pPr>
            <w:hyperlink r:id="rId57">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5</w:t>
              </w:r>
            </w:hyperlink>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60" w:type="dxa"/>
            <w:vAlign w:val="bottom"/>
            <w:gridSpan w:val="15"/>
          </w:tcPr>
          <w:p>
            <w:pPr>
              <w:spacing w:after="0"/>
              <w:rPr>
                <w:rFonts w:ascii="Times New Roman" w:cs="Times New Roman" w:eastAsia="Times New Roman" w:hAnsi="Times New Roman"/>
                <w:sz w:val="14"/>
                <w:szCs w:val="14"/>
                <w:color w:val="0000EE"/>
              </w:rPr>
            </w:pPr>
            <w:hyperlink r:id="rId57">
              <w:r>
                <w:rPr>
                  <w:rFonts w:ascii="Times New Roman" w:cs="Times New Roman" w:eastAsia="Times New Roman" w:hAnsi="Times New Roman"/>
                  <w:sz w:val="14"/>
                  <w:szCs w:val="14"/>
                  <w:color w:val="0000EE"/>
                </w:rPr>
                <w:t>Amendment to Secured Convertible Note (incorporated by reference from Exhibit 4.1 to our Current Report on Form 8-K filed with the SEC on June 27, 2019).</w:t>
              </w:r>
            </w:hyperlink>
          </w:p>
        </w:tc>
      </w:tr>
      <w:tr>
        <w:trPr>
          <w:trHeight w:val="20"/>
        </w:trPr>
        <w:tc>
          <w:tcPr>
            <w:tcW w:w="1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5"/>
        </w:trPr>
        <w:tc>
          <w:tcPr>
            <w:tcW w:w="180" w:type="dxa"/>
            <w:vAlign w:val="bottom"/>
          </w:tcPr>
          <w:p>
            <w:pPr>
              <w:spacing w:after="0"/>
              <w:rPr>
                <w:rFonts w:ascii="Times New Roman" w:cs="Times New Roman" w:eastAsia="Times New Roman" w:hAnsi="Times New Roman"/>
                <w:sz w:val="14"/>
                <w:szCs w:val="14"/>
                <w:color w:val="0000EE"/>
                <w:w w:val="91"/>
              </w:rPr>
            </w:pPr>
            <w:hyperlink r:id="rId58">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6</w:t>
              </w:r>
            </w:hyperlink>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60" w:type="dxa"/>
            <w:vAlign w:val="bottom"/>
            <w:gridSpan w:val="15"/>
          </w:tcPr>
          <w:p>
            <w:pPr>
              <w:spacing w:after="0"/>
              <w:rPr>
                <w:rFonts w:ascii="Times New Roman" w:cs="Times New Roman" w:eastAsia="Times New Roman" w:hAnsi="Times New Roman"/>
                <w:sz w:val="14"/>
                <w:szCs w:val="14"/>
                <w:color w:val="0000EE"/>
                <w:w w:val="99"/>
              </w:rPr>
            </w:pPr>
            <w:hyperlink r:id="rId58">
              <w:r>
                <w:rPr>
                  <w:rFonts w:ascii="Times New Roman" w:cs="Times New Roman" w:eastAsia="Times New Roman" w:hAnsi="Times New Roman"/>
                  <w:sz w:val="14"/>
                  <w:szCs w:val="14"/>
                  <w:color w:val="0000EE"/>
                  <w:w w:val="99"/>
                </w:rPr>
                <w:t>Second Amended and Restated Convertible Promissory Note, dated as of July 8, 2019 (incorporated by reference from Exhibit 4.3 to our Current Report on Form 8-K filed with the SEC</w:t>
              </w:r>
            </w:hyperlink>
          </w:p>
        </w:tc>
      </w:tr>
      <w:tr>
        <w:trPr>
          <w:trHeight w:val="20"/>
        </w:trPr>
        <w:tc>
          <w:tcPr>
            <w:tcW w:w="180" w:type="dxa"/>
            <w:vAlign w:val="bottom"/>
            <w:tcBorders>
              <w:bottom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500" w:type="dxa"/>
            <w:vAlign w:val="bottom"/>
            <w:gridSpan w:val="5"/>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r>
      <w:tr>
        <w:trPr>
          <w:trHeight w:val="127"/>
        </w:trPr>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Borders>
              <w:bottom w:val="single" w:sz="8" w:color="0000EE"/>
            </w:tcBorders>
            <w:gridSpan w:val="4"/>
          </w:tcPr>
          <w:p>
            <w:pPr>
              <w:spacing w:after="0" w:line="127" w:lineRule="exact"/>
              <w:rPr>
                <w:rFonts w:ascii="Times New Roman" w:cs="Times New Roman" w:eastAsia="Times New Roman" w:hAnsi="Times New Roman"/>
                <w:sz w:val="14"/>
                <w:szCs w:val="14"/>
                <w:color w:val="0000EE"/>
                <w:w w:val="97"/>
              </w:rPr>
            </w:pPr>
            <w:hyperlink r:id="rId58">
              <w:r>
                <w:rPr>
                  <w:rFonts w:ascii="Times New Roman" w:cs="Times New Roman" w:eastAsia="Times New Roman" w:hAnsi="Times New Roman"/>
                  <w:sz w:val="14"/>
                  <w:szCs w:val="14"/>
                  <w:color w:val="0000EE"/>
                  <w:w w:val="97"/>
                </w:rPr>
                <w:t>on July 8, 2019).</w:t>
              </w:r>
            </w:hyperlink>
          </w:p>
        </w:tc>
        <w:tc>
          <w:tcPr>
            <w:tcW w:w="9420" w:type="dxa"/>
            <w:vAlign w:val="bottom"/>
            <w:gridSpan w:val="11"/>
          </w:tcPr>
          <w:p>
            <w:pPr>
              <w:spacing w:after="0"/>
              <w:rPr>
                <w:sz w:val="11"/>
                <w:szCs w:val="11"/>
                <w:color w:val="auto"/>
              </w:rPr>
            </w:pPr>
          </w:p>
        </w:tc>
      </w:tr>
      <w:tr>
        <w:trPr>
          <w:trHeight w:val="315"/>
        </w:trPr>
        <w:tc>
          <w:tcPr>
            <w:tcW w:w="180" w:type="dxa"/>
            <w:vAlign w:val="bottom"/>
          </w:tcPr>
          <w:p>
            <w:pPr>
              <w:spacing w:after="0"/>
              <w:rPr>
                <w:rFonts w:ascii="Times New Roman" w:cs="Times New Roman" w:eastAsia="Times New Roman" w:hAnsi="Times New Roman"/>
                <w:sz w:val="14"/>
                <w:szCs w:val="14"/>
                <w:color w:val="0000EE"/>
                <w:w w:val="91"/>
              </w:rPr>
            </w:pPr>
            <w:hyperlink r:id="rId59">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7</w:t>
              </w:r>
            </w:hyperlink>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60" w:type="dxa"/>
            <w:vAlign w:val="bottom"/>
            <w:gridSpan w:val="15"/>
          </w:tcPr>
          <w:p>
            <w:pPr>
              <w:spacing w:after="0"/>
              <w:rPr>
                <w:rFonts w:ascii="Times New Roman" w:cs="Times New Roman" w:eastAsia="Times New Roman" w:hAnsi="Times New Roman"/>
                <w:sz w:val="14"/>
                <w:szCs w:val="14"/>
                <w:color w:val="0000EE"/>
              </w:rPr>
            </w:pPr>
            <w:hyperlink r:id="rId59">
              <w:r>
                <w:rPr>
                  <w:rFonts w:ascii="Times New Roman" w:cs="Times New Roman" w:eastAsia="Times New Roman" w:hAnsi="Times New Roman"/>
                  <w:sz w:val="14"/>
                  <w:szCs w:val="14"/>
                  <w:color w:val="0000EE"/>
                </w:rPr>
                <w:t>Third Amended and Restated Convertible Promissory Note, dated as of January 9, 2020 (incorporated by reference from Exhibit 4.1 to our Current Report on Form 8-K filed with the</w:t>
              </w:r>
            </w:hyperlink>
          </w:p>
        </w:tc>
      </w:tr>
      <w:tr>
        <w:trPr>
          <w:trHeight w:val="20"/>
        </w:trPr>
        <w:tc>
          <w:tcPr>
            <w:tcW w:w="1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r>
      <w:tr>
        <w:trPr>
          <w:trHeight w:val="147"/>
        </w:trPr>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Borders>
              <w:bottom w:val="single" w:sz="8" w:color="0000EE"/>
            </w:tcBorders>
            <w:gridSpan w:val="7"/>
          </w:tcPr>
          <w:p>
            <w:pPr>
              <w:spacing w:after="0" w:line="147" w:lineRule="exact"/>
              <w:rPr>
                <w:rFonts w:ascii="Times New Roman" w:cs="Times New Roman" w:eastAsia="Times New Roman" w:hAnsi="Times New Roman"/>
                <w:sz w:val="14"/>
                <w:szCs w:val="14"/>
                <w:color w:val="0000EE"/>
                <w:w w:val="98"/>
              </w:rPr>
            </w:pPr>
            <w:hyperlink r:id="rId59">
              <w:r>
                <w:rPr>
                  <w:rFonts w:ascii="Times New Roman" w:cs="Times New Roman" w:eastAsia="Times New Roman" w:hAnsi="Times New Roman"/>
                  <w:sz w:val="14"/>
                  <w:szCs w:val="14"/>
                  <w:color w:val="0000EE"/>
                  <w:w w:val="98"/>
                </w:rPr>
                <w:t>SEC on January 14, 2020).</w:t>
              </w:r>
            </w:hyperlink>
          </w:p>
        </w:tc>
        <w:tc>
          <w:tcPr>
            <w:tcW w:w="8860" w:type="dxa"/>
            <w:vAlign w:val="bottom"/>
            <w:gridSpan w:val="8"/>
          </w:tcPr>
          <w:p>
            <w:pPr>
              <w:spacing w:after="0"/>
              <w:rPr>
                <w:sz w:val="12"/>
                <w:szCs w:val="12"/>
                <w:color w:val="auto"/>
              </w:rPr>
            </w:pPr>
          </w:p>
        </w:tc>
      </w:tr>
      <w:tr>
        <w:trPr>
          <w:trHeight w:val="315"/>
        </w:trPr>
        <w:tc>
          <w:tcPr>
            <w:tcW w:w="180" w:type="dxa"/>
            <w:vAlign w:val="bottom"/>
          </w:tcPr>
          <w:p>
            <w:pPr>
              <w:spacing w:after="0"/>
              <w:rPr>
                <w:rFonts w:ascii="Times New Roman" w:cs="Times New Roman" w:eastAsia="Times New Roman" w:hAnsi="Times New Roman"/>
                <w:sz w:val="14"/>
                <w:szCs w:val="14"/>
                <w:color w:val="0000EE"/>
                <w:w w:val="91"/>
              </w:rPr>
            </w:pPr>
            <w:hyperlink r:id="rId60">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8</w:t>
              </w:r>
            </w:hyperlink>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60" w:type="dxa"/>
            <w:vAlign w:val="bottom"/>
            <w:gridSpan w:val="15"/>
          </w:tcPr>
          <w:p>
            <w:pPr>
              <w:spacing w:after="0"/>
              <w:rPr>
                <w:rFonts w:ascii="Times New Roman" w:cs="Times New Roman" w:eastAsia="Times New Roman" w:hAnsi="Times New Roman"/>
                <w:sz w:val="14"/>
                <w:szCs w:val="14"/>
                <w:color w:val="0000EE"/>
              </w:rPr>
            </w:pPr>
            <w:hyperlink r:id="rId60">
              <w:r>
                <w:rPr>
                  <w:rFonts w:ascii="Times New Roman" w:cs="Times New Roman" w:eastAsia="Times New Roman" w:hAnsi="Times New Roman"/>
                  <w:sz w:val="14"/>
                  <w:szCs w:val="14"/>
                  <w:color w:val="0000EE"/>
                </w:rPr>
                <w:t>Fourth Amended and Restated Convertible Promissory Note, dated as of March 6, 2020 (incorporated by reference from Exhibit 4.1 to our Current Report on Form 8-K filed with the</w:t>
              </w:r>
            </w:hyperlink>
          </w:p>
        </w:tc>
      </w:tr>
      <w:tr>
        <w:trPr>
          <w:trHeight w:val="20"/>
        </w:trPr>
        <w:tc>
          <w:tcPr>
            <w:tcW w:w="180" w:type="dxa"/>
            <w:vAlign w:val="bottom"/>
            <w:tcBorders>
              <w:bottom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7640" w:type="dxa"/>
            <w:vAlign w:val="bottom"/>
            <w:gridSpan w:val="6"/>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r>
      <w:tr>
        <w:trPr>
          <w:trHeight w:val="127"/>
        </w:trPr>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Borders>
              <w:bottom w:val="single" w:sz="8" w:color="0000EE"/>
            </w:tcBorders>
            <w:gridSpan w:val="6"/>
          </w:tcPr>
          <w:p>
            <w:pPr>
              <w:spacing w:after="0" w:line="127" w:lineRule="exact"/>
              <w:rPr>
                <w:rFonts w:ascii="Times New Roman" w:cs="Times New Roman" w:eastAsia="Times New Roman" w:hAnsi="Times New Roman"/>
                <w:sz w:val="14"/>
                <w:szCs w:val="14"/>
                <w:color w:val="0000EE"/>
                <w:w w:val="97"/>
              </w:rPr>
            </w:pPr>
            <w:hyperlink r:id="rId60">
              <w:r>
                <w:rPr>
                  <w:rFonts w:ascii="Times New Roman" w:cs="Times New Roman" w:eastAsia="Times New Roman" w:hAnsi="Times New Roman"/>
                  <w:sz w:val="14"/>
                  <w:szCs w:val="14"/>
                  <w:color w:val="0000EE"/>
                  <w:w w:val="97"/>
                </w:rPr>
                <w:t>SEC on March 6, 2020).</w:t>
              </w:r>
            </w:hyperlink>
          </w:p>
        </w:tc>
        <w:tc>
          <w:tcPr>
            <w:tcW w:w="9000" w:type="dxa"/>
            <w:vAlign w:val="bottom"/>
            <w:gridSpan w:val="9"/>
          </w:tcPr>
          <w:p>
            <w:pPr>
              <w:spacing w:after="0"/>
              <w:rPr>
                <w:sz w:val="11"/>
                <w:szCs w:val="11"/>
                <w:color w:val="auto"/>
              </w:rPr>
            </w:pPr>
          </w:p>
        </w:tc>
      </w:tr>
      <w:tr>
        <w:trPr>
          <w:trHeight w:val="315"/>
        </w:trPr>
        <w:tc>
          <w:tcPr>
            <w:tcW w:w="180" w:type="dxa"/>
            <w:vAlign w:val="bottom"/>
          </w:tcPr>
          <w:p>
            <w:pPr>
              <w:spacing w:after="0"/>
              <w:rPr>
                <w:rFonts w:ascii="Times New Roman" w:cs="Times New Roman" w:eastAsia="Times New Roman" w:hAnsi="Times New Roman"/>
                <w:sz w:val="14"/>
                <w:szCs w:val="14"/>
                <w:color w:val="0000EE"/>
                <w:w w:val="91"/>
              </w:rPr>
            </w:pPr>
            <w:hyperlink r:id="rId61">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9</w:t>
              </w:r>
            </w:hyperlink>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60" w:type="dxa"/>
            <w:vAlign w:val="bottom"/>
            <w:gridSpan w:val="15"/>
          </w:tcPr>
          <w:p>
            <w:pPr>
              <w:spacing w:after="0"/>
              <w:rPr>
                <w:rFonts w:ascii="Times New Roman" w:cs="Times New Roman" w:eastAsia="Times New Roman" w:hAnsi="Times New Roman"/>
                <w:sz w:val="14"/>
                <w:szCs w:val="14"/>
                <w:color w:val="0000EE"/>
              </w:rPr>
            </w:pPr>
            <w:hyperlink r:id="rId61">
              <w:r>
                <w:rPr>
                  <w:rFonts w:ascii="Times New Roman" w:cs="Times New Roman" w:eastAsia="Times New Roman" w:hAnsi="Times New Roman"/>
                  <w:sz w:val="14"/>
                  <w:szCs w:val="14"/>
                  <w:color w:val="0000EE"/>
                </w:rPr>
                <w:t>Unsecured Convertible Note due May 31, 2022 (incorporated by reference to Exhibit 4.1 to our Current Report on Form 8-K filed with the SEC on July 8, 2019).</w:t>
              </w:r>
            </w:hyperlink>
          </w:p>
        </w:tc>
      </w:tr>
      <w:tr>
        <w:trPr>
          <w:trHeight w:val="20"/>
        </w:trPr>
        <w:tc>
          <w:tcPr>
            <w:tcW w:w="1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3435"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2">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240" w:type="dxa"/>
            <w:vAlign w:val="bottom"/>
            <w:tcBorders>
              <w:bottom w:val="single" w:sz="8" w:color="0000EE"/>
            </w:tcBorders>
          </w:tcPr>
          <w:p>
            <w:pPr>
              <w:jc w:val="right"/>
              <w:spacing w:after="0"/>
              <w:rPr>
                <w:rFonts w:ascii="Times New Roman" w:cs="Times New Roman" w:eastAsia="Times New Roman" w:hAnsi="Times New Roman"/>
                <w:sz w:val="14"/>
                <w:szCs w:val="14"/>
                <w:color w:val="0000EE"/>
                <w:w w:val="89"/>
              </w:rPr>
            </w:pPr>
            <w:hyperlink r:id="rId63">
              <w:r>
                <w:rPr>
                  <w:rFonts w:ascii="Times New Roman" w:cs="Times New Roman" w:eastAsia="Times New Roman" w:hAnsi="Times New Roman"/>
                  <w:sz w:val="14"/>
                  <w:szCs w:val="14"/>
                  <w:color w:val="0000EE"/>
                  <w:w w:val="89"/>
                </w:rPr>
                <w:t>4.</w:t>
              </w:r>
              <w:r>
                <w:rPr>
                  <w:rFonts w:ascii="Times New Roman" w:cs="Times New Roman" w:eastAsia="Times New Roman" w:hAnsi="Times New Roman"/>
                  <w:sz w:val="14"/>
                  <w:szCs w:val="14"/>
                  <w:u w:val="single" w:color="auto"/>
                  <w:color w:val="0000EE"/>
                  <w:w w:val="89"/>
                </w:rPr>
                <w:t>10</w:t>
              </w:r>
            </w:hyperlink>
          </w:p>
        </w:tc>
        <w:tc>
          <w:tcPr>
            <w:tcW w:w="680" w:type="dxa"/>
            <w:vAlign w:val="bottom"/>
          </w:tcPr>
          <w:p>
            <w:pPr>
              <w:spacing w:after="0"/>
              <w:rPr>
                <w:sz w:val="13"/>
                <w:szCs w:val="13"/>
                <w:color w:val="auto"/>
              </w:rPr>
            </w:pPr>
          </w:p>
        </w:tc>
        <w:tc>
          <w:tcPr>
            <w:tcW w:w="1036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w w:val="99"/>
              </w:rPr>
            </w:pPr>
            <w:hyperlink r:id="rId63">
              <w:r>
                <w:rPr>
                  <w:rFonts w:ascii="Times New Roman" w:cs="Times New Roman" w:eastAsia="Times New Roman" w:hAnsi="Times New Roman"/>
                  <w:sz w:val="14"/>
                  <w:szCs w:val="14"/>
                  <w:color w:val="0000EE"/>
                  <w:w w:val="99"/>
                </w:rPr>
                <w:t>Warrant to Purchase Common Stock in favor of Calm.com, Inc., dated as of July 8, 2019 (incorporated by reference to Exhibit 4.2 to our Current Report on Form 8-K filed with the SEC</w:t>
              </w:r>
            </w:hyperlink>
          </w:p>
        </w:tc>
      </w:tr>
      <w:tr>
        <w:trPr>
          <w:trHeight w:val="147"/>
        </w:trPr>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Borders>
              <w:bottom w:val="single" w:sz="8" w:color="0000EE"/>
            </w:tcBorders>
            <w:gridSpan w:val="4"/>
          </w:tcPr>
          <w:p>
            <w:pPr>
              <w:spacing w:after="0" w:line="147" w:lineRule="exact"/>
              <w:rPr>
                <w:rFonts w:ascii="Times New Roman" w:cs="Times New Roman" w:eastAsia="Times New Roman" w:hAnsi="Times New Roman"/>
                <w:sz w:val="14"/>
                <w:szCs w:val="14"/>
                <w:color w:val="0000EE"/>
                <w:w w:val="97"/>
              </w:rPr>
            </w:pPr>
            <w:hyperlink r:id="rId63">
              <w:r>
                <w:rPr>
                  <w:rFonts w:ascii="Times New Roman" w:cs="Times New Roman" w:eastAsia="Times New Roman" w:hAnsi="Times New Roman"/>
                  <w:sz w:val="14"/>
                  <w:szCs w:val="14"/>
                  <w:color w:val="0000EE"/>
                  <w:w w:val="97"/>
                </w:rPr>
                <w:t>on July 8, 2019).</w:t>
              </w:r>
            </w:hyperlink>
          </w:p>
        </w:tc>
        <w:tc>
          <w:tcPr>
            <w:tcW w:w="9420" w:type="dxa"/>
            <w:vAlign w:val="bottom"/>
            <w:gridSpan w:val="10"/>
          </w:tcPr>
          <w:p>
            <w:pPr>
              <w:spacing w:after="0"/>
              <w:rPr>
                <w:sz w:val="12"/>
                <w:szCs w:val="12"/>
                <w:color w:val="auto"/>
              </w:rPr>
            </w:pPr>
          </w:p>
        </w:tc>
      </w:tr>
      <w:tr>
        <w:trPr>
          <w:trHeight w:val="335"/>
        </w:trPr>
        <w:tc>
          <w:tcPr>
            <w:tcW w:w="240" w:type="dxa"/>
            <w:vAlign w:val="bottom"/>
            <w:tcBorders>
              <w:bottom w:val="single" w:sz="8" w:color="0000EE"/>
            </w:tcBorders>
          </w:tcPr>
          <w:p>
            <w:pPr>
              <w:jc w:val="right"/>
              <w:spacing w:after="0"/>
              <w:rPr>
                <w:rFonts w:ascii="Times New Roman" w:cs="Times New Roman" w:eastAsia="Times New Roman" w:hAnsi="Times New Roman"/>
                <w:sz w:val="14"/>
                <w:szCs w:val="14"/>
                <w:color w:val="0000EE"/>
                <w:w w:val="89"/>
              </w:rPr>
            </w:pPr>
            <w:hyperlink r:id="rId64">
              <w:r>
                <w:rPr>
                  <w:rFonts w:ascii="Times New Roman" w:cs="Times New Roman" w:eastAsia="Times New Roman" w:hAnsi="Times New Roman"/>
                  <w:sz w:val="14"/>
                  <w:szCs w:val="14"/>
                  <w:color w:val="0000EE"/>
                  <w:w w:val="89"/>
                </w:rPr>
                <w:t>4.</w:t>
              </w:r>
              <w:r>
                <w:rPr>
                  <w:rFonts w:ascii="Times New Roman" w:cs="Times New Roman" w:eastAsia="Times New Roman" w:hAnsi="Times New Roman"/>
                  <w:sz w:val="14"/>
                  <w:szCs w:val="14"/>
                  <w:u w:val="single" w:color="auto"/>
                  <w:color w:val="0000EE"/>
                  <w:w w:val="89"/>
                </w:rPr>
                <w:t>11</w:t>
              </w:r>
            </w:hyperlink>
          </w:p>
        </w:tc>
        <w:tc>
          <w:tcPr>
            <w:tcW w:w="680" w:type="dxa"/>
            <w:vAlign w:val="bottom"/>
          </w:tcPr>
          <w:p>
            <w:pPr>
              <w:spacing w:after="0"/>
              <w:rPr>
                <w:sz w:val="24"/>
                <w:szCs w:val="24"/>
                <w:color w:val="auto"/>
              </w:rPr>
            </w:pPr>
          </w:p>
        </w:tc>
        <w:tc>
          <w:tcPr>
            <w:tcW w:w="1036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rPr>
            </w:pPr>
            <w:hyperlink r:id="rId64">
              <w:r>
                <w:rPr>
                  <w:rFonts w:ascii="Times New Roman" w:cs="Times New Roman" w:eastAsia="Times New Roman" w:hAnsi="Times New Roman"/>
                  <w:sz w:val="14"/>
                  <w:szCs w:val="14"/>
                  <w:color w:val="0000EE"/>
                </w:rPr>
                <w:t>Form of Pre-Funded Warrant to Purchase Common Stock, dated March 19, 2020 (incorporated by reference from Exhibit 4.1 to our Current Report on Form 8-K filed with the SEC on</w:t>
              </w:r>
            </w:hyperlink>
          </w:p>
        </w:tc>
      </w:tr>
      <w:tr>
        <w:trPr>
          <w:trHeight w:val="127"/>
        </w:trPr>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360" w:type="dxa"/>
            <w:vAlign w:val="bottom"/>
            <w:gridSpan w:val="14"/>
          </w:tcPr>
          <w:p>
            <w:pPr>
              <w:spacing w:after="0" w:line="127" w:lineRule="exact"/>
              <w:rPr>
                <w:rFonts w:ascii="Times New Roman" w:cs="Times New Roman" w:eastAsia="Times New Roman" w:hAnsi="Times New Roman"/>
                <w:sz w:val="14"/>
                <w:szCs w:val="14"/>
                <w:color w:val="0000EE"/>
              </w:rPr>
            </w:pPr>
            <w:hyperlink r:id="rId64">
              <w:r>
                <w:rPr>
                  <w:rFonts w:ascii="Times New Roman" w:cs="Times New Roman" w:eastAsia="Times New Roman" w:hAnsi="Times New Roman"/>
                  <w:sz w:val="14"/>
                  <w:szCs w:val="14"/>
                  <w:color w:val="0000EE"/>
                </w:rPr>
                <w:t>March 19, 2020).</w:t>
              </w:r>
            </w:hyperlink>
          </w:p>
        </w:tc>
      </w:tr>
      <w:tr>
        <w:trPr>
          <w:trHeight w:val="20"/>
        </w:trPr>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5"/>
        </w:trPr>
        <w:tc>
          <w:tcPr>
            <w:tcW w:w="240" w:type="dxa"/>
            <w:vAlign w:val="bottom"/>
            <w:tcBorders>
              <w:bottom w:val="single" w:sz="8" w:color="0000EE"/>
            </w:tcBorders>
          </w:tcPr>
          <w:p>
            <w:pPr>
              <w:jc w:val="right"/>
              <w:spacing w:after="0"/>
              <w:rPr>
                <w:rFonts w:ascii="Times New Roman" w:cs="Times New Roman" w:eastAsia="Times New Roman" w:hAnsi="Times New Roman"/>
                <w:sz w:val="14"/>
                <w:szCs w:val="14"/>
                <w:color w:val="0000EE"/>
                <w:w w:val="89"/>
              </w:rPr>
            </w:pPr>
            <w:hyperlink r:id="rId65">
              <w:r>
                <w:rPr>
                  <w:rFonts w:ascii="Times New Roman" w:cs="Times New Roman" w:eastAsia="Times New Roman" w:hAnsi="Times New Roman"/>
                  <w:sz w:val="14"/>
                  <w:szCs w:val="14"/>
                  <w:color w:val="0000EE"/>
                  <w:w w:val="89"/>
                </w:rPr>
                <w:t>4.</w:t>
              </w:r>
              <w:r>
                <w:rPr>
                  <w:rFonts w:ascii="Times New Roman" w:cs="Times New Roman" w:eastAsia="Times New Roman" w:hAnsi="Times New Roman"/>
                  <w:sz w:val="14"/>
                  <w:szCs w:val="14"/>
                  <w:u w:val="single" w:color="auto"/>
                  <w:color w:val="0000EE"/>
                  <w:w w:val="89"/>
                </w:rPr>
                <w:t>12</w:t>
              </w:r>
            </w:hyperlink>
          </w:p>
        </w:tc>
        <w:tc>
          <w:tcPr>
            <w:tcW w:w="680" w:type="dxa"/>
            <w:vAlign w:val="bottom"/>
          </w:tcPr>
          <w:p>
            <w:pPr>
              <w:spacing w:after="0"/>
              <w:rPr>
                <w:sz w:val="24"/>
                <w:szCs w:val="24"/>
                <w:color w:val="auto"/>
              </w:rPr>
            </w:pPr>
          </w:p>
        </w:tc>
        <w:tc>
          <w:tcPr>
            <w:tcW w:w="1036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rPr>
            </w:pPr>
            <w:hyperlink r:id="rId65">
              <w:r>
                <w:rPr>
                  <w:rFonts w:ascii="Times New Roman" w:cs="Times New Roman" w:eastAsia="Times New Roman" w:hAnsi="Times New Roman"/>
                  <w:sz w:val="14"/>
                  <w:szCs w:val="14"/>
                  <w:color w:val="0000EE"/>
                </w:rPr>
                <w:t>Form of Pre-Funded Warrant to Purchase Common Stock, dated March 25, 2020 (incorporated by reference from Exhibit 4.1 to our Current Report on Form 8-K filed with the SEC on</w:t>
              </w:r>
            </w:hyperlink>
          </w:p>
        </w:tc>
      </w:tr>
      <w:tr>
        <w:trPr>
          <w:trHeight w:val="147"/>
        </w:trPr>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360" w:type="dxa"/>
            <w:vAlign w:val="bottom"/>
            <w:gridSpan w:val="14"/>
          </w:tcPr>
          <w:p>
            <w:pPr>
              <w:spacing w:after="0" w:line="147" w:lineRule="exact"/>
              <w:rPr>
                <w:rFonts w:ascii="Times New Roman" w:cs="Times New Roman" w:eastAsia="Times New Roman" w:hAnsi="Times New Roman"/>
                <w:sz w:val="14"/>
                <w:szCs w:val="14"/>
                <w:color w:val="0000EE"/>
              </w:rPr>
            </w:pPr>
            <w:hyperlink r:id="rId65">
              <w:r>
                <w:rPr>
                  <w:rFonts w:ascii="Times New Roman" w:cs="Times New Roman" w:eastAsia="Times New Roman" w:hAnsi="Times New Roman"/>
                  <w:sz w:val="14"/>
                  <w:szCs w:val="14"/>
                  <w:color w:val="0000EE"/>
                </w:rPr>
                <w:t>March 25, 2020).</w:t>
              </w:r>
            </w:hyperlink>
          </w:p>
        </w:tc>
      </w:tr>
      <w:tr>
        <w:trPr>
          <w:trHeight w:val="20"/>
        </w:trPr>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5"/>
        </w:trPr>
        <w:tc>
          <w:tcPr>
            <w:tcW w:w="240" w:type="dxa"/>
            <w:vAlign w:val="bottom"/>
            <w:tcBorders>
              <w:bottom w:val="single" w:sz="8" w:color="0000EE"/>
            </w:tcBorders>
          </w:tcPr>
          <w:p>
            <w:pPr>
              <w:jc w:val="right"/>
              <w:spacing w:after="0"/>
              <w:rPr>
                <w:rFonts w:ascii="Times New Roman" w:cs="Times New Roman" w:eastAsia="Times New Roman" w:hAnsi="Times New Roman"/>
                <w:sz w:val="14"/>
                <w:szCs w:val="14"/>
                <w:color w:val="0000EE"/>
                <w:w w:val="89"/>
              </w:rPr>
            </w:pPr>
            <w:hyperlink r:id="rId66">
              <w:r>
                <w:rPr>
                  <w:rFonts w:ascii="Times New Roman" w:cs="Times New Roman" w:eastAsia="Times New Roman" w:hAnsi="Times New Roman"/>
                  <w:sz w:val="14"/>
                  <w:szCs w:val="14"/>
                  <w:color w:val="0000EE"/>
                  <w:w w:val="89"/>
                </w:rPr>
                <w:t>4.</w:t>
              </w:r>
              <w:r>
                <w:rPr>
                  <w:rFonts w:ascii="Times New Roman" w:cs="Times New Roman" w:eastAsia="Times New Roman" w:hAnsi="Times New Roman"/>
                  <w:sz w:val="14"/>
                  <w:szCs w:val="14"/>
                  <w:u w:val="single" w:color="auto"/>
                  <w:color w:val="0000EE"/>
                  <w:w w:val="89"/>
                </w:rPr>
                <w:t>13</w:t>
              </w:r>
            </w:hyperlink>
          </w:p>
        </w:tc>
        <w:tc>
          <w:tcPr>
            <w:tcW w:w="680" w:type="dxa"/>
            <w:vAlign w:val="bottom"/>
          </w:tcPr>
          <w:p>
            <w:pPr>
              <w:spacing w:after="0"/>
              <w:rPr>
                <w:sz w:val="24"/>
                <w:szCs w:val="24"/>
                <w:color w:val="auto"/>
              </w:rPr>
            </w:pPr>
          </w:p>
        </w:tc>
        <w:tc>
          <w:tcPr>
            <w:tcW w:w="1036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rPr>
            </w:pPr>
            <w:hyperlink r:id="rId66">
              <w:r>
                <w:rPr>
                  <w:rFonts w:ascii="Times New Roman" w:cs="Times New Roman" w:eastAsia="Times New Roman" w:hAnsi="Times New Roman"/>
                  <w:sz w:val="14"/>
                  <w:szCs w:val="14"/>
                  <w:color w:val="0000EE"/>
                </w:rPr>
                <w:t>Form of Pre-Funded Warrant to Purchase Common Stock, dated March 27, 2020 (incorporated by reference from Exhibit 4.1 to our Current Report on Form 8-K filed with the SEC on</w:t>
              </w:r>
            </w:hyperlink>
          </w:p>
        </w:tc>
      </w:tr>
      <w:tr>
        <w:trPr>
          <w:trHeight w:val="147"/>
        </w:trPr>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360" w:type="dxa"/>
            <w:vAlign w:val="bottom"/>
            <w:gridSpan w:val="14"/>
          </w:tcPr>
          <w:p>
            <w:pPr>
              <w:spacing w:after="0" w:line="147" w:lineRule="exact"/>
              <w:rPr>
                <w:rFonts w:ascii="Times New Roman" w:cs="Times New Roman" w:eastAsia="Times New Roman" w:hAnsi="Times New Roman"/>
                <w:sz w:val="14"/>
                <w:szCs w:val="14"/>
                <w:color w:val="0000EE"/>
              </w:rPr>
            </w:pPr>
            <w:hyperlink r:id="rId66">
              <w:r>
                <w:rPr>
                  <w:rFonts w:ascii="Times New Roman" w:cs="Times New Roman" w:eastAsia="Times New Roman" w:hAnsi="Times New Roman"/>
                  <w:sz w:val="14"/>
                  <w:szCs w:val="14"/>
                  <w:color w:val="0000EE"/>
                </w:rPr>
                <w:t>March 27, 2020).</w:t>
              </w:r>
            </w:hyperlink>
          </w:p>
        </w:tc>
      </w:tr>
      <w:tr>
        <w:trPr>
          <w:trHeight w:val="20"/>
        </w:trPr>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5"/>
        </w:trPr>
        <w:tc>
          <w:tcPr>
            <w:tcW w:w="240" w:type="dxa"/>
            <w:vAlign w:val="bottom"/>
            <w:tcBorders>
              <w:bottom w:val="single" w:sz="8" w:color="0000EE"/>
            </w:tcBorders>
          </w:tcPr>
          <w:p>
            <w:pPr>
              <w:jc w:val="right"/>
              <w:spacing w:after="0"/>
              <w:rPr>
                <w:rFonts w:ascii="Times New Roman" w:cs="Times New Roman" w:eastAsia="Times New Roman" w:hAnsi="Times New Roman"/>
                <w:sz w:val="14"/>
                <w:szCs w:val="14"/>
                <w:color w:val="0000EE"/>
                <w:w w:val="89"/>
              </w:rPr>
            </w:pPr>
            <w:hyperlink r:id="rId67">
              <w:r>
                <w:rPr>
                  <w:rFonts w:ascii="Times New Roman" w:cs="Times New Roman" w:eastAsia="Times New Roman" w:hAnsi="Times New Roman"/>
                  <w:sz w:val="14"/>
                  <w:szCs w:val="14"/>
                  <w:color w:val="0000EE"/>
                  <w:w w:val="89"/>
                </w:rPr>
                <w:t>4.</w:t>
              </w:r>
              <w:r>
                <w:rPr>
                  <w:rFonts w:ascii="Times New Roman" w:cs="Times New Roman" w:eastAsia="Times New Roman" w:hAnsi="Times New Roman"/>
                  <w:sz w:val="14"/>
                  <w:szCs w:val="14"/>
                  <w:u w:val="single" w:color="auto"/>
                  <w:color w:val="0000EE"/>
                  <w:w w:val="89"/>
                </w:rPr>
                <w:t>14</w:t>
              </w:r>
            </w:hyperlink>
          </w:p>
        </w:tc>
        <w:tc>
          <w:tcPr>
            <w:tcW w:w="680" w:type="dxa"/>
            <w:vAlign w:val="bottom"/>
          </w:tcPr>
          <w:p>
            <w:pPr>
              <w:spacing w:after="0"/>
              <w:rPr>
                <w:sz w:val="24"/>
                <w:szCs w:val="24"/>
                <w:color w:val="auto"/>
              </w:rPr>
            </w:pPr>
          </w:p>
        </w:tc>
        <w:tc>
          <w:tcPr>
            <w:tcW w:w="1036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rPr>
            </w:pPr>
            <w:hyperlink r:id="rId67">
              <w:r>
                <w:rPr>
                  <w:rFonts w:ascii="Times New Roman" w:cs="Times New Roman" w:eastAsia="Times New Roman" w:hAnsi="Times New Roman"/>
                  <w:sz w:val="14"/>
                  <w:szCs w:val="14"/>
                  <w:color w:val="0000EE"/>
                </w:rPr>
                <w:t>Form of Pre-Funded Warrant to Purchase Common Stock, dated April 6, 2020 (incorporated by reference from Exhibit 4.1 to our Current Report on Form 8-K filed with the SEC on</w:t>
              </w:r>
            </w:hyperlink>
          </w:p>
        </w:tc>
      </w:tr>
      <w:tr>
        <w:trPr>
          <w:trHeight w:val="127"/>
        </w:trPr>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360" w:type="dxa"/>
            <w:vAlign w:val="bottom"/>
            <w:gridSpan w:val="14"/>
          </w:tcPr>
          <w:p>
            <w:pPr>
              <w:spacing w:after="0" w:line="127" w:lineRule="exact"/>
              <w:rPr>
                <w:rFonts w:ascii="Times New Roman" w:cs="Times New Roman" w:eastAsia="Times New Roman" w:hAnsi="Times New Roman"/>
                <w:sz w:val="14"/>
                <w:szCs w:val="14"/>
                <w:color w:val="0000EE"/>
              </w:rPr>
            </w:pPr>
            <w:hyperlink r:id="rId67">
              <w:r>
                <w:rPr>
                  <w:rFonts w:ascii="Times New Roman" w:cs="Times New Roman" w:eastAsia="Times New Roman" w:hAnsi="Times New Roman"/>
                  <w:sz w:val="14"/>
                  <w:szCs w:val="14"/>
                  <w:color w:val="0000EE"/>
                </w:rPr>
                <w:t>April 7, 2020).</w:t>
              </w:r>
            </w:hyperlink>
          </w:p>
        </w:tc>
      </w:tr>
      <w:tr>
        <w:trPr>
          <w:trHeight w:val="20"/>
        </w:trPr>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5"/>
        </w:trPr>
        <w:tc>
          <w:tcPr>
            <w:tcW w:w="240" w:type="dxa"/>
            <w:vAlign w:val="bottom"/>
            <w:tcBorders>
              <w:bottom w:val="single" w:sz="8" w:color="0000EE"/>
            </w:tcBorders>
          </w:tcPr>
          <w:p>
            <w:pPr>
              <w:jc w:val="right"/>
              <w:spacing w:after="0"/>
              <w:rPr>
                <w:rFonts w:ascii="Times New Roman" w:cs="Times New Roman" w:eastAsia="Times New Roman" w:hAnsi="Times New Roman"/>
                <w:sz w:val="14"/>
                <w:szCs w:val="14"/>
                <w:color w:val="0000EE"/>
                <w:w w:val="89"/>
              </w:rPr>
            </w:pPr>
            <w:hyperlink r:id="rId38">
              <w:r>
                <w:rPr>
                  <w:rFonts w:ascii="Times New Roman" w:cs="Times New Roman" w:eastAsia="Times New Roman" w:hAnsi="Times New Roman"/>
                  <w:sz w:val="14"/>
                  <w:szCs w:val="14"/>
                  <w:color w:val="0000EE"/>
                  <w:w w:val="89"/>
                </w:rPr>
                <w:t>4.</w:t>
              </w:r>
              <w:r>
                <w:rPr>
                  <w:rFonts w:ascii="Times New Roman" w:cs="Times New Roman" w:eastAsia="Times New Roman" w:hAnsi="Times New Roman"/>
                  <w:sz w:val="14"/>
                  <w:szCs w:val="14"/>
                  <w:u w:val="single" w:color="auto"/>
                  <w:color w:val="0000EE"/>
                  <w:w w:val="89"/>
                </w:rPr>
                <w:t>15</w:t>
              </w:r>
            </w:hyperlink>
          </w:p>
        </w:tc>
        <w:tc>
          <w:tcPr>
            <w:tcW w:w="680" w:type="dxa"/>
            <w:vAlign w:val="bottom"/>
          </w:tcPr>
          <w:p>
            <w:pPr>
              <w:spacing w:after="0"/>
              <w:rPr>
                <w:sz w:val="24"/>
                <w:szCs w:val="24"/>
                <w:color w:val="auto"/>
              </w:rPr>
            </w:pPr>
          </w:p>
        </w:tc>
        <w:tc>
          <w:tcPr>
            <w:tcW w:w="9060" w:type="dxa"/>
            <w:vAlign w:val="bottom"/>
            <w:tcBorders>
              <w:bottom w:val="single" w:sz="8" w:color="0000EE"/>
            </w:tcBorders>
            <w:gridSpan w:val="11"/>
          </w:tcPr>
          <w:p>
            <w:pPr>
              <w:spacing w:after="0"/>
              <w:rPr>
                <w:rFonts w:ascii="Times New Roman" w:cs="Times New Roman" w:eastAsia="Times New Roman" w:hAnsi="Times New Roman"/>
                <w:sz w:val="14"/>
                <w:szCs w:val="14"/>
                <w:color w:val="0000EE"/>
                <w:w w:val="99"/>
              </w:rPr>
            </w:pPr>
            <w:hyperlink r:id="rId38">
              <w:r>
                <w:rPr>
                  <w:rFonts w:ascii="Times New Roman" w:cs="Times New Roman" w:eastAsia="Times New Roman" w:hAnsi="Times New Roman"/>
                  <w:sz w:val="14"/>
                  <w:szCs w:val="14"/>
                  <w:color w:val="0000EE"/>
                  <w:w w:val="99"/>
                </w:rPr>
                <w:t>Description of the Registrant’s Securities (incorporated by reference from Exhibit 4.22 to our Annual Report on Form 10-K filed with the SEC on April 20, 2020).</w:t>
              </w:r>
            </w:hyperlink>
          </w:p>
        </w:tc>
        <w:tc>
          <w:tcPr>
            <w:tcW w:w="1300" w:type="dxa"/>
            <w:vAlign w:val="bottom"/>
            <w:gridSpan w:val="3"/>
          </w:tcPr>
          <w:p>
            <w:pPr>
              <w:spacing w:after="0"/>
              <w:rPr>
                <w:sz w:val="24"/>
                <w:szCs w:val="24"/>
                <w:color w:val="auto"/>
              </w:rPr>
            </w:pPr>
          </w:p>
        </w:tc>
      </w:tr>
      <w:tr>
        <w:trPr>
          <w:trHeight w:val="315"/>
        </w:trPr>
        <w:tc>
          <w:tcPr>
            <w:tcW w:w="240" w:type="dxa"/>
            <w:vAlign w:val="bottom"/>
          </w:tcPr>
          <w:p>
            <w:pPr>
              <w:jc w:val="right"/>
              <w:spacing w:after="0"/>
              <w:rPr>
                <w:rFonts w:ascii="Times New Roman" w:cs="Times New Roman" w:eastAsia="Times New Roman" w:hAnsi="Times New Roman"/>
                <w:sz w:val="14"/>
                <w:szCs w:val="14"/>
                <w:color w:val="0000EE"/>
                <w:w w:val="89"/>
              </w:rPr>
            </w:pPr>
            <w:hyperlink r:id="rId68">
              <w:r>
                <w:rPr>
                  <w:rFonts w:ascii="Times New Roman" w:cs="Times New Roman" w:eastAsia="Times New Roman" w:hAnsi="Times New Roman"/>
                  <w:sz w:val="14"/>
                  <w:szCs w:val="14"/>
                  <w:color w:val="0000EE"/>
                  <w:w w:val="89"/>
                </w:rPr>
                <w:t>4.</w:t>
              </w:r>
              <w:r>
                <w:rPr>
                  <w:rFonts w:ascii="Times New Roman" w:cs="Times New Roman" w:eastAsia="Times New Roman" w:hAnsi="Times New Roman"/>
                  <w:sz w:val="14"/>
                  <w:szCs w:val="14"/>
                  <w:u w:val="single" w:color="auto"/>
                  <w:color w:val="0000EE"/>
                  <w:w w:val="89"/>
                </w:rPr>
                <w:t>16</w:t>
              </w:r>
            </w:hyperlink>
          </w:p>
        </w:tc>
        <w:tc>
          <w:tcPr>
            <w:tcW w:w="680" w:type="dxa"/>
            <w:vAlign w:val="bottom"/>
          </w:tcPr>
          <w:p>
            <w:pPr>
              <w:spacing w:after="0"/>
              <w:rPr>
                <w:sz w:val="24"/>
                <w:szCs w:val="24"/>
                <w:color w:val="auto"/>
              </w:rPr>
            </w:pPr>
          </w:p>
        </w:tc>
        <w:tc>
          <w:tcPr>
            <w:tcW w:w="10360" w:type="dxa"/>
            <w:vAlign w:val="bottom"/>
            <w:gridSpan w:val="14"/>
          </w:tcPr>
          <w:p>
            <w:pPr>
              <w:spacing w:after="0"/>
              <w:rPr>
                <w:rFonts w:ascii="Times New Roman" w:cs="Times New Roman" w:eastAsia="Times New Roman" w:hAnsi="Times New Roman"/>
                <w:sz w:val="14"/>
                <w:szCs w:val="14"/>
                <w:color w:val="0000EE"/>
              </w:rPr>
            </w:pPr>
            <w:hyperlink r:id="rId68">
              <w:r>
                <w:rPr>
                  <w:rFonts w:ascii="Times New Roman" w:cs="Times New Roman" w:eastAsia="Times New Roman" w:hAnsi="Times New Roman"/>
                  <w:sz w:val="14"/>
                  <w:szCs w:val="14"/>
                  <w:color w:val="0000EE"/>
                </w:rPr>
                <w:t>Amended and Restated Calm Note, dated as of April 17, 2020 (incorporated by reference from Exhibit 4.1 to our Current Report on Form 8-K filed with the SEC on April 17, 2020).</w:t>
              </w:r>
            </w:hyperlink>
          </w:p>
        </w:tc>
      </w:tr>
      <w:tr>
        <w:trPr>
          <w:trHeight w:val="20"/>
        </w:trPr>
        <w:tc>
          <w:tcPr>
            <w:tcW w:w="2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33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5"/>
        </w:trPr>
        <w:tc>
          <w:tcPr>
            <w:tcW w:w="240" w:type="dxa"/>
            <w:vAlign w:val="bottom"/>
          </w:tcPr>
          <w:p>
            <w:pPr>
              <w:jc w:val="right"/>
              <w:spacing w:after="0"/>
              <w:rPr>
                <w:rFonts w:ascii="Times New Roman" w:cs="Times New Roman" w:eastAsia="Times New Roman" w:hAnsi="Times New Roman"/>
                <w:sz w:val="14"/>
                <w:szCs w:val="14"/>
                <w:color w:val="0000EE"/>
                <w:w w:val="89"/>
              </w:rPr>
            </w:pPr>
            <w:hyperlink r:id="rId69">
              <w:r>
                <w:rPr>
                  <w:rFonts w:ascii="Times New Roman" w:cs="Times New Roman" w:eastAsia="Times New Roman" w:hAnsi="Times New Roman"/>
                  <w:sz w:val="14"/>
                  <w:szCs w:val="14"/>
                  <w:color w:val="0000EE"/>
                  <w:w w:val="89"/>
                </w:rPr>
                <w:t>4.</w:t>
              </w:r>
              <w:r>
                <w:rPr>
                  <w:rFonts w:ascii="Times New Roman" w:cs="Times New Roman" w:eastAsia="Times New Roman" w:hAnsi="Times New Roman"/>
                  <w:sz w:val="14"/>
                  <w:szCs w:val="14"/>
                  <w:u w:val="single" w:color="auto"/>
                  <w:color w:val="0000EE"/>
                  <w:w w:val="89"/>
                </w:rPr>
                <w:t>17</w:t>
              </w:r>
            </w:hyperlink>
          </w:p>
        </w:tc>
        <w:tc>
          <w:tcPr>
            <w:tcW w:w="680" w:type="dxa"/>
            <w:vAlign w:val="bottom"/>
          </w:tcPr>
          <w:p>
            <w:pPr>
              <w:spacing w:after="0"/>
              <w:rPr>
                <w:sz w:val="24"/>
                <w:szCs w:val="24"/>
                <w:color w:val="auto"/>
              </w:rPr>
            </w:pPr>
          </w:p>
        </w:tc>
        <w:tc>
          <w:tcPr>
            <w:tcW w:w="10360" w:type="dxa"/>
            <w:vAlign w:val="bottom"/>
            <w:gridSpan w:val="14"/>
          </w:tcPr>
          <w:p>
            <w:pPr>
              <w:spacing w:after="0"/>
              <w:rPr>
                <w:rFonts w:ascii="Times New Roman" w:cs="Times New Roman" w:eastAsia="Times New Roman" w:hAnsi="Times New Roman"/>
                <w:sz w:val="14"/>
                <w:szCs w:val="14"/>
                <w:color w:val="0000EE"/>
              </w:rPr>
            </w:pPr>
            <w:hyperlink r:id="rId69">
              <w:r>
                <w:rPr>
                  <w:rFonts w:ascii="Times New Roman" w:cs="Times New Roman" w:eastAsia="Times New Roman" w:hAnsi="Times New Roman"/>
                  <w:sz w:val="14"/>
                  <w:szCs w:val="14"/>
                  <w:color w:val="0000EE"/>
                </w:rPr>
                <w:t>Amended and Restated Calm Note, dated as of April 22, 2020 (incorporated by reference from Exhibit 4.1 to our Current Report on Form 8-K filed with the SEC on April 24, 2020).</w:t>
              </w:r>
            </w:hyperlink>
          </w:p>
        </w:tc>
      </w:tr>
      <w:tr>
        <w:trPr>
          <w:trHeight w:val="20"/>
        </w:trPr>
        <w:tc>
          <w:tcPr>
            <w:tcW w:w="2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33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5"/>
        </w:trPr>
        <w:tc>
          <w:tcPr>
            <w:tcW w:w="240" w:type="dxa"/>
            <w:vAlign w:val="bottom"/>
          </w:tcPr>
          <w:p>
            <w:pPr>
              <w:jc w:val="right"/>
              <w:spacing w:after="0"/>
              <w:rPr>
                <w:rFonts w:ascii="Times New Roman" w:cs="Times New Roman" w:eastAsia="Times New Roman" w:hAnsi="Times New Roman"/>
                <w:sz w:val="14"/>
                <w:szCs w:val="14"/>
                <w:color w:val="0000EE"/>
                <w:w w:val="89"/>
              </w:rPr>
            </w:pPr>
            <w:hyperlink r:id="rId70">
              <w:r>
                <w:rPr>
                  <w:rFonts w:ascii="Times New Roman" w:cs="Times New Roman" w:eastAsia="Times New Roman" w:hAnsi="Times New Roman"/>
                  <w:sz w:val="14"/>
                  <w:szCs w:val="14"/>
                  <w:color w:val="0000EE"/>
                  <w:w w:val="89"/>
                </w:rPr>
                <w:t>4.</w:t>
              </w:r>
              <w:r>
                <w:rPr>
                  <w:rFonts w:ascii="Times New Roman" w:cs="Times New Roman" w:eastAsia="Times New Roman" w:hAnsi="Times New Roman"/>
                  <w:sz w:val="14"/>
                  <w:szCs w:val="14"/>
                  <w:u w:val="single" w:color="auto"/>
                  <w:color w:val="0000EE"/>
                  <w:w w:val="89"/>
                </w:rPr>
                <w:t>18</w:t>
              </w:r>
            </w:hyperlink>
          </w:p>
        </w:tc>
        <w:tc>
          <w:tcPr>
            <w:tcW w:w="680" w:type="dxa"/>
            <w:vAlign w:val="bottom"/>
          </w:tcPr>
          <w:p>
            <w:pPr>
              <w:spacing w:after="0"/>
              <w:rPr>
                <w:sz w:val="24"/>
                <w:szCs w:val="24"/>
                <w:color w:val="auto"/>
              </w:rPr>
            </w:pPr>
          </w:p>
        </w:tc>
        <w:tc>
          <w:tcPr>
            <w:tcW w:w="10360" w:type="dxa"/>
            <w:vAlign w:val="bottom"/>
            <w:gridSpan w:val="14"/>
          </w:tcPr>
          <w:p>
            <w:pPr>
              <w:spacing w:after="0"/>
              <w:rPr>
                <w:rFonts w:ascii="Times New Roman" w:cs="Times New Roman" w:eastAsia="Times New Roman" w:hAnsi="Times New Roman"/>
                <w:sz w:val="14"/>
                <w:szCs w:val="14"/>
                <w:color w:val="0000EE"/>
                <w:w w:val="99"/>
              </w:rPr>
            </w:pPr>
            <w:hyperlink r:id="rId70">
              <w:r>
                <w:rPr>
                  <w:rFonts w:ascii="Times New Roman" w:cs="Times New Roman" w:eastAsia="Times New Roman" w:hAnsi="Times New Roman"/>
                  <w:sz w:val="14"/>
                  <w:szCs w:val="14"/>
                  <w:color w:val="0000EE"/>
                  <w:w w:val="99"/>
                </w:rPr>
                <w:t>Form of Warrant to Purchase Common Stock, dated June 17, 2020 (incorporated by reference from Exhibit 4.1 to our Current Report on Form 8-K filed with the SEC on June 17, 2020).</w:t>
              </w:r>
            </w:hyperlink>
          </w:p>
        </w:tc>
      </w:tr>
      <w:tr>
        <w:trPr>
          <w:trHeight w:val="20"/>
        </w:trPr>
        <w:tc>
          <w:tcPr>
            <w:tcW w:w="2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3320" w:type="dxa"/>
            <w:vAlign w:val="bottom"/>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5"/>
        </w:trPr>
        <w:tc>
          <w:tcPr>
            <w:tcW w:w="240" w:type="dxa"/>
            <w:vAlign w:val="bottom"/>
            <w:tcBorders>
              <w:bottom w:val="single" w:sz="8" w:color="0000EE"/>
            </w:tcBorders>
          </w:tcPr>
          <w:p>
            <w:pPr>
              <w:jc w:val="right"/>
              <w:spacing w:after="0"/>
              <w:rPr>
                <w:rFonts w:ascii="Times New Roman" w:cs="Times New Roman" w:eastAsia="Times New Roman" w:hAnsi="Times New Roman"/>
                <w:sz w:val="14"/>
                <w:szCs w:val="14"/>
                <w:color w:val="0000EE"/>
                <w:w w:val="89"/>
              </w:rPr>
            </w:pPr>
            <w:hyperlink r:id="rId71">
              <w:r>
                <w:rPr>
                  <w:rFonts w:ascii="Times New Roman" w:cs="Times New Roman" w:eastAsia="Times New Roman" w:hAnsi="Times New Roman"/>
                  <w:sz w:val="14"/>
                  <w:szCs w:val="14"/>
                  <w:color w:val="0000EE"/>
                  <w:w w:val="89"/>
                </w:rPr>
                <w:t>4.</w:t>
              </w:r>
              <w:r>
                <w:rPr>
                  <w:rFonts w:ascii="Times New Roman" w:cs="Times New Roman" w:eastAsia="Times New Roman" w:hAnsi="Times New Roman"/>
                  <w:sz w:val="14"/>
                  <w:szCs w:val="14"/>
                  <w:u w:val="single" w:color="auto"/>
                  <w:color w:val="0000EE"/>
                  <w:w w:val="89"/>
                </w:rPr>
                <w:t>19</w:t>
              </w:r>
            </w:hyperlink>
          </w:p>
        </w:tc>
        <w:tc>
          <w:tcPr>
            <w:tcW w:w="680" w:type="dxa"/>
            <w:vAlign w:val="bottom"/>
          </w:tcPr>
          <w:p>
            <w:pPr>
              <w:spacing w:after="0"/>
              <w:rPr>
                <w:sz w:val="24"/>
                <w:szCs w:val="24"/>
                <w:color w:val="auto"/>
              </w:rPr>
            </w:pPr>
          </w:p>
        </w:tc>
        <w:tc>
          <w:tcPr>
            <w:tcW w:w="1036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rPr>
            </w:pPr>
            <w:hyperlink r:id="rId71">
              <w:r>
                <w:rPr>
                  <w:rFonts w:ascii="Times New Roman" w:cs="Times New Roman" w:eastAsia="Times New Roman" w:hAnsi="Times New Roman"/>
                  <w:sz w:val="14"/>
                  <w:szCs w:val="14"/>
                  <w:color w:val="0000EE"/>
                </w:rPr>
                <w:t>Form of Placement Agent Warrant to Purchase Common Stock, dated June 17, 2020 (incorporated by reference from Exhibit 4.2 to our Current Report on Form 8-K filed with the SEC</w:t>
              </w:r>
            </w:hyperlink>
          </w:p>
        </w:tc>
      </w:tr>
      <w:tr>
        <w:trPr>
          <w:trHeight w:val="147"/>
        </w:trPr>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360" w:type="dxa"/>
            <w:vAlign w:val="bottom"/>
            <w:gridSpan w:val="14"/>
          </w:tcPr>
          <w:p>
            <w:pPr>
              <w:spacing w:after="0" w:line="147" w:lineRule="exact"/>
              <w:rPr>
                <w:rFonts w:ascii="Times New Roman" w:cs="Times New Roman" w:eastAsia="Times New Roman" w:hAnsi="Times New Roman"/>
                <w:sz w:val="14"/>
                <w:szCs w:val="14"/>
                <w:color w:val="0000EE"/>
              </w:rPr>
            </w:pPr>
            <w:hyperlink r:id="rId71">
              <w:r>
                <w:rPr>
                  <w:rFonts w:ascii="Times New Roman" w:cs="Times New Roman" w:eastAsia="Times New Roman" w:hAnsi="Times New Roman"/>
                  <w:sz w:val="14"/>
                  <w:szCs w:val="14"/>
                  <w:color w:val="0000EE"/>
                </w:rPr>
                <w:t>on June 17, 2020).</w:t>
              </w:r>
            </w:hyperlink>
          </w:p>
        </w:tc>
      </w:tr>
      <w:tr>
        <w:trPr>
          <w:trHeight w:val="20"/>
        </w:trPr>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r>
      <w:tr>
        <w:trPr>
          <w:trHeight w:val="315"/>
        </w:trPr>
        <w:tc>
          <w:tcPr>
            <w:tcW w:w="240" w:type="dxa"/>
            <w:vAlign w:val="bottom"/>
            <w:tcBorders>
              <w:bottom w:val="single" w:sz="8" w:color="0000EE"/>
            </w:tcBorders>
          </w:tcPr>
          <w:p>
            <w:pPr>
              <w:jc w:val="right"/>
              <w:spacing w:after="0"/>
              <w:rPr>
                <w:rFonts w:ascii="Times New Roman" w:cs="Times New Roman" w:eastAsia="Times New Roman" w:hAnsi="Times New Roman"/>
                <w:sz w:val="14"/>
                <w:szCs w:val="14"/>
                <w:color w:val="0000EE"/>
                <w:w w:val="89"/>
              </w:rPr>
            </w:pPr>
            <w:hyperlink r:id="rId72">
              <w:r>
                <w:rPr>
                  <w:rFonts w:ascii="Times New Roman" w:cs="Times New Roman" w:eastAsia="Times New Roman" w:hAnsi="Times New Roman"/>
                  <w:sz w:val="14"/>
                  <w:szCs w:val="14"/>
                  <w:color w:val="0000EE"/>
                  <w:w w:val="89"/>
                </w:rPr>
                <w:t>4.</w:t>
              </w:r>
              <w:r>
                <w:rPr>
                  <w:rFonts w:ascii="Times New Roman" w:cs="Times New Roman" w:eastAsia="Times New Roman" w:hAnsi="Times New Roman"/>
                  <w:sz w:val="14"/>
                  <w:szCs w:val="14"/>
                  <w:u w:val="single" w:color="auto"/>
                  <w:color w:val="0000EE"/>
                  <w:w w:val="89"/>
                </w:rPr>
                <w:t>20</w:t>
              </w:r>
            </w:hyperlink>
          </w:p>
        </w:tc>
        <w:tc>
          <w:tcPr>
            <w:tcW w:w="680" w:type="dxa"/>
            <w:vAlign w:val="bottom"/>
          </w:tcPr>
          <w:p>
            <w:pPr>
              <w:spacing w:after="0"/>
              <w:rPr>
                <w:sz w:val="24"/>
                <w:szCs w:val="24"/>
                <w:color w:val="auto"/>
              </w:rPr>
            </w:pPr>
          </w:p>
        </w:tc>
        <w:tc>
          <w:tcPr>
            <w:tcW w:w="1036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rPr>
            </w:pPr>
            <w:hyperlink r:id="rId72">
              <w:r>
                <w:rPr>
                  <w:rFonts w:ascii="Times New Roman" w:cs="Times New Roman" w:eastAsia="Times New Roman" w:hAnsi="Times New Roman"/>
                  <w:sz w:val="14"/>
                  <w:szCs w:val="14"/>
                  <w:color w:val="0000EE"/>
                </w:rPr>
                <w:t>Form of Warrant to Purchase Common Stock, dated August 25, 2020 (incorporated by reference from Exhibit 4.1 to our Current Report on Form 8-K filed with the SEC on August 28,</w:t>
              </w:r>
            </w:hyperlink>
          </w:p>
        </w:tc>
      </w:tr>
      <w:tr>
        <w:trPr>
          <w:trHeight w:val="147"/>
        </w:trPr>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Borders>
              <w:bottom w:val="single" w:sz="8" w:color="0000EE"/>
            </w:tcBorders>
          </w:tcPr>
          <w:p>
            <w:pPr>
              <w:spacing w:after="0" w:line="147" w:lineRule="exact"/>
              <w:rPr>
                <w:rFonts w:ascii="Times New Roman" w:cs="Times New Roman" w:eastAsia="Times New Roman" w:hAnsi="Times New Roman"/>
                <w:sz w:val="14"/>
                <w:szCs w:val="14"/>
                <w:color w:val="0000EE"/>
                <w:w w:val="93"/>
              </w:rPr>
            </w:pPr>
            <w:hyperlink r:id="rId72">
              <w:r>
                <w:rPr>
                  <w:rFonts w:ascii="Times New Roman" w:cs="Times New Roman" w:eastAsia="Times New Roman" w:hAnsi="Times New Roman"/>
                  <w:sz w:val="14"/>
                  <w:szCs w:val="14"/>
                  <w:color w:val="0000EE"/>
                  <w:w w:val="93"/>
                </w:rPr>
                <w:t>2020).</w:t>
              </w:r>
            </w:hyperlink>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335"/>
        </w:trPr>
        <w:tc>
          <w:tcPr>
            <w:tcW w:w="240" w:type="dxa"/>
            <w:vAlign w:val="bottom"/>
            <w:tcBorders>
              <w:bottom w:val="single" w:sz="8" w:color="0000EE"/>
            </w:tcBorders>
          </w:tcPr>
          <w:p>
            <w:pPr>
              <w:jc w:val="right"/>
              <w:spacing w:after="0"/>
              <w:rPr>
                <w:rFonts w:ascii="Times New Roman" w:cs="Times New Roman" w:eastAsia="Times New Roman" w:hAnsi="Times New Roman"/>
                <w:sz w:val="14"/>
                <w:szCs w:val="14"/>
                <w:color w:val="0000EE"/>
                <w:w w:val="89"/>
              </w:rPr>
            </w:pPr>
            <w:hyperlink r:id="rId73">
              <w:r>
                <w:rPr>
                  <w:rFonts w:ascii="Times New Roman" w:cs="Times New Roman" w:eastAsia="Times New Roman" w:hAnsi="Times New Roman"/>
                  <w:sz w:val="14"/>
                  <w:szCs w:val="14"/>
                  <w:color w:val="0000EE"/>
                  <w:w w:val="89"/>
                </w:rPr>
                <w:t>4.</w:t>
              </w:r>
              <w:r>
                <w:rPr>
                  <w:rFonts w:ascii="Times New Roman" w:cs="Times New Roman" w:eastAsia="Times New Roman" w:hAnsi="Times New Roman"/>
                  <w:sz w:val="14"/>
                  <w:szCs w:val="14"/>
                  <w:u w:val="single" w:color="auto"/>
                  <w:color w:val="0000EE"/>
                  <w:w w:val="89"/>
                </w:rPr>
                <w:t>21</w:t>
              </w:r>
            </w:hyperlink>
          </w:p>
        </w:tc>
        <w:tc>
          <w:tcPr>
            <w:tcW w:w="680" w:type="dxa"/>
            <w:vAlign w:val="bottom"/>
          </w:tcPr>
          <w:p>
            <w:pPr>
              <w:spacing w:after="0"/>
              <w:rPr>
                <w:sz w:val="24"/>
                <w:szCs w:val="24"/>
                <w:color w:val="auto"/>
              </w:rPr>
            </w:pPr>
          </w:p>
        </w:tc>
        <w:tc>
          <w:tcPr>
            <w:tcW w:w="1036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0000EE"/>
                </w:rPr>
                <w:t>Form of Pre-Funded Warrant to Purchase Common Stock, dated August 25, 2020 (incorporated by reference from Exhibit 4.2 to our Current Report on Form 8-K filed with the SEC on</w:t>
              </w:r>
            </w:hyperlink>
          </w:p>
        </w:tc>
      </w:tr>
      <w:tr>
        <w:trPr>
          <w:trHeight w:val="127"/>
        </w:trPr>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20" w:type="dxa"/>
            <w:vAlign w:val="bottom"/>
            <w:tcBorders>
              <w:bottom w:val="single" w:sz="8" w:color="0000EE"/>
            </w:tcBorders>
            <w:gridSpan w:val="6"/>
          </w:tcPr>
          <w:p>
            <w:pPr>
              <w:spacing w:after="0" w:line="127" w:lineRule="exact"/>
              <w:rPr>
                <w:rFonts w:ascii="Times New Roman" w:cs="Times New Roman" w:eastAsia="Times New Roman" w:hAnsi="Times New Roman"/>
                <w:sz w:val="14"/>
                <w:szCs w:val="14"/>
                <w:color w:val="0000EE"/>
                <w:w w:val="96"/>
              </w:rPr>
            </w:pPr>
            <w:hyperlink r:id="rId73">
              <w:r>
                <w:rPr>
                  <w:rFonts w:ascii="Times New Roman" w:cs="Times New Roman" w:eastAsia="Times New Roman" w:hAnsi="Times New Roman"/>
                  <w:sz w:val="14"/>
                  <w:szCs w:val="14"/>
                  <w:color w:val="0000EE"/>
                  <w:w w:val="96"/>
                </w:rPr>
                <w:t>August 28, 2020).</w:t>
              </w:r>
            </w:hyperlink>
          </w:p>
        </w:tc>
        <w:tc>
          <w:tcPr>
            <w:tcW w:w="9340" w:type="dxa"/>
            <w:vAlign w:val="bottom"/>
            <w:gridSpan w:val="8"/>
          </w:tcPr>
          <w:p>
            <w:pPr>
              <w:spacing w:after="0"/>
              <w:rPr>
                <w:sz w:val="11"/>
                <w:szCs w:val="11"/>
                <w:color w:val="auto"/>
              </w:rPr>
            </w:pPr>
          </w:p>
        </w:tc>
      </w:tr>
      <w:tr>
        <w:trPr>
          <w:trHeight w:val="315"/>
        </w:trPr>
        <w:tc>
          <w:tcPr>
            <w:tcW w:w="240" w:type="dxa"/>
            <w:vAlign w:val="bottom"/>
            <w:tcBorders>
              <w:bottom w:val="single" w:sz="8" w:color="0000EE"/>
            </w:tcBorders>
          </w:tcPr>
          <w:p>
            <w:pPr>
              <w:jc w:val="right"/>
              <w:spacing w:after="0"/>
              <w:rPr>
                <w:rFonts w:ascii="Times New Roman" w:cs="Times New Roman" w:eastAsia="Times New Roman" w:hAnsi="Times New Roman"/>
                <w:sz w:val="14"/>
                <w:szCs w:val="14"/>
                <w:color w:val="0000EE"/>
                <w:w w:val="89"/>
              </w:rPr>
            </w:pPr>
            <w:hyperlink r:id="rId74">
              <w:r>
                <w:rPr>
                  <w:rFonts w:ascii="Times New Roman" w:cs="Times New Roman" w:eastAsia="Times New Roman" w:hAnsi="Times New Roman"/>
                  <w:sz w:val="14"/>
                  <w:szCs w:val="14"/>
                  <w:color w:val="0000EE"/>
                  <w:w w:val="89"/>
                </w:rPr>
                <w:t>4.</w:t>
              </w:r>
              <w:r>
                <w:rPr>
                  <w:rFonts w:ascii="Times New Roman" w:cs="Times New Roman" w:eastAsia="Times New Roman" w:hAnsi="Times New Roman"/>
                  <w:sz w:val="14"/>
                  <w:szCs w:val="14"/>
                  <w:u w:val="single" w:color="auto"/>
                  <w:color w:val="0000EE"/>
                  <w:w w:val="89"/>
                </w:rPr>
                <w:t>22</w:t>
              </w:r>
            </w:hyperlink>
          </w:p>
        </w:tc>
        <w:tc>
          <w:tcPr>
            <w:tcW w:w="680" w:type="dxa"/>
            <w:vAlign w:val="bottom"/>
          </w:tcPr>
          <w:p>
            <w:pPr>
              <w:spacing w:after="0"/>
              <w:rPr>
                <w:sz w:val="24"/>
                <w:szCs w:val="24"/>
                <w:color w:val="auto"/>
              </w:rPr>
            </w:pPr>
          </w:p>
        </w:tc>
        <w:tc>
          <w:tcPr>
            <w:tcW w:w="1036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Form of Placement Agent Warrant to Purchase Common Stock, dated August 25, 2020 (incorporated by reference from Exhibit 4.3 to our Current Report on Form 8-K filed with the</w:t>
              </w:r>
            </w:hyperlink>
          </w:p>
        </w:tc>
      </w:tr>
      <w:tr>
        <w:trPr>
          <w:trHeight w:val="147"/>
        </w:trPr>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360" w:type="dxa"/>
            <w:vAlign w:val="bottom"/>
            <w:gridSpan w:val="14"/>
          </w:tcPr>
          <w:p>
            <w:pPr>
              <w:spacing w:after="0" w:line="147" w:lineRule="exact"/>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SEC on August 28, 2020).</w:t>
              </w:r>
            </w:hyperlink>
          </w:p>
        </w:tc>
      </w:tr>
      <w:tr>
        <w:trPr>
          <w:trHeight w:val="20"/>
        </w:trPr>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r>
      <w:tr>
        <w:trPr>
          <w:trHeight w:val="315"/>
        </w:trPr>
        <w:tc>
          <w:tcPr>
            <w:tcW w:w="240" w:type="dxa"/>
            <w:vAlign w:val="bottom"/>
            <w:tcBorders>
              <w:bottom w:val="single" w:sz="8" w:color="0000EE"/>
            </w:tcBorders>
          </w:tcPr>
          <w:p>
            <w:pPr>
              <w:jc w:val="right"/>
              <w:spacing w:after="0"/>
              <w:rPr>
                <w:rFonts w:ascii="Times New Roman" w:cs="Times New Roman" w:eastAsia="Times New Roman" w:hAnsi="Times New Roman"/>
                <w:sz w:val="14"/>
                <w:szCs w:val="14"/>
                <w:color w:val="0000EE"/>
                <w:w w:val="89"/>
              </w:rPr>
            </w:pPr>
            <w:hyperlink r:id="rId75">
              <w:r>
                <w:rPr>
                  <w:rFonts w:ascii="Times New Roman" w:cs="Times New Roman" w:eastAsia="Times New Roman" w:hAnsi="Times New Roman"/>
                  <w:sz w:val="14"/>
                  <w:szCs w:val="14"/>
                  <w:color w:val="0000EE"/>
                  <w:w w:val="89"/>
                </w:rPr>
                <w:t>4.</w:t>
              </w:r>
              <w:r>
                <w:rPr>
                  <w:rFonts w:ascii="Times New Roman" w:cs="Times New Roman" w:eastAsia="Times New Roman" w:hAnsi="Times New Roman"/>
                  <w:sz w:val="14"/>
                  <w:szCs w:val="14"/>
                  <w:u w:val="single" w:color="auto"/>
                  <w:color w:val="0000EE"/>
                  <w:w w:val="89"/>
                </w:rPr>
                <w:t>23</w:t>
              </w:r>
            </w:hyperlink>
          </w:p>
        </w:tc>
        <w:tc>
          <w:tcPr>
            <w:tcW w:w="680" w:type="dxa"/>
            <w:vAlign w:val="bottom"/>
          </w:tcPr>
          <w:p>
            <w:pPr>
              <w:spacing w:after="0"/>
              <w:rPr>
                <w:sz w:val="24"/>
                <w:szCs w:val="24"/>
                <w:color w:val="auto"/>
              </w:rPr>
            </w:pPr>
          </w:p>
        </w:tc>
        <w:tc>
          <w:tcPr>
            <w:tcW w:w="1036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w w:val="99"/>
              </w:rPr>
            </w:pPr>
            <w:hyperlink r:id="rId75">
              <w:r>
                <w:rPr>
                  <w:rFonts w:ascii="Times New Roman" w:cs="Times New Roman" w:eastAsia="Times New Roman" w:hAnsi="Times New Roman"/>
                  <w:sz w:val="14"/>
                  <w:szCs w:val="14"/>
                  <w:color w:val="0000EE"/>
                  <w:w w:val="99"/>
                </w:rPr>
                <w:t>Form of Warrant to Purchase Common Stock, dated December 17, 2020 (incorporated by reference from Exhibit 4.1 to our Current Report on Form 8-K filed with the SEC on December</w:t>
              </w:r>
            </w:hyperlink>
          </w:p>
        </w:tc>
      </w:tr>
      <w:tr>
        <w:trPr>
          <w:trHeight w:val="147"/>
        </w:trPr>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Borders>
              <w:bottom w:val="single" w:sz="8" w:color="0000EE"/>
            </w:tcBorders>
            <w:gridSpan w:val="2"/>
          </w:tcPr>
          <w:p>
            <w:pPr>
              <w:spacing w:after="0" w:line="147" w:lineRule="exact"/>
              <w:rPr>
                <w:rFonts w:ascii="Times New Roman" w:cs="Times New Roman" w:eastAsia="Times New Roman" w:hAnsi="Times New Roman"/>
                <w:sz w:val="14"/>
                <w:szCs w:val="14"/>
                <w:color w:val="0000EE"/>
                <w:w w:val="93"/>
              </w:rPr>
            </w:pPr>
            <w:hyperlink r:id="rId75">
              <w:r>
                <w:rPr>
                  <w:rFonts w:ascii="Times New Roman" w:cs="Times New Roman" w:eastAsia="Times New Roman" w:hAnsi="Times New Roman"/>
                  <w:sz w:val="14"/>
                  <w:szCs w:val="14"/>
                  <w:color w:val="0000EE"/>
                  <w:w w:val="93"/>
                </w:rPr>
                <w:t>21, 2020)</w:t>
              </w:r>
            </w:hyperlink>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315"/>
        </w:trPr>
        <w:tc>
          <w:tcPr>
            <w:tcW w:w="240" w:type="dxa"/>
            <w:vAlign w:val="bottom"/>
            <w:tcBorders>
              <w:bottom w:val="single" w:sz="8" w:color="0000EE"/>
            </w:tcBorders>
          </w:tcPr>
          <w:p>
            <w:pPr>
              <w:jc w:val="right"/>
              <w:spacing w:after="0"/>
              <w:rPr>
                <w:rFonts w:ascii="Times New Roman" w:cs="Times New Roman" w:eastAsia="Times New Roman" w:hAnsi="Times New Roman"/>
                <w:sz w:val="14"/>
                <w:szCs w:val="14"/>
                <w:color w:val="0000EE"/>
                <w:w w:val="89"/>
              </w:rPr>
            </w:pPr>
            <w:hyperlink r:id="rId76">
              <w:r>
                <w:rPr>
                  <w:rFonts w:ascii="Times New Roman" w:cs="Times New Roman" w:eastAsia="Times New Roman" w:hAnsi="Times New Roman"/>
                  <w:sz w:val="14"/>
                  <w:szCs w:val="14"/>
                  <w:color w:val="0000EE"/>
                  <w:w w:val="89"/>
                </w:rPr>
                <w:t>4.</w:t>
              </w:r>
              <w:r>
                <w:rPr>
                  <w:rFonts w:ascii="Times New Roman" w:cs="Times New Roman" w:eastAsia="Times New Roman" w:hAnsi="Times New Roman"/>
                  <w:sz w:val="14"/>
                  <w:szCs w:val="14"/>
                  <w:u w:val="single" w:color="auto"/>
                  <w:color w:val="0000EE"/>
                  <w:w w:val="89"/>
                </w:rPr>
                <w:t>24</w:t>
              </w:r>
            </w:hyperlink>
          </w:p>
        </w:tc>
        <w:tc>
          <w:tcPr>
            <w:tcW w:w="680" w:type="dxa"/>
            <w:vAlign w:val="bottom"/>
          </w:tcPr>
          <w:p>
            <w:pPr>
              <w:spacing w:after="0"/>
              <w:rPr>
                <w:sz w:val="24"/>
                <w:szCs w:val="24"/>
                <w:color w:val="auto"/>
              </w:rPr>
            </w:pPr>
          </w:p>
        </w:tc>
        <w:tc>
          <w:tcPr>
            <w:tcW w:w="1036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rPr>
            </w:pPr>
            <w:hyperlink r:id="rId76">
              <w:r>
                <w:rPr>
                  <w:rFonts w:ascii="Times New Roman" w:cs="Times New Roman" w:eastAsia="Times New Roman" w:hAnsi="Times New Roman"/>
                  <w:sz w:val="14"/>
                  <w:szCs w:val="14"/>
                  <w:color w:val="0000EE"/>
                </w:rPr>
                <w:t>Form of Placement Agent Warrant to Purchase Common Stock, dated December 17, 2020 (incorporated by reference from Exhibit 4.2 to our Current Report on Form 8-K filed with the</w:t>
              </w:r>
            </w:hyperlink>
          </w:p>
        </w:tc>
      </w:tr>
      <w:tr>
        <w:trPr>
          <w:trHeight w:val="147"/>
        </w:trPr>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40" w:type="dxa"/>
            <w:vAlign w:val="bottom"/>
            <w:tcBorders>
              <w:bottom w:val="single" w:sz="8" w:color="0000EE"/>
            </w:tcBorders>
            <w:gridSpan w:val="8"/>
          </w:tcPr>
          <w:p>
            <w:pPr>
              <w:spacing w:after="0" w:line="147" w:lineRule="exact"/>
              <w:rPr>
                <w:rFonts w:ascii="Times New Roman" w:cs="Times New Roman" w:eastAsia="Times New Roman" w:hAnsi="Times New Roman"/>
                <w:sz w:val="14"/>
                <w:szCs w:val="14"/>
                <w:color w:val="0000EE"/>
                <w:w w:val="98"/>
              </w:rPr>
            </w:pPr>
            <w:hyperlink r:id="rId76">
              <w:r>
                <w:rPr>
                  <w:rFonts w:ascii="Times New Roman" w:cs="Times New Roman" w:eastAsia="Times New Roman" w:hAnsi="Times New Roman"/>
                  <w:sz w:val="14"/>
                  <w:szCs w:val="14"/>
                  <w:color w:val="0000EE"/>
                  <w:w w:val="98"/>
                </w:rPr>
                <w:t>SEC on December 21, 2020).</w:t>
              </w:r>
            </w:hyperlink>
          </w:p>
        </w:tc>
        <w:tc>
          <w:tcPr>
            <w:tcW w:w="8720" w:type="dxa"/>
            <w:vAlign w:val="bottom"/>
            <w:gridSpan w:val="6"/>
          </w:tcPr>
          <w:p>
            <w:pPr>
              <w:spacing w:after="0"/>
              <w:rPr>
                <w:sz w:val="12"/>
                <w:szCs w:val="12"/>
                <w:color w:val="auto"/>
              </w:rPr>
            </w:pPr>
          </w:p>
        </w:tc>
      </w:tr>
      <w:tr>
        <w:trPr>
          <w:trHeight w:val="335"/>
        </w:trPr>
        <w:tc>
          <w:tcPr>
            <w:tcW w:w="240" w:type="dxa"/>
            <w:vAlign w:val="bottom"/>
            <w:tcBorders>
              <w:bottom w:val="single" w:sz="8" w:color="0000EE"/>
            </w:tcBorders>
          </w:tcPr>
          <w:p>
            <w:pPr>
              <w:jc w:val="right"/>
              <w:spacing w:after="0"/>
              <w:rPr>
                <w:rFonts w:ascii="Times New Roman" w:cs="Times New Roman" w:eastAsia="Times New Roman" w:hAnsi="Times New Roman"/>
                <w:sz w:val="14"/>
                <w:szCs w:val="14"/>
                <w:color w:val="0000EE"/>
                <w:w w:val="89"/>
              </w:rPr>
            </w:pPr>
            <w:hyperlink r:id="rId77">
              <w:r>
                <w:rPr>
                  <w:rFonts w:ascii="Times New Roman" w:cs="Times New Roman" w:eastAsia="Times New Roman" w:hAnsi="Times New Roman"/>
                  <w:sz w:val="14"/>
                  <w:szCs w:val="14"/>
                  <w:color w:val="0000EE"/>
                  <w:w w:val="89"/>
                </w:rPr>
                <w:t>4.</w:t>
              </w:r>
              <w:r>
                <w:rPr>
                  <w:rFonts w:ascii="Times New Roman" w:cs="Times New Roman" w:eastAsia="Times New Roman" w:hAnsi="Times New Roman"/>
                  <w:sz w:val="14"/>
                  <w:szCs w:val="14"/>
                  <w:u w:val="single" w:color="auto"/>
                  <w:color w:val="0000EE"/>
                  <w:w w:val="89"/>
                </w:rPr>
                <w:t>25</w:t>
              </w:r>
            </w:hyperlink>
          </w:p>
        </w:tc>
        <w:tc>
          <w:tcPr>
            <w:tcW w:w="680" w:type="dxa"/>
            <w:vAlign w:val="bottom"/>
          </w:tcPr>
          <w:p>
            <w:pPr>
              <w:spacing w:after="0"/>
              <w:rPr>
                <w:sz w:val="24"/>
                <w:szCs w:val="24"/>
                <w:color w:val="auto"/>
              </w:rPr>
            </w:pPr>
          </w:p>
        </w:tc>
        <w:tc>
          <w:tcPr>
            <w:tcW w:w="1036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rPr>
            </w:pPr>
            <w:hyperlink r:id="rId77">
              <w:r>
                <w:rPr>
                  <w:rFonts w:ascii="Times New Roman" w:cs="Times New Roman" w:eastAsia="Times New Roman" w:hAnsi="Times New Roman"/>
                  <w:sz w:val="14"/>
                  <w:szCs w:val="14"/>
                  <w:color w:val="0000EE"/>
                </w:rPr>
                <w:t>Tax Benefits Preservation Plan, dated as of August 16, 2024, between XWELL, Inc. and Equiniti Trust Company, LLC, as Rights Agent, together with the following exhibits thereto:</w:t>
              </w:r>
            </w:hyperlink>
          </w:p>
        </w:tc>
      </w:tr>
      <w:tr>
        <w:trPr>
          <w:trHeight w:val="127"/>
        </w:trPr>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360" w:type="dxa"/>
            <w:vAlign w:val="bottom"/>
            <w:tcBorders>
              <w:bottom w:val="single" w:sz="8" w:color="0000EE"/>
            </w:tcBorders>
            <w:gridSpan w:val="14"/>
          </w:tcPr>
          <w:p>
            <w:pPr>
              <w:spacing w:after="0" w:line="127" w:lineRule="exact"/>
              <w:rPr>
                <w:rFonts w:ascii="Times New Roman" w:cs="Times New Roman" w:eastAsia="Times New Roman" w:hAnsi="Times New Roman"/>
                <w:sz w:val="14"/>
                <w:szCs w:val="14"/>
                <w:color w:val="0000EE"/>
              </w:rPr>
            </w:pPr>
            <w:hyperlink r:id="rId77">
              <w:r>
                <w:rPr>
                  <w:rFonts w:ascii="Times New Roman" w:cs="Times New Roman" w:eastAsia="Times New Roman" w:hAnsi="Times New Roman"/>
                  <w:sz w:val="14"/>
                  <w:szCs w:val="14"/>
                  <w:color w:val="0000EE"/>
                </w:rPr>
                <w:t>Exhibit A - Form of Certificate of Designation of Series A Junior Participating Preferred Stock of XWELL, Inc.; Exhibit B - Form of Right Certificate (incorporated by reference from</w:t>
              </w:r>
            </w:hyperlink>
          </w:p>
        </w:tc>
      </w:tr>
      <w:tr>
        <w:trPr>
          <w:trHeight w:val="147"/>
        </w:trPr>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900" w:type="dxa"/>
            <w:vAlign w:val="bottom"/>
            <w:tcBorders>
              <w:bottom w:val="single" w:sz="8" w:color="0000EE"/>
            </w:tcBorders>
            <w:gridSpan w:val="9"/>
          </w:tcPr>
          <w:p>
            <w:pPr>
              <w:spacing w:after="0" w:line="147" w:lineRule="exact"/>
              <w:rPr>
                <w:rFonts w:ascii="Times New Roman" w:cs="Times New Roman" w:eastAsia="Times New Roman" w:hAnsi="Times New Roman"/>
                <w:sz w:val="14"/>
                <w:szCs w:val="14"/>
                <w:color w:val="0000EE"/>
                <w:w w:val="99"/>
              </w:rPr>
            </w:pPr>
            <w:hyperlink r:id="rId77">
              <w:r>
                <w:rPr>
                  <w:rFonts w:ascii="Times New Roman" w:cs="Times New Roman" w:eastAsia="Times New Roman" w:hAnsi="Times New Roman"/>
                  <w:sz w:val="14"/>
                  <w:szCs w:val="14"/>
                  <w:color w:val="0000EE"/>
                  <w:w w:val="99"/>
                </w:rPr>
                <w:t>Exhibit 4.1 to our Current Report on Form 8-K filed with the SEC on August 16, 2024).</w:t>
              </w:r>
            </w:hyperlink>
          </w:p>
        </w:tc>
        <w:tc>
          <w:tcPr>
            <w:tcW w:w="5460" w:type="dxa"/>
            <w:vAlign w:val="bottom"/>
            <w:gridSpan w:val="5"/>
          </w:tcPr>
          <w:p>
            <w:pPr>
              <w:spacing w:after="0"/>
              <w:rPr>
                <w:sz w:val="12"/>
                <w:szCs w:val="12"/>
                <w:color w:val="auto"/>
              </w:rPr>
            </w:pPr>
          </w:p>
        </w:tc>
      </w:tr>
      <w:tr>
        <w:trPr>
          <w:trHeight w:val="315"/>
        </w:trPr>
        <w:tc>
          <w:tcPr>
            <w:tcW w:w="240" w:type="dxa"/>
            <w:vAlign w:val="bottom"/>
          </w:tcPr>
          <w:p>
            <w:pPr>
              <w:jc w:val="right"/>
              <w:spacing w:after="0"/>
              <w:rPr>
                <w:rFonts w:ascii="Times New Roman" w:cs="Times New Roman" w:eastAsia="Times New Roman" w:hAnsi="Times New Roman"/>
                <w:sz w:val="14"/>
                <w:szCs w:val="14"/>
                <w:color w:val="0000EE"/>
                <w:w w:val="89"/>
              </w:rPr>
            </w:pPr>
            <w:hyperlink r:id="rId78">
              <w:r>
                <w:rPr>
                  <w:rFonts w:ascii="Times New Roman" w:cs="Times New Roman" w:eastAsia="Times New Roman" w:hAnsi="Times New Roman"/>
                  <w:sz w:val="14"/>
                  <w:szCs w:val="14"/>
                  <w:color w:val="0000EE"/>
                  <w:w w:val="89"/>
                </w:rPr>
                <w:t>4.</w:t>
              </w:r>
              <w:r>
                <w:rPr>
                  <w:rFonts w:ascii="Times New Roman" w:cs="Times New Roman" w:eastAsia="Times New Roman" w:hAnsi="Times New Roman"/>
                  <w:sz w:val="14"/>
                  <w:szCs w:val="14"/>
                  <w:u w:val="single" w:color="auto"/>
                  <w:color w:val="0000EE"/>
                  <w:w w:val="89"/>
                </w:rPr>
                <w:t>26</w:t>
              </w:r>
            </w:hyperlink>
          </w:p>
        </w:tc>
        <w:tc>
          <w:tcPr>
            <w:tcW w:w="680" w:type="dxa"/>
            <w:vAlign w:val="bottom"/>
          </w:tcPr>
          <w:p>
            <w:pPr>
              <w:spacing w:after="0"/>
              <w:rPr>
                <w:sz w:val="24"/>
                <w:szCs w:val="24"/>
                <w:color w:val="auto"/>
              </w:rPr>
            </w:pPr>
          </w:p>
        </w:tc>
        <w:tc>
          <w:tcPr>
            <w:tcW w:w="10360" w:type="dxa"/>
            <w:vAlign w:val="bottom"/>
            <w:gridSpan w:val="14"/>
          </w:tcPr>
          <w:p>
            <w:pPr>
              <w:spacing w:after="0"/>
              <w:rPr>
                <w:rFonts w:ascii="Times New Roman" w:cs="Times New Roman" w:eastAsia="Times New Roman" w:hAnsi="Times New Roman"/>
                <w:sz w:val="14"/>
                <w:szCs w:val="14"/>
                <w:color w:val="0000EE"/>
              </w:rPr>
            </w:pPr>
            <w:hyperlink r:id="rId78">
              <w:r>
                <w:rPr>
                  <w:rFonts w:ascii="Times New Roman" w:cs="Times New Roman" w:eastAsia="Times New Roman" w:hAnsi="Times New Roman"/>
                  <w:sz w:val="14"/>
                  <w:szCs w:val="14"/>
                  <w:color w:val="0000EE"/>
                </w:rPr>
                <w:t>Form of Series A Warrant (incorporated by reference from Exhibit 4.1 to our Current Report on Form 8-K filed with the SEC on January 15, 2025).</w:t>
              </w:r>
            </w:hyperlink>
          </w:p>
        </w:tc>
      </w:tr>
      <w:tr>
        <w:trPr>
          <w:trHeight w:val="20"/>
        </w:trPr>
        <w:tc>
          <w:tcPr>
            <w:tcW w:w="2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33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3435"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9">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240" w:type="dxa"/>
            <w:vAlign w:val="bottom"/>
            <w:tcBorders>
              <w:bottom w:val="single" w:sz="8" w:color="0000EE"/>
            </w:tcBorders>
          </w:tcPr>
          <w:p>
            <w:pPr>
              <w:spacing w:after="0"/>
              <w:rPr>
                <w:rFonts w:ascii="Times New Roman" w:cs="Times New Roman" w:eastAsia="Times New Roman" w:hAnsi="Times New Roman"/>
                <w:sz w:val="14"/>
                <w:szCs w:val="14"/>
                <w:color w:val="0000EE"/>
                <w:w w:val="89"/>
              </w:rPr>
            </w:pPr>
            <w:hyperlink r:id="rId80">
              <w:r>
                <w:rPr>
                  <w:rFonts w:ascii="Times New Roman" w:cs="Times New Roman" w:eastAsia="Times New Roman" w:hAnsi="Times New Roman"/>
                  <w:sz w:val="14"/>
                  <w:szCs w:val="14"/>
                  <w:color w:val="0000EE"/>
                  <w:w w:val="89"/>
                </w:rPr>
                <w:t>4.</w:t>
              </w:r>
              <w:r>
                <w:rPr>
                  <w:rFonts w:ascii="Times New Roman" w:cs="Times New Roman" w:eastAsia="Times New Roman" w:hAnsi="Times New Roman"/>
                  <w:sz w:val="14"/>
                  <w:szCs w:val="14"/>
                  <w:u w:val="single" w:color="auto"/>
                  <w:color w:val="0000EE"/>
                  <w:w w:val="89"/>
                </w:rPr>
                <w:t>27</w:t>
              </w:r>
            </w:hyperlink>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20" w:type="dxa"/>
            <w:vAlign w:val="bottom"/>
            <w:tcBorders>
              <w:bottom w:val="single" w:sz="8" w:color="0000EE"/>
            </w:tcBorders>
            <w:gridSpan w:val="8"/>
          </w:tcPr>
          <w:p>
            <w:pPr>
              <w:spacing w:after="0"/>
              <w:rPr>
                <w:rFonts w:ascii="Times New Roman" w:cs="Times New Roman" w:eastAsia="Times New Roman" w:hAnsi="Times New Roman"/>
                <w:sz w:val="14"/>
                <w:szCs w:val="14"/>
                <w:color w:val="0000EE"/>
                <w:w w:val="99"/>
              </w:rPr>
            </w:pPr>
            <w:hyperlink r:id="rId80">
              <w:r>
                <w:rPr>
                  <w:rFonts w:ascii="Times New Roman" w:cs="Times New Roman" w:eastAsia="Times New Roman" w:hAnsi="Times New Roman"/>
                  <w:sz w:val="14"/>
                  <w:szCs w:val="14"/>
                  <w:color w:val="0000EE"/>
                  <w:w w:val="99"/>
                </w:rPr>
                <w:t>Form of Series B Warrant (incorporated by reference from Exhibit 4.2 to our Current Report on Form 8-K filed with the SEC on January 15, 2025).</w:t>
              </w:r>
            </w:hyperlink>
          </w:p>
        </w:tc>
        <w:tc>
          <w:tcPr>
            <w:tcW w:w="2140" w:type="dxa"/>
            <w:vAlign w:val="bottom"/>
            <w:gridSpan w:val="7"/>
          </w:tcPr>
          <w:p>
            <w:pPr>
              <w:spacing w:after="0"/>
              <w:rPr>
                <w:sz w:val="13"/>
                <w:szCs w:val="13"/>
                <w:color w:val="auto"/>
              </w:rPr>
            </w:pPr>
          </w:p>
        </w:tc>
      </w:tr>
      <w:tr>
        <w:trPr>
          <w:trHeight w:val="315"/>
        </w:trPr>
        <w:tc>
          <w:tcPr>
            <w:tcW w:w="240" w:type="dxa"/>
            <w:vAlign w:val="bottom"/>
            <w:tcBorders>
              <w:bottom w:val="single" w:sz="8" w:color="0000EE"/>
            </w:tcBorders>
          </w:tcPr>
          <w:p>
            <w:pPr>
              <w:spacing w:after="0"/>
              <w:rPr>
                <w:rFonts w:ascii="Times New Roman" w:cs="Times New Roman" w:eastAsia="Times New Roman" w:hAnsi="Times New Roman"/>
                <w:sz w:val="14"/>
                <w:szCs w:val="14"/>
                <w:color w:val="0000EE"/>
                <w:w w:val="89"/>
              </w:rPr>
            </w:pPr>
            <w:hyperlink r:id="rId81">
              <w:r>
                <w:rPr>
                  <w:rFonts w:ascii="Times New Roman" w:cs="Times New Roman" w:eastAsia="Times New Roman" w:hAnsi="Times New Roman"/>
                  <w:sz w:val="14"/>
                  <w:szCs w:val="14"/>
                  <w:color w:val="0000EE"/>
                  <w:w w:val="89"/>
                </w:rPr>
                <w:t>4.</w:t>
              </w:r>
              <w:r>
                <w:rPr>
                  <w:rFonts w:ascii="Times New Roman" w:cs="Times New Roman" w:eastAsia="Times New Roman" w:hAnsi="Times New Roman"/>
                  <w:sz w:val="14"/>
                  <w:szCs w:val="14"/>
                  <w:u w:val="single" w:color="auto"/>
                  <w:color w:val="0000EE"/>
                  <w:w w:val="89"/>
                </w:rPr>
                <w:t>28</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70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w w:val="99"/>
              </w:rPr>
            </w:pPr>
            <w:hyperlink r:id="rId81">
              <w:r>
                <w:rPr>
                  <w:rFonts w:ascii="Times New Roman" w:cs="Times New Roman" w:eastAsia="Times New Roman" w:hAnsi="Times New Roman"/>
                  <w:sz w:val="14"/>
                  <w:szCs w:val="14"/>
                  <w:color w:val="0000EE"/>
                  <w:w w:val="99"/>
                </w:rPr>
                <w:t>Form of Senior Secured Convertible Note (incorporated by reference to Exhibit 4.1 to the Company’s Current Report on Form 8-K filed with the SEC on November 4, 2025).</w:t>
              </w:r>
            </w:hyperlink>
          </w:p>
        </w:tc>
        <w:tc>
          <w:tcPr>
            <w:tcW w:w="660" w:type="dxa"/>
            <w:vAlign w:val="bottom"/>
            <w:gridSpan w:val="2"/>
          </w:tcPr>
          <w:p>
            <w:pPr>
              <w:spacing w:after="0"/>
              <w:rPr>
                <w:sz w:val="24"/>
                <w:szCs w:val="24"/>
                <w:color w:val="auto"/>
              </w:rPr>
            </w:pPr>
          </w:p>
        </w:tc>
      </w:tr>
      <w:tr>
        <w:trPr>
          <w:trHeight w:val="315"/>
        </w:trPr>
        <w:tc>
          <w:tcPr>
            <w:tcW w:w="240" w:type="dxa"/>
            <w:vAlign w:val="bottom"/>
          </w:tcPr>
          <w:p>
            <w:pPr>
              <w:spacing w:after="0"/>
              <w:rPr>
                <w:rFonts w:ascii="Times New Roman" w:cs="Times New Roman" w:eastAsia="Times New Roman" w:hAnsi="Times New Roman"/>
                <w:sz w:val="14"/>
                <w:szCs w:val="14"/>
                <w:color w:val="0000EE"/>
                <w:w w:val="89"/>
              </w:rPr>
            </w:pPr>
            <w:hyperlink r:id="rId82">
              <w:r>
                <w:rPr>
                  <w:rFonts w:ascii="Times New Roman" w:cs="Times New Roman" w:eastAsia="Times New Roman" w:hAnsi="Times New Roman"/>
                  <w:sz w:val="14"/>
                  <w:szCs w:val="14"/>
                  <w:color w:val="0000EE"/>
                  <w:w w:val="89"/>
                </w:rPr>
                <w:t>4.</w:t>
              </w:r>
              <w:r>
                <w:rPr>
                  <w:rFonts w:ascii="Times New Roman" w:cs="Times New Roman" w:eastAsia="Times New Roman" w:hAnsi="Times New Roman"/>
                  <w:sz w:val="14"/>
                  <w:szCs w:val="14"/>
                  <w:u w:val="single" w:color="auto"/>
                  <w:color w:val="0000EE"/>
                  <w:w w:val="89"/>
                </w:rPr>
                <w:t>29</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360" w:type="dxa"/>
            <w:vAlign w:val="bottom"/>
            <w:gridSpan w:val="15"/>
          </w:tcPr>
          <w:p>
            <w:pPr>
              <w:spacing w:after="0"/>
              <w:rPr>
                <w:rFonts w:ascii="Times New Roman" w:cs="Times New Roman" w:eastAsia="Times New Roman" w:hAnsi="Times New Roman"/>
                <w:sz w:val="14"/>
                <w:szCs w:val="14"/>
                <w:color w:val="0000EE"/>
              </w:rPr>
            </w:pPr>
            <w:hyperlink r:id="rId82">
              <w:r>
                <w:rPr>
                  <w:rFonts w:ascii="Times New Roman" w:cs="Times New Roman" w:eastAsia="Times New Roman" w:hAnsi="Times New Roman"/>
                  <w:sz w:val="14"/>
                  <w:szCs w:val="14"/>
                  <w:color w:val="0000EE"/>
                </w:rPr>
                <w:t>Form of Amended and Restated Series A Warrant (incorporated by reference to Exhibit 4.2 to the Company’s Current Report on Form 8-K filed with the SEC on November 4, 2025).</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15"/>
        </w:trPr>
        <w:tc>
          <w:tcPr>
            <w:tcW w:w="240" w:type="dxa"/>
            <w:vAlign w:val="bottom"/>
          </w:tcPr>
          <w:p>
            <w:pPr>
              <w:spacing w:after="0"/>
              <w:rPr>
                <w:rFonts w:ascii="Times New Roman" w:cs="Times New Roman" w:eastAsia="Times New Roman" w:hAnsi="Times New Roman"/>
                <w:sz w:val="14"/>
                <w:szCs w:val="14"/>
                <w:color w:val="0000EE"/>
                <w:w w:val="89"/>
              </w:rPr>
            </w:pPr>
            <w:hyperlink r:id="rId83">
              <w:r>
                <w:rPr>
                  <w:rFonts w:ascii="Times New Roman" w:cs="Times New Roman" w:eastAsia="Times New Roman" w:hAnsi="Times New Roman"/>
                  <w:sz w:val="14"/>
                  <w:szCs w:val="14"/>
                  <w:color w:val="0000EE"/>
                  <w:w w:val="89"/>
                </w:rPr>
                <w:t>4.</w:t>
              </w:r>
              <w:r>
                <w:rPr>
                  <w:rFonts w:ascii="Times New Roman" w:cs="Times New Roman" w:eastAsia="Times New Roman" w:hAnsi="Times New Roman"/>
                  <w:sz w:val="14"/>
                  <w:szCs w:val="14"/>
                  <w:u w:val="single" w:color="auto"/>
                  <w:color w:val="0000EE"/>
                  <w:w w:val="89"/>
                </w:rPr>
                <w:t>30</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360" w:type="dxa"/>
            <w:vAlign w:val="bottom"/>
            <w:gridSpan w:val="15"/>
          </w:tcPr>
          <w:p>
            <w:pPr>
              <w:spacing w:after="0"/>
              <w:rPr>
                <w:rFonts w:ascii="Times New Roman" w:cs="Times New Roman" w:eastAsia="Times New Roman" w:hAnsi="Times New Roman"/>
                <w:sz w:val="14"/>
                <w:szCs w:val="14"/>
                <w:color w:val="0000EE"/>
              </w:rPr>
            </w:pPr>
            <w:hyperlink r:id="rId83">
              <w:r>
                <w:rPr>
                  <w:rFonts w:ascii="Times New Roman" w:cs="Times New Roman" w:eastAsia="Times New Roman" w:hAnsi="Times New Roman"/>
                  <w:sz w:val="14"/>
                  <w:szCs w:val="14"/>
                  <w:color w:val="0000EE"/>
                </w:rPr>
                <w:t>Form of Amended and Restated Series B Warrant (incorporated by reference to Exhibit 4.3 to the Company’s Current Report on Form 8-K filed with the SEC on November 4, 2025).</w:t>
              </w:r>
            </w:hyperlink>
          </w:p>
        </w:tc>
      </w:tr>
      <w:tr>
        <w:trPr>
          <w:trHeight w:val="315"/>
        </w:trPr>
        <w:tc>
          <w:tcPr>
            <w:tcW w:w="240" w:type="dxa"/>
            <w:vAlign w:val="bottom"/>
            <w:tcBorders>
              <w:top w:val="single" w:sz="8" w:color="0000EE"/>
              <w:bottom w:val="single" w:sz="8" w:color="0000EE"/>
            </w:tcBorders>
          </w:tcPr>
          <w:p>
            <w:pPr>
              <w:spacing w:after="0"/>
              <w:rPr>
                <w:rFonts w:ascii="Times New Roman" w:cs="Times New Roman" w:eastAsia="Times New Roman" w:hAnsi="Times New Roman"/>
                <w:sz w:val="14"/>
                <w:szCs w:val="14"/>
                <w:color w:val="0000EE"/>
                <w:w w:val="89"/>
              </w:rPr>
            </w:pPr>
            <w:hyperlink r:id="rId84">
              <w:r>
                <w:rPr>
                  <w:rFonts w:ascii="Times New Roman" w:cs="Times New Roman" w:eastAsia="Times New Roman" w:hAnsi="Times New Roman"/>
                  <w:sz w:val="14"/>
                  <w:szCs w:val="14"/>
                  <w:color w:val="0000EE"/>
                  <w:w w:val="89"/>
                </w:rPr>
                <w:t>4.</w:t>
              </w:r>
              <w:r>
                <w:rPr>
                  <w:rFonts w:ascii="Times New Roman" w:cs="Times New Roman" w:eastAsia="Times New Roman" w:hAnsi="Times New Roman"/>
                  <w:sz w:val="14"/>
                  <w:szCs w:val="14"/>
                  <w:u w:val="single" w:color="auto"/>
                  <w:color w:val="0000EE"/>
                  <w:w w:val="89"/>
                </w:rPr>
                <w:t>31</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8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4"/>
                <w:szCs w:val="14"/>
                <w:color w:val="0000EE"/>
                <w:w w:val="99"/>
              </w:rPr>
            </w:pPr>
            <w:hyperlink r:id="rId84">
              <w:r>
                <w:rPr>
                  <w:rFonts w:ascii="Times New Roman" w:cs="Times New Roman" w:eastAsia="Times New Roman" w:hAnsi="Times New Roman"/>
                  <w:sz w:val="14"/>
                  <w:szCs w:val="14"/>
                  <w:color w:val="0000EE"/>
                  <w:w w:val="99"/>
                </w:rPr>
                <w:t>Form of Warrant (incorporated by reference to Exhibit 4.1 to the Company’s Current Report on Form 8-K filed with the SEC on February 25, 2026).</w:t>
              </w:r>
            </w:hyperlink>
          </w:p>
        </w:tc>
        <w:tc>
          <w:tcPr>
            <w:tcW w:w="1840" w:type="dxa"/>
            <w:vAlign w:val="bottom"/>
            <w:tcBorders>
              <w:top w:val="single" w:sz="8" w:color="0000EE"/>
            </w:tcBorders>
            <w:gridSpan w:val="5"/>
          </w:tcPr>
          <w:p>
            <w:pPr>
              <w:spacing w:after="0"/>
              <w:rPr>
                <w:sz w:val="24"/>
                <w:szCs w:val="24"/>
                <w:color w:val="auto"/>
              </w:rPr>
            </w:pPr>
          </w:p>
        </w:tc>
        <w:tc>
          <w:tcPr>
            <w:tcW w:w="240" w:type="dxa"/>
            <w:vAlign w:val="bottom"/>
          </w:tcPr>
          <w:p>
            <w:pPr>
              <w:spacing w:after="0"/>
              <w:rPr>
                <w:sz w:val="24"/>
                <w:szCs w:val="24"/>
                <w:color w:val="auto"/>
              </w:rPr>
            </w:pPr>
          </w:p>
        </w:tc>
      </w:tr>
      <w:tr>
        <w:trPr>
          <w:trHeight w:val="315"/>
        </w:trPr>
        <w:tc>
          <w:tcPr>
            <w:tcW w:w="240" w:type="dxa"/>
            <w:vAlign w:val="bottom"/>
          </w:tcPr>
          <w:p>
            <w:pPr>
              <w:spacing w:after="0"/>
              <w:rPr>
                <w:rFonts w:ascii="Times New Roman" w:cs="Times New Roman" w:eastAsia="Times New Roman" w:hAnsi="Times New Roman"/>
                <w:sz w:val="14"/>
                <w:szCs w:val="14"/>
                <w:color w:val="0000EE"/>
                <w:w w:val="89"/>
              </w:rPr>
            </w:pPr>
            <w:hyperlink r:id="rId85">
              <w:r>
                <w:rPr>
                  <w:rFonts w:ascii="Times New Roman" w:cs="Times New Roman" w:eastAsia="Times New Roman" w:hAnsi="Times New Roman"/>
                  <w:sz w:val="14"/>
                  <w:szCs w:val="14"/>
                  <w:color w:val="0000EE"/>
                  <w:w w:val="89"/>
                </w:rPr>
                <w:t>4.</w:t>
              </w:r>
              <w:r>
                <w:rPr>
                  <w:rFonts w:ascii="Times New Roman" w:cs="Times New Roman" w:eastAsia="Times New Roman" w:hAnsi="Times New Roman"/>
                  <w:sz w:val="14"/>
                  <w:szCs w:val="14"/>
                  <w:u w:val="single" w:color="auto"/>
                  <w:color w:val="0000EE"/>
                  <w:w w:val="89"/>
                </w:rPr>
                <w:t>32</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360" w:type="dxa"/>
            <w:vAlign w:val="bottom"/>
            <w:gridSpan w:val="15"/>
          </w:tcPr>
          <w:p>
            <w:pPr>
              <w:spacing w:after="0"/>
              <w:rPr>
                <w:rFonts w:ascii="Times New Roman" w:cs="Times New Roman" w:eastAsia="Times New Roman" w:hAnsi="Times New Roman"/>
                <w:sz w:val="14"/>
                <w:szCs w:val="14"/>
                <w:color w:val="0000EE"/>
              </w:rPr>
            </w:pPr>
            <w:hyperlink r:id="rId85">
              <w:r>
                <w:rPr>
                  <w:rFonts w:ascii="Times New Roman" w:cs="Times New Roman" w:eastAsia="Times New Roman" w:hAnsi="Times New Roman"/>
                  <w:sz w:val="14"/>
                  <w:szCs w:val="14"/>
                  <w:color w:val="0000EE"/>
                </w:rPr>
                <w:t>Form of Placement Agent Warrant (incorporated by reference to Exhibit 4.2 to the Company’s Current Report on Form 8-K filed with the SEC on February 25, 2026).</w:t>
              </w:r>
            </w:hyperlink>
          </w:p>
        </w:tc>
      </w:tr>
      <w:tr>
        <w:trPr>
          <w:trHeight w:val="315"/>
        </w:trPr>
        <w:tc>
          <w:tcPr>
            <w:tcW w:w="2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89"/>
              </w:rPr>
              <w:t>5.</w:t>
            </w:r>
            <w:r>
              <w:rPr>
                <w:rFonts w:ascii="Times New Roman" w:cs="Times New Roman" w:eastAsia="Times New Roman" w:hAnsi="Times New Roman"/>
                <w:sz w:val="14"/>
                <w:szCs w:val="14"/>
                <w:u w:val="single" w:color="auto"/>
                <w:color w:val="0000EE"/>
                <w:w w:val="89"/>
              </w:rPr>
              <w:t>1*</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6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4"/>
                <w:szCs w:val="14"/>
                <w:color w:val="0000EE"/>
              </w:rPr>
              <w:t>Opinion of Haynes and Boone, LLP.</w:t>
            </w:r>
          </w:p>
        </w:tc>
        <w:tc>
          <w:tcPr>
            <w:tcW w:w="1100" w:type="dxa"/>
            <w:vAlign w:val="bottom"/>
            <w:gridSpan w:val="4"/>
          </w:tcPr>
          <w:p>
            <w:pPr>
              <w:spacing w:after="0"/>
              <w:rPr>
                <w:sz w:val="24"/>
                <w:szCs w:val="24"/>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r>
      <w:tr>
        <w:trPr>
          <w:trHeight w:val="315"/>
        </w:trPr>
        <w:tc>
          <w:tcPr>
            <w:tcW w:w="920" w:type="dxa"/>
            <w:vAlign w:val="bottom"/>
            <w:gridSpan w:val="3"/>
          </w:tcPr>
          <w:p>
            <w:pPr>
              <w:spacing w:after="0"/>
              <w:rPr>
                <w:rFonts w:ascii="Times New Roman" w:cs="Times New Roman" w:eastAsia="Times New Roman" w:hAnsi="Times New Roman"/>
                <w:sz w:val="14"/>
                <w:szCs w:val="14"/>
                <w:color w:val="0000EE"/>
              </w:rPr>
            </w:pPr>
            <w:hyperlink r:id="rId86">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w:t>
              </w:r>
            </w:hyperlink>
          </w:p>
        </w:tc>
        <w:tc>
          <w:tcPr>
            <w:tcW w:w="10360" w:type="dxa"/>
            <w:vAlign w:val="bottom"/>
            <w:gridSpan w:val="15"/>
          </w:tcPr>
          <w:p>
            <w:pPr>
              <w:spacing w:after="0"/>
              <w:rPr>
                <w:rFonts w:ascii="Times New Roman" w:cs="Times New Roman" w:eastAsia="Times New Roman" w:hAnsi="Times New Roman"/>
                <w:sz w:val="14"/>
                <w:szCs w:val="14"/>
                <w:color w:val="0000EE"/>
              </w:rPr>
            </w:pPr>
            <w:hyperlink r:id="rId86">
              <w:r>
                <w:rPr>
                  <w:rFonts w:ascii="Times New Roman" w:cs="Times New Roman" w:eastAsia="Times New Roman" w:hAnsi="Times New Roman"/>
                  <w:sz w:val="14"/>
                  <w:szCs w:val="14"/>
                  <w:color w:val="0000EE"/>
                </w:rPr>
                <w:t>Securities Purchase Agreement, dated February 24, 2026, by and among the Company and the investor signatory thereto (incorporated by reference to Exhibit 10.1 to the Company’s</w:t>
              </w:r>
            </w:hyperlink>
          </w:p>
        </w:tc>
      </w:tr>
      <w:tr>
        <w:trPr>
          <w:trHeight w:val="147"/>
        </w:trPr>
        <w:tc>
          <w:tcPr>
            <w:tcW w:w="2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600" w:type="dxa"/>
            <w:vAlign w:val="bottom"/>
          </w:tcPr>
          <w:p>
            <w:pPr>
              <w:spacing w:after="0"/>
              <w:rPr>
                <w:sz w:val="12"/>
                <w:szCs w:val="12"/>
                <w:color w:val="auto"/>
              </w:rPr>
            </w:pPr>
          </w:p>
        </w:tc>
        <w:tc>
          <w:tcPr>
            <w:tcW w:w="3980" w:type="dxa"/>
            <w:vAlign w:val="bottom"/>
            <w:tcBorders>
              <w:top w:val="single" w:sz="8" w:color="0000EE"/>
              <w:bottom w:val="single" w:sz="8" w:color="0000EE"/>
            </w:tcBorders>
            <w:gridSpan w:val="7"/>
          </w:tcPr>
          <w:p>
            <w:pPr>
              <w:spacing w:after="0" w:line="147" w:lineRule="exact"/>
              <w:rPr>
                <w:rFonts w:ascii="Times New Roman" w:cs="Times New Roman" w:eastAsia="Times New Roman" w:hAnsi="Times New Roman"/>
                <w:sz w:val="14"/>
                <w:szCs w:val="14"/>
                <w:color w:val="0000EE"/>
                <w:w w:val="98"/>
              </w:rPr>
            </w:pPr>
            <w:hyperlink r:id="rId86">
              <w:r>
                <w:rPr>
                  <w:rFonts w:ascii="Times New Roman" w:cs="Times New Roman" w:eastAsia="Times New Roman" w:hAnsi="Times New Roman"/>
                  <w:sz w:val="14"/>
                  <w:szCs w:val="14"/>
                  <w:color w:val="0000EE"/>
                  <w:w w:val="98"/>
                </w:rPr>
                <w:t>Current Report on Form 8-K filed with the SEC on February 25, 2026).</w:t>
              </w:r>
            </w:hyperlink>
          </w:p>
        </w:tc>
        <w:tc>
          <w:tcPr>
            <w:tcW w:w="6380" w:type="dxa"/>
            <w:vAlign w:val="bottom"/>
            <w:tcBorders>
              <w:top w:val="single" w:sz="8" w:color="0000EE"/>
            </w:tcBorders>
            <w:gridSpan w:val="8"/>
          </w:tcPr>
          <w:p>
            <w:pPr>
              <w:spacing w:after="0"/>
              <w:rPr>
                <w:sz w:val="12"/>
                <w:szCs w:val="12"/>
                <w:color w:val="auto"/>
              </w:rPr>
            </w:pPr>
          </w:p>
        </w:tc>
      </w:tr>
      <w:tr>
        <w:trPr>
          <w:trHeight w:val="315"/>
        </w:trPr>
        <w:tc>
          <w:tcPr>
            <w:tcW w:w="240" w:type="dxa"/>
            <w:vAlign w:val="bottom"/>
            <w:tcBorders>
              <w:bottom w:val="single" w:sz="8" w:color="0000EE"/>
            </w:tcBorders>
          </w:tcPr>
          <w:p>
            <w:pPr>
              <w:spacing w:after="0"/>
              <w:rPr>
                <w:rFonts w:ascii="Times New Roman" w:cs="Times New Roman" w:eastAsia="Times New Roman" w:hAnsi="Times New Roman"/>
                <w:sz w:val="14"/>
                <w:szCs w:val="14"/>
                <w:color w:val="0000EE"/>
                <w:w w:val="89"/>
              </w:rPr>
            </w:pPr>
            <w:hyperlink r:id="rId87">
              <w:r>
                <w:rPr>
                  <w:rFonts w:ascii="Times New Roman" w:cs="Times New Roman" w:eastAsia="Times New Roman" w:hAnsi="Times New Roman"/>
                  <w:sz w:val="14"/>
                  <w:szCs w:val="14"/>
                  <w:color w:val="0000EE"/>
                  <w:w w:val="89"/>
                </w:rPr>
                <w:t>10.</w:t>
              </w:r>
              <w:r>
                <w:rPr>
                  <w:rFonts w:ascii="Times New Roman" w:cs="Times New Roman" w:eastAsia="Times New Roman" w:hAnsi="Times New Roman"/>
                  <w:sz w:val="14"/>
                  <w:szCs w:val="14"/>
                  <w:u w:val="single" w:color="auto"/>
                  <w:color w:val="0000EE"/>
                  <w:w w:val="89"/>
                </w:rPr>
                <w:t>2</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4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w w:val="99"/>
              </w:rPr>
            </w:pPr>
            <w:hyperlink r:id="rId87">
              <w:r>
                <w:rPr>
                  <w:rFonts w:ascii="Times New Roman" w:cs="Times New Roman" w:eastAsia="Times New Roman" w:hAnsi="Times New Roman"/>
                  <w:sz w:val="14"/>
                  <w:szCs w:val="14"/>
                  <w:color w:val="0000EE"/>
                  <w:w w:val="99"/>
                </w:rPr>
                <w:t>Form of Registration Rights Agreement (incorporated by reference to Exhibit 10.2 to the Company’s Current Report on Form 8-K filed with the SEC on February 25, 2026).</w:t>
              </w:r>
            </w:hyperlink>
          </w:p>
        </w:tc>
        <w:tc>
          <w:tcPr>
            <w:tcW w:w="720" w:type="dxa"/>
            <w:vAlign w:val="bottom"/>
            <w:gridSpan w:val="3"/>
          </w:tcPr>
          <w:p>
            <w:pPr>
              <w:spacing w:after="0"/>
              <w:rPr>
                <w:sz w:val="24"/>
                <w:szCs w:val="24"/>
                <w:color w:val="auto"/>
              </w:rPr>
            </w:pPr>
          </w:p>
        </w:tc>
      </w:tr>
      <w:tr>
        <w:trPr>
          <w:trHeight w:val="315"/>
        </w:trPr>
        <w:tc>
          <w:tcPr>
            <w:tcW w:w="240" w:type="dxa"/>
            <w:vAlign w:val="bottom"/>
            <w:tcBorders>
              <w:bottom w:val="single" w:sz="8" w:color="0000EE"/>
            </w:tcBorders>
          </w:tcPr>
          <w:p>
            <w:pPr>
              <w:spacing w:after="0"/>
              <w:rPr>
                <w:rFonts w:ascii="Times New Roman" w:cs="Times New Roman" w:eastAsia="Times New Roman" w:hAnsi="Times New Roman"/>
                <w:sz w:val="14"/>
                <w:szCs w:val="14"/>
                <w:color w:val="0000EE"/>
                <w:w w:val="89"/>
              </w:rPr>
            </w:pPr>
            <w:hyperlink r:id="rId88">
              <w:r>
                <w:rPr>
                  <w:rFonts w:ascii="Times New Roman" w:cs="Times New Roman" w:eastAsia="Times New Roman" w:hAnsi="Times New Roman"/>
                  <w:sz w:val="14"/>
                  <w:szCs w:val="14"/>
                  <w:color w:val="0000EE"/>
                  <w:w w:val="89"/>
                </w:rPr>
                <w:t>10.</w:t>
              </w:r>
              <w:r>
                <w:rPr>
                  <w:rFonts w:ascii="Times New Roman" w:cs="Times New Roman" w:eastAsia="Times New Roman" w:hAnsi="Times New Roman"/>
                  <w:sz w:val="14"/>
                  <w:szCs w:val="14"/>
                  <w:u w:val="single" w:color="auto"/>
                  <w:color w:val="0000EE"/>
                  <w:w w:val="89"/>
                </w:rPr>
                <w:t>3</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360" w:type="dxa"/>
            <w:vAlign w:val="bottom"/>
            <w:tcBorders>
              <w:bottom w:val="single" w:sz="8" w:color="0000EE"/>
            </w:tcBorders>
            <w:gridSpan w:val="15"/>
          </w:tcPr>
          <w:p>
            <w:pPr>
              <w:spacing w:after="0"/>
              <w:rPr>
                <w:rFonts w:ascii="Times New Roman" w:cs="Times New Roman" w:eastAsia="Times New Roman" w:hAnsi="Times New Roman"/>
                <w:sz w:val="14"/>
                <w:szCs w:val="14"/>
                <w:color w:val="0000EE"/>
              </w:rPr>
            </w:pPr>
            <w:hyperlink r:id="rId88">
              <w:r>
                <w:rPr>
                  <w:rFonts w:ascii="Times New Roman" w:cs="Times New Roman" w:eastAsia="Times New Roman" w:hAnsi="Times New Roman"/>
                  <w:sz w:val="14"/>
                  <w:szCs w:val="14"/>
                  <w:color w:val="0000EE"/>
                </w:rPr>
                <w:t>Placement Agency Agreement, dated February 24, 2026, by and between the Company and Dominari Securities LLC (incorporated by reference to Exhibit 10.3 to the Company’s</w:t>
              </w:r>
            </w:hyperlink>
          </w:p>
        </w:tc>
      </w:tr>
      <w:tr>
        <w:trPr>
          <w:trHeight w:val="147"/>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980" w:type="dxa"/>
            <w:vAlign w:val="bottom"/>
            <w:tcBorders>
              <w:bottom w:val="single" w:sz="8" w:color="0000EE"/>
            </w:tcBorders>
            <w:gridSpan w:val="7"/>
          </w:tcPr>
          <w:p>
            <w:pPr>
              <w:spacing w:after="0" w:line="147" w:lineRule="exact"/>
              <w:rPr>
                <w:rFonts w:ascii="Times New Roman" w:cs="Times New Roman" w:eastAsia="Times New Roman" w:hAnsi="Times New Roman"/>
                <w:sz w:val="14"/>
                <w:szCs w:val="14"/>
                <w:color w:val="0000EE"/>
                <w:w w:val="98"/>
              </w:rPr>
            </w:pPr>
            <w:hyperlink r:id="rId88">
              <w:r>
                <w:rPr>
                  <w:rFonts w:ascii="Times New Roman" w:cs="Times New Roman" w:eastAsia="Times New Roman" w:hAnsi="Times New Roman"/>
                  <w:sz w:val="14"/>
                  <w:szCs w:val="14"/>
                  <w:color w:val="0000EE"/>
                  <w:w w:val="98"/>
                </w:rPr>
                <w:t>Current Report on Form 8-K filed with the SEC on February 25, 2026).</w:t>
              </w:r>
            </w:hyperlink>
          </w:p>
        </w:tc>
        <w:tc>
          <w:tcPr>
            <w:tcW w:w="6380" w:type="dxa"/>
            <w:vAlign w:val="bottom"/>
            <w:gridSpan w:val="8"/>
          </w:tcPr>
          <w:p>
            <w:pPr>
              <w:spacing w:after="0"/>
              <w:rPr>
                <w:sz w:val="12"/>
                <w:szCs w:val="12"/>
                <w:color w:val="auto"/>
              </w:rPr>
            </w:pPr>
          </w:p>
        </w:tc>
      </w:tr>
      <w:tr>
        <w:trPr>
          <w:trHeight w:val="315"/>
        </w:trPr>
        <w:tc>
          <w:tcPr>
            <w:tcW w:w="240" w:type="dxa"/>
            <w:vAlign w:val="bottom"/>
            <w:tcBorders>
              <w:bottom w:val="single" w:sz="8" w:color="0000EE"/>
            </w:tcBorders>
          </w:tcPr>
          <w:p>
            <w:pPr>
              <w:spacing w:after="0"/>
              <w:rPr>
                <w:rFonts w:ascii="Times New Roman" w:cs="Times New Roman" w:eastAsia="Times New Roman" w:hAnsi="Times New Roman"/>
                <w:sz w:val="14"/>
                <w:szCs w:val="14"/>
                <w:color w:val="0000EE"/>
                <w:w w:val="89"/>
              </w:rPr>
            </w:pPr>
            <w:hyperlink r:id="rId89">
              <w:r>
                <w:rPr>
                  <w:rFonts w:ascii="Times New Roman" w:cs="Times New Roman" w:eastAsia="Times New Roman" w:hAnsi="Times New Roman"/>
                  <w:sz w:val="14"/>
                  <w:szCs w:val="14"/>
                  <w:color w:val="0000EE"/>
                  <w:w w:val="89"/>
                </w:rPr>
                <w:t>10.</w:t>
              </w:r>
              <w:r>
                <w:rPr>
                  <w:rFonts w:ascii="Times New Roman" w:cs="Times New Roman" w:eastAsia="Times New Roman" w:hAnsi="Times New Roman"/>
                  <w:sz w:val="14"/>
                  <w:szCs w:val="14"/>
                  <w:u w:val="single" w:color="auto"/>
                  <w:color w:val="0000EE"/>
                  <w:w w:val="89"/>
                </w:rPr>
                <w:t>4</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6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w w:val="99"/>
              </w:rPr>
            </w:pPr>
            <w:hyperlink r:id="rId89">
              <w:r>
                <w:rPr>
                  <w:rFonts w:ascii="Times New Roman" w:cs="Times New Roman" w:eastAsia="Times New Roman" w:hAnsi="Times New Roman"/>
                  <w:sz w:val="14"/>
                  <w:szCs w:val="14"/>
                  <w:color w:val="0000EE"/>
                  <w:w w:val="99"/>
                </w:rPr>
                <w:t>Form of Lock-Up Agreement (incorporated by reference to Exhibit 10.4 to the Company’s Current Report on Form 8-K filed with the SEC on February 25, 2026).</w:t>
              </w:r>
            </w:hyperlink>
          </w:p>
        </w:tc>
        <w:tc>
          <w:tcPr>
            <w:tcW w:w="1300" w:type="dxa"/>
            <w:vAlign w:val="bottom"/>
            <w:gridSpan w:val="5"/>
          </w:tcPr>
          <w:p>
            <w:pPr>
              <w:spacing w:after="0"/>
              <w:rPr>
                <w:sz w:val="24"/>
                <w:szCs w:val="24"/>
                <w:color w:val="auto"/>
              </w:rPr>
            </w:pPr>
          </w:p>
        </w:tc>
      </w:tr>
      <w:tr>
        <w:trPr>
          <w:trHeight w:val="315"/>
        </w:trPr>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0000EE"/>
                <w:w w:val="88"/>
              </w:rPr>
              <w:t>23.</w:t>
            </w:r>
            <w:r>
              <w:rPr>
                <w:rFonts w:ascii="Times New Roman" w:cs="Times New Roman" w:eastAsia="Times New Roman" w:hAnsi="Times New Roman"/>
                <w:sz w:val="14"/>
                <w:szCs w:val="14"/>
                <w:u w:val="single" w:color="auto"/>
                <w:color w:val="0000EE"/>
                <w:w w:val="88"/>
              </w:rPr>
              <w:t>1*</w:t>
            </w:r>
          </w:p>
        </w:tc>
        <w:tc>
          <w:tcPr>
            <w:tcW w:w="600" w:type="dxa"/>
            <w:vAlign w:val="bottom"/>
          </w:tcPr>
          <w:p>
            <w:pPr>
              <w:spacing w:after="0"/>
              <w:rPr>
                <w:sz w:val="24"/>
                <w:szCs w:val="24"/>
                <w:color w:val="auto"/>
              </w:rPr>
            </w:pPr>
          </w:p>
        </w:tc>
        <w:tc>
          <w:tcPr>
            <w:tcW w:w="1036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Consent of Marcum LLP.</w:t>
            </w:r>
          </w:p>
        </w:tc>
      </w:tr>
      <w:tr>
        <w:trPr>
          <w:trHeight w:val="20"/>
        </w:trPr>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920" w:type="dxa"/>
            <w:vAlign w:val="bottom"/>
            <w:gridSpan w:val="9"/>
          </w:tcPr>
          <w:p>
            <w:pPr>
              <w:spacing w:after="0" w:line="20" w:lineRule="exact"/>
              <w:rPr>
                <w:sz w:val="1"/>
                <w:szCs w:val="1"/>
                <w:color w:val="auto"/>
              </w:rPr>
            </w:pPr>
          </w:p>
        </w:tc>
      </w:tr>
      <w:tr>
        <w:trPr>
          <w:trHeight w:val="315"/>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88"/>
              </w:rPr>
              <w:t>23.</w:t>
            </w:r>
            <w:r>
              <w:rPr>
                <w:rFonts w:ascii="Times New Roman" w:cs="Times New Roman" w:eastAsia="Times New Roman" w:hAnsi="Times New Roman"/>
                <w:sz w:val="14"/>
                <w:szCs w:val="14"/>
                <w:u w:val="single" w:color="auto"/>
                <w:color w:val="0000EE"/>
                <w:w w:val="88"/>
              </w:rPr>
              <w:t>2*</w:t>
            </w:r>
          </w:p>
        </w:tc>
        <w:tc>
          <w:tcPr>
            <w:tcW w:w="600" w:type="dxa"/>
            <w:vAlign w:val="bottom"/>
          </w:tcPr>
          <w:p>
            <w:pPr>
              <w:spacing w:after="0"/>
              <w:rPr>
                <w:sz w:val="24"/>
                <w:szCs w:val="24"/>
                <w:color w:val="auto"/>
              </w:rPr>
            </w:pPr>
          </w:p>
        </w:tc>
        <w:tc>
          <w:tcPr>
            <w:tcW w:w="15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w w:val="96"/>
              </w:rPr>
              <w:t>Consent of CBIZ CPAs P.C.</w:t>
            </w:r>
          </w:p>
        </w:tc>
        <w:tc>
          <w:tcPr>
            <w:tcW w:w="8800" w:type="dxa"/>
            <w:vAlign w:val="bottom"/>
            <w:gridSpan w:val="11"/>
          </w:tcPr>
          <w:p>
            <w:pPr>
              <w:spacing w:after="0"/>
              <w:rPr>
                <w:sz w:val="24"/>
                <w:szCs w:val="24"/>
                <w:color w:val="auto"/>
              </w:rPr>
            </w:pPr>
          </w:p>
        </w:tc>
      </w:tr>
      <w:tr>
        <w:trPr>
          <w:trHeight w:val="315"/>
        </w:trPr>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0000EE"/>
                <w:w w:val="88"/>
              </w:rPr>
              <w:t>23.</w:t>
            </w:r>
            <w:r>
              <w:rPr>
                <w:rFonts w:ascii="Times New Roman" w:cs="Times New Roman" w:eastAsia="Times New Roman" w:hAnsi="Times New Roman"/>
                <w:sz w:val="14"/>
                <w:szCs w:val="14"/>
                <w:u w:val="single" w:color="auto"/>
                <w:color w:val="0000EE"/>
                <w:w w:val="88"/>
              </w:rPr>
              <w:t>3*</w:t>
            </w:r>
          </w:p>
        </w:tc>
        <w:tc>
          <w:tcPr>
            <w:tcW w:w="600" w:type="dxa"/>
            <w:vAlign w:val="bottom"/>
          </w:tcPr>
          <w:p>
            <w:pPr>
              <w:spacing w:after="0"/>
              <w:rPr>
                <w:sz w:val="24"/>
                <w:szCs w:val="24"/>
                <w:color w:val="auto"/>
              </w:rPr>
            </w:pPr>
          </w:p>
        </w:tc>
        <w:tc>
          <w:tcPr>
            <w:tcW w:w="1036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Consent of Haynes and Boone, LLP (included in Exhibit 5.1).</w:t>
            </w:r>
          </w:p>
        </w:tc>
      </w:tr>
      <w:tr>
        <w:trPr>
          <w:trHeight w:val="315"/>
        </w:trPr>
        <w:tc>
          <w:tcPr>
            <w:tcW w:w="3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88"/>
              </w:rPr>
              <w:t>24.</w:t>
            </w:r>
            <w:r>
              <w:rPr>
                <w:rFonts w:ascii="Times New Roman" w:cs="Times New Roman" w:eastAsia="Times New Roman" w:hAnsi="Times New Roman"/>
                <w:sz w:val="14"/>
                <w:szCs w:val="14"/>
                <w:u w:val="single" w:color="auto"/>
                <w:color w:val="0000EE"/>
                <w:w w:val="88"/>
              </w:rPr>
              <w:t>1*</w:t>
            </w:r>
          </w:p>
        </w:tc>
        <w:tc>
          <w:tcPr>
            <w:tcW w:w="600" w:type="dxa"/>
            <w:vAlign w:val="bottom"/>
          </w:tcPr>
          <w:p>
            <w:pPr>
              <w:spacing w:after="0"/>
              <w:rPr>
                <w:sz w:val="24"/>
                <w:szCs w:val="24"/>
                <w:color w:val="auto"/>
              </w:rPr>
            </w:pPr>
          </w:p>
        </w:tc>
        <w:tc>
          <w:tcPr>
            <w:tcW w:w="10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6"/>
              </w:rPr>
              <w:t>Power of Attorney.</w:t>
            </w:r>
          </w:p>
        </w:tc>
        <w:tc>
          <w:tcPr>
            <w:tcW w:w="2380" w:type="dxa"/>
            <w:vAlign w:val="bottom"/>
            <w:tcBorders>
              <w:top w:val="single" w:sz="8" w:color="0000EE"/>
            </w:tcBorders>
            <w:gridSpan w:val="4"/>
          </w:tcPr>
          <w:p>
            <w:pPr>
              <w:spacing w:after="0"/>
              <w:rPr>
                <w:sz w:val="24"/>
                <w:szCs w:val="24"/>
                <w:color w:val="auto"/>
              </w:rPr>
            </w:pPr>
          </w:p>
        </w:tc>
        <w:tc>
          <w:tcPr>
            <w:tcW w:w="6920" w:type="dxa"/>
            <w:vAlign w:val="bottom"/>
            <w:gridSpan w:val="9"/>
          </w:tcPr>
          <w:p>
            <w:pPr>
              <w:spacing w:after="0"/>
              <w:rPr>
                <w:sz w:val="24"/>
                <w:szCs w:val="24"/>
                <w:color w:val="auto"/>
              </w:rPr>
            </w:pPr>
          </w:p>
        </w:tc>
      </w:tr>
      <w:tr>
        <w:trPr>
          <w:trHeight w:val="315"/>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9"/>
              </w:rPr>
              <w:t>107*</w:t>
            </w:r>
          </w:p>
        </w:tc>
        <w:tc>
          <w:tcPr>
            <w:tcW w:w="600" w:type="dxa"/>
            <w:vAlign w:val="bottom"/>
          </w:tcPr>
          <w:p>
            <w:pPr>
              <w:spacing w:after="0"/>
              <w:rPr>
                <w:sz w:val="24"/>
                <w:szCs w:val="24"/>
                <w:color w:val="auto"/>
              </w:rPr>
            </w:pPr>
          </w:p>
        </w:tc>
        <w:tc>
          <w:tcPr>
            <w:tcW w:w="9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5"/>
              </w:rPr>
              <w:t>Filing Fee Table.</w:t>
            </w:r>
          </w:p>
        </w:tc>
        <w:tc>
          <w:tcPr>
            <w:tcW w:w="9420" w:type="dxa"/>
            <w:vAlign w:val="bottom"/>
            <w:gridSpan w:val="14"/>
          </w:tcPr>
          <w:p>
            <w:pPr>
              <w:spacing w:after="0"/>
              <w:rPr>
                <w:sz w:val="24"/>
                <w:szCs w:val="24"/>
                <w:color w:val="auto"/>
              </w:rPr>
            </w:pPr>
          </w:p>
        </w:tc>
      </w:tr>
    </w:tbl>
    <w:p>
      <w:pPr>
        <w:spacing w:after="0" w:line="184" w:lineRule="exact"/>
        <w:rPr>
          <w:sz w:val="20"/>
          <w:szCs w:val="20"/>
          <w:color w:val="auto"/>
        </w:rPr>
      </w:pPr>
    </w:p>
    <w:p>
      <w:pPr>
        <w:ind w:left="260" w:hanging="256"/>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94" w:lineRule="exact"/>
        <w:rPr>
          <w:sz w:val="20"/>
          <w:szCs w:val="20"/>
          <w:color w:val="auto"/>
        </w:rPr>
      </w:pPr>
    </w:p>
    <w:p>
      <w:pPr>
        <w:jc w:val="both"/>
        <w:ind w:left="260" w:hanging="256"/>
        <w:spacing w:after="0" w:line="265" w:lineRule="auto"/>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the schedules (and similar attachments) to this exhibit have been omitted in accordance with Item 601(a)(5) of Regulation S-K under the Securities Act because they do not contain information material to an investment or voting decision and that information is not otherwise disclosed in the exhibit or the disclosure document. The registrant hereby agrees to furnish a copy of all omitted schedules (or similar attachments) to the SEC upon its request.</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3435"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0">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76" w:lineRule="exact"/>
        <w:rPr>
          <w:sz w:val="20"/>
          <w:szCs w:val="20"/>
          <w:color w:val="auto"/>
        </w:rPr>
      </w:pPr>
    </w:p>
    <w:p>
      <w:pPr>
        <w:ind w:left="340" w:hanging="336"/>
        <w:spacing w:after="0"/>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73" w:lineRule="exact"/>
        <w:rPr>
          <w:rFonts w:ascii="Times New Roman" w:cs="Times New Roman" w:eastAsia="Times New Roman" w:hAnsi="Times New Roman"/>
          <w:sz w:val="14"/>
          <w:szCs w:val="14"/>
          <w:color w:val="auto"/>
        </w:rPr>
      </w:pPr>
    </w:p>
    <w:p>
      <w:pPr>
        <w:ind w:left="420" w:hanging="354"/>
        <w:spacing w:after="0"/>
        <w:tabs>
          <w:tab w:leader="none" w:pos="42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74" w:lineRule="exact"/>
        <w:rPr>
          <w:sz w:val="20"/>
          <w:szCs w:val="20"/>
          <w:color w:val="auto"/>
        </w:rPr>
      </w:pPr>
    </w:p>
    <w:p>
      <w:pPr>
        <w:ind w:left="340" w:hanging="336"/>
        <w:spacing w:after="0"/>
        <w:tabs>
          <w:tab w:leader="none" w:pos="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173" w:lineRule="exact"/>
        <w:rPr>
          <w:rFonts w:ascii="Times New Roman" w:cs="Times New Roman" w:eastAsia="Times New Roman" w:hAnsi="Times New Roman"/>
          <w:sz w:val="14"/>
          <w:szCs w:val="14"/>
          <w:color w:val="auto"/>
        </w:rPr>
      </w:pPr>
    </w:p>
    <w:p>
      <w:pPr>
        <w:jc w:val="both"/>
        <w:ind w:left="340" w:hanging="336"/>
        <w:spacing w:after="0" w:line="257" w:lineRule="auto"/>
        <w:tabs>
          <w:tab w:leader="none" w:pos="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table in the effective registration statement;</w:t>
      </w:r>
    </w:p>
    <w:p>
      <w:pPr>
        <w:spacing w:after="0" w:line="142" w:lineRule="exact"/>
        <w:rPr>
          <w:sz w:val="20"/>
          <w:szCs w:val="20"/>
          <w:color w:val="auto"/>
        </w:rPr>
      </w:pPr>
    </w:p>
    <w:p>
      <w:pPr>
        <w:jc w:val="both"/>
        <w:ind w:left="400" w:hanging="355"/>
        <w:spacing w:after="0" w:line="259" w:lineRule="auto"/>
        <w:tabs>
          <w:tab w:leader="none" w:pos="4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paragraphs (a)(1)(i), (a)(1)(ii) and (a)(1)(iii) of this section do not apply if the information required to be included in a post-effective amendment by those paragraphs is contained in reports filed with or furnished to the Securities and Exchange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41" w:lineRule="exact"/>
        <w:rPr>
          <w:sz w:val="20"/>
          <w:szCs w:val="20"/>
          <w:color w:val="auto"/>
        </w:rPr>
      </w:pPr>
    </w:p>
    <w:p>
      <w:pPr>
        <w:ind w:left="400" w:hanging="355"/>
        <w:spacing w:after="0" w:line="280" w:lineRule="auto"/>
        <w:tabs>
          <w:tab w:leader="none" w:pos="4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such post- effective amendment shall be deemed to be a new registration statement relating to the securities offered therein, and the offering of such securities at that time shall be deemed to be the initial bona fide offering thereof.</w:t>
      </w:r>
    </w:p>
    <w:p>
      <w:pPr>
        <w:spacing w:after="0" w:line="126" w:lineRule="exact"/>
        <w:rPr>
          <w:rFonts w:ascii="Times New Roman" w:cs="Times New Roman" w:eastAsia="Times New Roman" w:hAnsi="Times New Roman"/>
          <w:sz w:val="14"/>
          <w:szCs w:val="14"/>
          <w:color w:val="auto"/>
        </w:rPr>
      </w:pPr>
    </w:p>
    <w:p>
      <w:pPr>
        <w:ind w:left="400" w:hanging="355"/>
        <w:spacing w:after="0"/>
        <w:tabs>
          <w:tab w:leader="none" w:pos="4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73" w:lineRule="exact"/>
        <w:rPr>
          <w:rFonts w:ascii="Times New Roman" w:cs="Times New Roman" w:eastAsia="Times New Roman" w:hAnsi="Times New Roman"/>
          <w:sz w:val="14"/>
          <w:szCs w:val="14"/>
          <w:color w:val="auto"/>
        </w:rPr>
      </w:pPr>
    </w:p>
    <w:p>
      <w:pPr>
        <w:ind w:left="440" w:hanging="353"/>
        <w:spacing w:after="0"/>
        <w:tabs>
          <w:tab w:leader="none" w:pos="44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w:t>
      </w:r>
    </w:p>
    <w:p>
      <w:pPr>
        <w:spacing w:after="0" w:line="174" w:lineRule="exact"/>
        <w:rPr>
          <w:sz w:val="20"/>
          <w:szCs w:val="20"/>
          <w:color w:val="auto"/>
        </w:rPr>
      </w:pPr>
    </w:p>
    <w:p>
      <w:pPr>
        <w:jc w:val="both"/>
        <w:ind w:left="400" w:hanging="355"/>
        <w:spacing w:after="0" w:line="275" w:lineRule="auto"/>
        <w:tabs>
          <w:tab w:leader="none" w:pos="4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prospectus filed by the registrant pursuant to Rule 424(b)(3) shall be deemed to be part of the registration statement as of the date the filed prospectus was deemed part of and included in the registration statement; and (ii)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3435"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1">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29" w:name="page30"/>
    <w:bookmarkEnd w:id="29"/>
    <w:p>
      <w:pPr>
        <w:jc w:val="both"/>
        <w:ind w:left="400" w:hanging="355"/>
        <w:spacing w:after="0" w:line="259" w:lineRule="auto"/>
        <w:tabs>
          <w:tab w:leader="none" w:pos="4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41" w:lineRule="exact"/>
        <w:rPr>
          <w:sz w:val="20"/>
          <w:szCs w:val="20"/>
          <w:color w:val="auto"/>
        </w:rPr>
      </w:pPr>
    </w:p>
    <w:p>
      <w:pPr>
        <w:ind w:left="400" w:hanging="344"/>
        <w:spacing w:after="0"/>
        <w:tabs>
          <w:tab w:leader="none" w:pos="4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174" w:lineRule="exact"/>
        <w:rPr>
          <w:sz w:val="20"/>
          <w:szCs w:val="20"/>
          <w:color w:val="auto"/>
        </w:rPr>
      </w:pPr>
    </w:p>
    <w:p>
      <w:pPr>
        <w:ind w:left="400" w:hanging="355"/>
        <w:spacing w:after="0"/>
        <w:tabs>
          <w:tab w:leader="none" w:pos="40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173" w:lineRule="exact"/>
        <w:rPr>
          <w:rFonts w:ascii="Times New Roman" w:cs="Times New Roman" w:eastAsia="Times New Roman" w:hAnsi="Times New Roman"/>
          <w:sz w:val="14"/>
          <w:szCs w:val="14"/>
          <w:color w:val="auto"/>
        </w:rPr>
      </w:pPr>
    </w:p>
    <w:p>
      <w:pPr>
        <w:ind w:left="400" w:hanging="355"/>
        <w:spacing w:after="0" w:line="280" w:lineRule="auto"/>
        <w:tabs>
          <w:tab w:leader="none" w:pos="40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126" w:lineRule="exact"/>
        <w:rPr>
          <w:rFonts w:ascii="Times New Roman" w:cs="Times New Roman" w:eastAsia="Times New Roman" w:hAnsi="Times New Roman"/>
          <w:sz w:val="14"/>
          <w:szCs w:val="14"/>
          <w:color w:val="auto"/>
        </w:rPr>
      </w:pPr>
    </w:p>
    <w:p>
      <w:pPr>
        <w:ind w:left="420" w:hanging="343"/>
        <w:spacing w:after="0"/>
        <w:tabs>
          <w:tab w:leader="none" w:pos="420" w:val="left"/>
        </w:tabs>
        <w:numPr>
          <w:ilvl w:val="2"/>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73" w:lineRule="exact"/>
        <w:rPr>
          <w:rFonts w:ascii="Times New Roman" w:cs="Times New Roman" w:eastAsia="Times New Roman" w:hAnsi="Times New Roman"/>
          <w:sz w:val="14"/>
          <w:szCs w:val="14"/>
          <w:color w:val="auto"/>
        </w:rPr>
      </w:pPr>
    </w:p>
    <w:p>
      <w:pPr>
        <w:jc w:val="both"/>
        <w:ind w:left="340" w:hanging="336"/>
        <w:spacing w:after="0" w:line="259" w:lineRule="auto"/>
        <w:tabs>
          <w:tab w:leader="none" w:pos="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1" w:lineRule="exact"/>
        <w:rPr>
          <w:rFonts w:ascii="Times New Roman" w:cs="Times New Roman" w:eastAsia="Times New Roman" w:hAnsi="Times New Roman"/>
          <w:sz w:val="14"/>
          <w:szCs w:val="14"/>
          <w:color w:val="auto"/>
        </w:rPr>
      </w:pPr>
    </w:p>
    <w:p>
      <w:pPr>
        <w:jc w:val="both"/>
        <w:ind w:left="340" w:hanging="336"/>
        <w:spacing w:after="0" w:line="255" w:lineRule="auto"/>
        <w:tabs>
          <w:tab w:leader="none" w:pos="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3435"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2">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6" w:lineRule="exact"/>
        <w:rPr>
          <w:sz w:val="20"/>
          <w:szCs w:val="20"/>
          <w:color w:val="auto"/>
        </w:rPr>
      </w:pPr>
    </w:p>
    <w:p>
      <w:pPr>
        <w:jc w:val="both"/>
        <w:ind w:firstLine="502"/>
        <w:spacing w:after="0" w:line="280"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New York, New York, on April 1, 2026.</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00" w:type="dxa"/>
            <w:vAlign w:val="bottom"/>
          </w:tcPr>
          <w:p>
            <w:pPr>
              <w:spacing w:after="0"/>
              <w:rPr>
                <w:sz w:val="15"/>
                <w:szCs w:val="15"/>
                <w:color w:val="auto"/>
              </w:rPr>
            </w:pPr>
          </w:p>
        </w:tc>
        <w:tc>
          <w:tcPr>
            <w:tcW w:w="7880" w:type="dxa"/>
            <w:vAlign w:val="bottom"/>
            <w:gridSpan w:val="2"/>
          </w:tcPr>
          <w:p>
            <w:pPr>
              <w:ind w:left="2240"/>
              <w:spacing w:after="0"/>
              <w:rPr>
                <w:sz w:val="20"/>
                <w:szCs w:val="20"/>
                <w:color w:val="auto"/>
              </w:rPr>
            </w:pPr>
            <w:r>
              <w:rPr>
                <w:rFonts w:ascii="Times New Roman" w:cs="Times New Roman" w:eastAsia="Times New Roman" w:hAnsi="Times New Roman"/>
                <w:sz w:val="14"/>
                <w:szCs w:val="14"/>
                <w:color w:val="auto"/>
              </w:rPr>
              <w:t>XWELL, INC.</w:t>
            </w:r>
          </w:p>
        </w:tc>
      </w:tr>
      <w:tr>
        <w:trPr>
          <w:trHeight w:val="334"/>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Dated: April 1, 2026</w:t>
            </w:r>
          </w:p>
        </w:tc>
        <w:tc>
          <w:tcPr>
            <w:tcW w:w="2820" w:type="dxa"/>
            <w:vAlign w:val="bottom"/>
          </w:tcPr>
          <w:p>
            <w:pPr>
              <w:ind w:left="2240"/>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Ezra T. Ernst</w:t>
            </w:r>
          </w:p>
        </w:tc>
      </w:tr>
      <w:tr>
        <w:trPr>
          <w:trHeight w:val="143"/>
        </w:trPr>
        <w:tc>
          <w:tcPr>
            <w:tcW w:w="3400" w:type="dxa"/>
            <w:vAlign w:val="bottom"/>
          </w:tcPr>
          <w:p>
            <w:pPr>
              <w:spacing w:after="0"/>
              <w:rPr>
                <w:sz w:val="12"/>
                <w:szCs w:val="12"/>
                <w:color w:val="auto"/>
              </w:rPr>
            </w:pPr>
          </w:p>
        </w:tc>
        <w:tc>
          <w:tcPr>
            <w:tcW w:w="2820" w:type="dxa"/>
            <w:vAlign w:val="bottom"/>
          </w:tcPr>
          <w:p>
            <w:pPr>
              <w:ind w:left="2240"/>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Ezra Ernst</w:t>
            </w:r>
          </w:p>
        </w:tc>
      </w:tr>
      <w:tr>
        <w:trPr>
          <w:trHeight w:val="182"/>
        </w:trPr>
        <w:tc>
          <w:tcPr>
            <w:tcW w:w="3400" w:type="dxa"/>
            <w:vAlign w:val="bottom"/>
          </w:tcPr>
          <w:p>
            <w:pPr>
              <w:spacing w:after="0"/>
              <w:rPr>
                <w:sz w:val="15"/>
                <w:szCs w:val="15"/>
                <w:color w:val="auto"/>
              </w:rPr>
            </w:pPr>
          </w:p>
        </w:tc>
        <w:tc>
          <w:tcPr>
            <w:tcW w:w="2820" w:type="dxa"/>
            <w:vAlign w:val="bottom"/>
          </w:tcPr>
          <w:p>
            <w:pPr>
              <w:ind w:left="2240"/>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bl>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6" w:lineRule="exact"/>
        <w:rPr>
          <w:sz w:val="20"/>
          <w:szCs w:val="20"/>
          <w:color w:val="auto"/>
        </w:rPr>
      </w:pPr>
    </w:p>
    <w:p>
      <w:pPr>
        <w:jc w:val="both"/>
        <w:ind w:firstLine="502"/>
        <w:spacing w:after="0" w:line="255" w:lineRule="auto"/>
        <w:rPr>
          <w:sz w:val="20"/>
          <w:szCs w:val="20"/>
          <w:color w:val="auto"/>
        </w:rPr>
      </w:pPr>
      <w:r>
        <w:rPr>
          <w:rFonts w:ascii="Times New Roman" w:cs="Times New Roman" w:eastAsia="Times New Roman" w:hAnsi="Times New Roman"/>
          <w:sz w:val="14"/>
          <w:szCs w:val="14"/>
          <w:color w:val="auto"/>
        </w:rPr>
        <w:t>Each person whose signature appears below hereby appoints Ezra T. Ernst as his or her true and lawful attorney-in-fact, with full power of substitution, and with the authority to execute in the name of each such person, any and all amendments (including without limitation, post-effective amendments) to this registration statement on Form S-3, to sign any and all additional registration statements relating to the same offering of securities as this registration statement that are filed pursuant to Rule 462(b) of the Securities Act of 1933, and to file such registration statements with the Securities and Exchange Commission, together with any exhibits thereto and other documents therewith, necessary or advisable to enable the registrant to comply with the Securities Act of 1933, and any rules, regulations and requirements of the Securities and Exchange Commission in respect thereof, which amendments may make such other changes in the registration statement as the aforesaid attorney-in-fact executing the same deems appropriate.</w:t>
      </w:r>
    </w:p>
    <w:p>
      <w:pPr>
        <w:spacing w:after="0" w:line="1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in the capacities and on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6"/>
                <w:szCs w:val="16"/>
                <w:color w:val="auto"/>
              </w:rPr>
            </w:pPr>
          </w:p>
        </w:tc>
        <w:tc>
          <w:tcPr>
            <w:tcW w:w="5640" w:type="dxa"/>
            <w:vAlign w:val="bottom"/>
            <w:tcBorders>
              <w:bottom w:val="single" w:sz="8" w:color="auto"/>
            </w:tcBorders>
          </w:tcPr>
          <w:p>
            <w:pPr>
              <w:ind w:left="26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r>
      <w:tr>
        <w:trPr>
          <w:trHeight w:val="330"/>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Ezra T. Ernst</w:t>
            </w:r>
          </w:p>
        </w:tc>
        <w:tc>
          <w:tcPr>
            <w:tcW w:w="60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April 1, 2026</w:t>
            </w:r>
          </w:p>
        </w:tc>
      </w:tr>
      <w:tr>
        <w:trPr>
          <w:trHeight w:val="173"/>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Ezra T. Ernst</w:t>
            </w:r>
          </w:p>
        </w:tc>
        <w:tc>
          <w:tcPr>
            <w:tcW w:w="60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2020" w:type="dxa"/>
            <w:vAlign w:val="bottom"/>
          </w:tcPr>
          <w:p>
            <w:pPr>
              <w:spacing w:after="0"/>
              <w:rPr>
                <w:sz w:val="15"/>
                <w:szCs w:val="15"/>
                <w:color w:val="auto"/>
              </w:rPr>
            </w:pPr>
          </w:p>
        </w:tc>
      </w:tr>
      <w:tr>
        <w:trPr>
          <w:trHeight w:val="320"/>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Thomas Ian Brown</w:t>
            </w:r>
          </w:p>
        </w:tc>
        <w:tc>
          <w:tcPr>
            <w:tcW w:w="60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Chief Financial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April 1, 2026</w:t>
            </w:r>
          </w:p>
        </w:tc>
      </w:tr>
      <w:tr>
        <w:trPr>
          <w:trHeight w:val="173"/>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Thomas Ian Brown</w:t>
            </w:r>
          </w:p>
        </w:tc>
        <w:tc>
          <w:tcPr>
            <w:tcW w:w="60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(Principal Financial Officer and Principal Accounting Officer)</w:t>
            </w:r>
          </w:p>
        </w:tc>
        <w:tc>
          <w:tcPr>
            <w:tcW w:w="2020" w:type="dxa"/>
            <w:vAlign w:val="bottom"/>
          </w:tcPr>
          <w:p>
            <w:pPr>
              <w:spacing w:after="0"/>
              <w:rPr>
                <w:sz w:val="15"/>
                <w:szCs w:val="15"/>
                <w:color w:val="auto"/>
              </w:rPr>
            </w:pPr>
          </w:p>
        </w:tc>
      </w:tr>
      <w:tr>
        <w:trPr>
          <w:trHeight w:val="320"/>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Bruce T. Bernstein</w:t>
            </w:r>
          </w:p>
        </w:tc>
        <w:tc>
          <w:tcPr>
            <w:tcW w:w="60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Chairman of the Board of Directors</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April 1, 2026</w:t>
            </w:r>
          </w:p>
        </w:tc>
      </w:tr>
      <w:tr>
        <w:trPr>
          <w:trHeight w:val="173"/>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Bruce T. Bernstein</w:t>
            </w:r>
          </w:p>
        </w:tc>
        <w:tc>
          <w:tcPr>
            <w:tcW w:w="2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320"/>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Robert Weinstein</w:t>
            </w:r>
          </w:p>
        </w:tc>
        <w:tc>
          <w:tcPr>
            <w:tcW w:w="60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April 1, 2026</w:t>
            </w:r>
          </w:p>
        </w:tc>
      </w:tr>
      <w:tr>
        <w:trPr>
          <w:trHeight w:val="173"/>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Robert Weinstein</w:t>
            </w:r>
          </w:p>
        </w:tc>
        <w:tc>
          <w:tcPr>
            <w:tcW w:w="2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320"/>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Michael Lebowitz</w:t>
            </w:r>
          </w:p>
        </w:tc>
        <w:tc>
          <w:tcPr>
            <w:tcW w:w="60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April 1, 2026</w:t>
            </w:r>
          </w:p>
        </w:tc>
      </w:tr>
      <w:tr>
        <w:trPr>
          <w:trHeight w:val="173"/>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Michael Lebowitz</w:t>
            </w:r>
          </w:p>
        </w:tc>
        <w:tc>
          <w:tcPr>
            <w:tcW w:w="2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320"/>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Gaëlle Wizenberg</w:t>
            </w:r>
          </w:p>
        </w:tc>
        <w:tc>
          <w:tcPr>
            <w:tcW w:w="60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April 1, 2026</w:t>
            </w:r>
          </w:p>
        </w:tc>
      </w:tr>
      <w:tr>
        <w:trPr>
          <w:trHeight w:val="173"/>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Gaëlle Wizenberg</w:t>
            </w:r>
          </w:p>
        </w:tc>
        <w:tc>
          <w:tcPr>
            <w:tcW w:w="2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487"/>
        </w:trPr>
        <w:tc>
          <w:tcPr>
            <w:tcW w:w="3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gridSpan w:val="2"/>
          </w:tcPr>
          <w:p>
            <w:pPr>
              <w:ind w:left="2140"/>
              <w:spacing w:after="0"/>
              <w:rPr>
                <w:sz w:val="20"/>
                <w:szCs w:val="20"/>
                <w:color w:val="auto"/>
              </w:rPr>
            </w:pPr>
            <w:r>
              <w:rPr>
                <w:rFonts w:ascii="Times New Roman" w:cs="Times New Roman" w:eastAsia="Times New Roman" w:hAnsi="Times New Roman"/>
                <w:sz w:val="14"/>
                <w:szCs w:val="14"/>
                <w:color w:val="auto"/>
              </w:rPr>
              <w:t>II-7</w:t>
            </w: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29" w:right="31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April 1,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XWELL,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254 West 31st Street, 11th Floor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 10001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4" w:lineRule="exact"/>
        <w:rPr>
          <w:sz w:val="20"/>
          <w:szCs w:val="20"/>
          <w:color w:val="auto"/>
        </w:rPr>
      </w:pPr>
    </w:p>
    <w:p>
      <w:pPr>
        <w:jc w:val="both"/>
        <w:ind w:firstLine="502"/>
        <w:spacing w:after="0" w:line="286" w:lineRule="auto"/>
        <w:rPr>
          <w:sz w:val="20"/>
          <w:szCs w:val="20"/>
          <w:color w:val="auto"/>
        </w:rPr>
      </w:pPr>
      <w:r>
        <w:rPr>
          <w:rFonts w:ascii="Times New Roman" w:cs="Times New Roman" w:eastAsia="Times New Roman" w:hAnsi="Times New Roman"/>
          <w:sz w:val="13"/>
          <w:szCs w:val="13"/>
          <w:color w:val="auto"/>
        </w:rPr>
        <w:t>We have acted as counsel for XWELL, Inc., a Delaware corporation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in connection with the filing with the Securities and Exchange Commission (the “</w:t>
      </w:r>
      <w:r>
        <w:rPr>
          <w:rFonts w:ascii="Times New Roman" w:cs="Times New Roman" w:eastAsia="Times New Roman" w:hAnsi="Times New Roman"/>
          <w:sz w:val="13"/>
          <w:szCs w:val="13"/>
          <w:u w:val="single" w:color="auto"/>
          <w:color w:val="auto"/>
        </w:rPr>
        <w:t>Commission</w:t>
      </w:r>
      <w:r>
        <w:rPr>
          <w:rFonts w:ascii="Times New Roman" w:cs="Times New Roman" w:eastAsia="Times New Roman" w:hAnsi="Times New Roman"/>
          <w:sz w:val="13"/>
          <w:szCs w:val="13"/>
          <w:color w:val="auto"/>
        </w:rPr>
        <w:t>”) on the date hereof, under the Securities Act of 1933, as amended (the “</w:t>
      </w:r>
      <w:r>
        <w:rPr>
          <w:rFonts w:ascii="Times New Roman" w:cs="Times New Roman" w:eastAsia="Times New Roman" w:hAnsi="Times New Roman"/>
          <w:sz w:val="13"/>
          <w:szCs w:val="13"/>
          <w:u w:val="single" w:color="auto"/>
          <w:color w:val="auto"/>
        </w:rPr>
        <w:t>Securities Act</w:t>
      </w:r>
      <w:r>
        <w:rPr>
          <w:rFonts w:ascii="Times New Roman" w:cs="Times New Roman" w:eastAsia="Times New Roman" w:hAnsi="Times New Roman"/>
          <w:sz w:val="13"/>
          <w:szCs w:val="13"/>
          <w:color w:val="auto"/>
        </w:rPr>
        <w:t>”), of a registration statement on Form S-3 (the “</w:t>
      </w:r>
      <w:r>
        <w:rPr>
          <w:rFonts w:ascii="Times New Roman" w:cs="Times New Roman" w:eastAsia="Times New Roman" w:hAnsi="Times New Roman"/>
          <w:sz w:val="13"/>
          <w:szCs w:val="13"/>
          <w:u w:val="single" w:color="auto"/>
          <w:color w:val="auto"/>
        </w:rPr>
        <w:t>Registration Statement</w:t>
      </w:r>
      <w:r>
        <w:rPr>
          <w:rFonts w:ascii="Times New Roman" w:cs="Times New Roman" w:eastAsia="Times New Roman" w:hAnsi="Times New Roman"/>
          <w:sz w:val="13"/>
          <w:szCs w:val="13"/>
          <w:color w:val="auto"/>
        </w:rPr>
        <w:t>”) by the Company which registers the resale by the holders thereof of an aggregate of 138,665,191 shares of common stock of the Company, par value $0.01 per share (the “</w:t>
      </w:r>
      <w:r>
        <w:rPr>
          <w:rFonts w:ascii="Times New Roman" w:cs="Times New Roman" w:eastAsia="Times New Roman" w:hAnsi="Times New Roman"/>
          <w:sz w:val="13"/>
          <w:szCs w:val="13"/>
          <w:u w:val="single" w:color="auto"/>
          <w:color w:val="auto"/>
        </w:rPr>
        <w:t>Common Stock</w:t>
      </w:r>
      <w:r>
        <w:rPr>
          <w:rFonts w:ascii="Times New Roman" w:cs="Times New Roman" w:eastAsia="Times New Roman" w:hAnsi="Times New Roman"/>
          <w:sz w:val="13"/>
          <w:szCs w:val="13"/>
          <w:color w:val="auto"/>
        </w:rPr>
        <w:t>”) issuable (i) upon the conversion of shares of the Company’s newly designated Series H convertible preferred stock (the “</w:t>
      </w:r>
      <w:r>
        <w:rPr>
          <w:rFonts w:ascii="Times New Roman" w:cs="Times New Roman" w:eastAsia="Times New Roman" w:hAnsi="Times New Roman"/>
          <w:sz w:val="13"/>
          <w:szCs w:val="13"/>
          <w:u w:val="single" w:color="auto"/>
          <w:color w:val="auto"/>
        </w:rPr>
        <w:t>Preferred Shares</w:t>
      </w:r>
      <w:r>
        <w:rPr>
          <w:rFonts w:ascii="Times New Roman" w:cs="Times New Roman" w:eastAsia="Times New Roman" w:hAnsi="Times New Roman"/>
          <w:sz w:val="13"/>
          <w:szCs w:val="13"/>
          <w:color w:val="auto"/>
        </w:rPr>
        <w:t>”) and (ii) upon the exercise of certain warrants (the “</w:t>
      </w:r>
      <w:r>
        <w:rPr>
          <w:rFonts w:ascii="Times New Roman" w:cs="Times New Roman" w:eastAsia="Times New Roman" w:hAnsi="Times New Roman"/>
          <w:sz w:val="13"/>
          <w:szCs w:val="13"/>
          <w:u w:val="single" w:color="auto"/>
          <w:color w:val="auto"/>
        </w:rPr>
        <w:t>Warrants</w:t>
      </w:r>
      <w:r>
        <w:rPr>
          <w:rFonts w:ascii="Times New Roman" w:cs="Times New Roman" w:eastAsia="Times New Roman" w:hAnsi="Times New Roman"/>
          <w:sz w:val="13"/>
          <w:szCs w:val="13"/>
          <w:color w:val="auto"/>
        </w:rPr>
        <w:t>”), herein collectively referred to as the “</w:t>
      </w:r>
      <w:r>
        <w:rPr>
          <w:rFonts w:ascii="Times New Roman" w:cs="Times New Roman" w:eastAsia="Times New Roman" w:hAnsi="Times New Roman"/>
          <w:sz w:val="13"/>
          <w:szCs w:val="13"/>
          <w:u w:val="single" w:color="auto"/>
          <w:color w:val="auto"/>
        </w:rPr>
        <w:t>Securities</w:t>
      </w:r>
      <w:r>
        <w:rPr>
          <w:rFonts w:ascii="Times New Roman" w:cs="Times New Roman" w:eastAsia="Times New Roman" w:hAnsi="Times New Roman"/>
          <w:sz w:val="13"/>
          <w:szCs w:val="13"/>
          <w:color w:val="auto"/>
        </w:rPr>
        <w:t>.”</w:t>
      </w:r>
    </w:p>
    <w:p>
      <w:pPr>
        <w:spacing w:after="0" w:line="124" w:lineRule="exact"/>
        <w:rPr>
          <w:sz w:val="20"/>
          <w:szCs w:val="20"/>
          <w:color w:val="auto"/>
        </w:rPr>
      </w:pPr>
    </w:p>
    <w:p>
      <w:pPr>
        <w:jc w:val="both"/>
        <w:ind w:firstLine="502"/>
        <w:spacing w:after="0" w:line="256" w:lineRule="auto"/>
        <w:rPr>
          <w:sz w:val="20"/>
          <w:szCs w:val="20"/>
          <w:color w:val="auto"/>
        </w:rPr>
      </w:pPr>
      <w:r>
        <w:rPr>
          <w:rFonts w:ascii="Times New Roman" w:cs="Times New Roman" w:eastAsia="Times New Roman" w:hAnsi="Times New Roman"/>
          <w:sz w:val="14"/>
          <w:szCs w:val="14"/>
          <w:color w:val="auto"/>
        </w:rPr>
        <w:t>In rendering the opinions expressed herein, we have examined and relied upon the originals, or copies certified to our satisfaction, of (i) the Amended and Restated Certificate of Incorporation, as amended, and Third Amended and Restated Bylaws of the Company, as amended, as of the date hereof (“</w:t>
      </w:r>
      <w:r>
        <w:rPr>
          <w:rFonts w:ascii="Times New Roman" w:cs="Times New Roman" w:eastAsia="Times New Roman" w:hAnsi="Times New Roman"/>
          <w:sz w:val="14"/>
          <w:szCs w:val="14"/>
          <w:u w:val="single" w:color="auto"/>
          <w:color w:val="auto"/>
        </w:rPr>
        <w:t>Company Charter Documents</w:t>
      </w:r>
      <w:r>
        <w:rPr>
          <w:rFonts w:ascii="Times New Roman" w:cs="Times New Roman" w:eastAsia="Times New Roman" w:hAnsi="Times New Roman"/>
          <w:sz w:val="14"/>
          <w:szCs w:val="14"/>
          <w:color w:val="auto"/>
        </w:rPr>
        <w:t>”); (ii) the Registration Statement and all exhibits thereto; (iii) Certificate of Designations of Series H Convertible Preferred Stock of XWELL, Inc. (the “</w:t>
      </w:r>
      <w:r>
        <w:rPr>
          <w:rFonts w:ascii="Times New Roman" w:cs="Times New Roman" w:eastAsia="Times New Roman" w:hAnsi="Times New Roman"/>
          <w:sz w:val="14"/>
          <w:szCs w:val="14"/>
          <w:u w:val="single" w:color="auto"/>
          <w:color w:val="auto"/>
        </w:rPr>
        <w:t>Certificate of Designations</w:t>
      </w:r>
      <w:r>
        <w:rPr>
          <w:rFonts w:ascii="Times New Roman" w:cs="Times New Roman" w:eastAsia="Times New Roman" w:hAnsi="Times New Roman"/>
          <w:sz w:val="14"/>
          <w:szCs w:val="14"/>
          <w:color w:val="auto"/>
        </w:rPr>
        <w:t>”); (iv) the Warrants; (v) a specimen of the Company’s Common Stock certificate;</w:t>
      </w:r>
    </w:p>
    <w:p>
      <w:pPr>
        <w:spacing w:after="0" w:line="2" w:lineRule="exact"/>
        <w:rPr>
          <w:sz w:val="20"/>
          <w:szCs w:val="20"/>
          <w:color w:val="auto"/>
        </w:rPr>
      </w:pPr>
    </w:p>
    <w:p>
      <w:pPr>
        <w:ind w:firstLine="4"/>
        <w:spacing w:after="0" w:line="258" w:lineRule="auto"/>
        <w:tabs>
          <w:tab w:leader="none" w:pos="241"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certificate executed by an officer of the Company, dated as of the date hereof; and (vii) such other corporate records of the Company as we have deemed necessary or appropriate for purposes of the opinions hereafter expressed.</w:t>
      </w:r>
    </w:p>
    <w:p>
      <w:pPr>
        <w:spacing w:after="0" w:line="141" w:lineRule="exact"/>
        <w:rPr>
          <w:sz w:val="20"/>
          <w:szCs w:val="20"/>
          <w:color w:val="auto"/>
        </w:rPr>
      </w:pPr>
    </w:p>
    <w:p>
      <w:pPr>
        <w:jc w:val="both"/>
        <w:ind w:firstLine="502"/>
        <w:spacing w:after="0" w:line="280" w:lineRule="auto"/>
        <w:rPr>
          <w:sz w:val="20"/>
          <w:szCs w:val="20"/>
          <w:color w:val="auto"/>
        </w:rPr>
      </w:pPr>
      <w:r>
        <w:rPr>
          <w:rFonts w:ascii="Times New Roman" w:cs="Times New Roman" w:eastAsia="Times New Roman" w:hAnsi="Times New Roman"/>
          <w:sz w:val="14"/>
          <w:szCs w:val="14"/>
          <w:color w:val="auto"/>
        </w:rPr>
        <w:t>As to questions of fact material to the opinions expressed below, we have, without independent verification of their accuracy, relied to the extent we deemed reasonably appropriate upon the representations and warranties of the Company contained in such documents, records, certificates, instruments or representations furnished or made available to us by the Company.</w:t>
      </w:r>
    </w:p>
    <w:p>
      <w:pPr>
        <w:spacing w:after="0" w:line="126" w:lineRule="exact"/>
        <w:rPr>
          <w:sz w:val="20"/>
          <w:szCs w:val="20"/>
          <w:color w:val="auto"/>
        </w:rPr>
      </w:pPr>
    </w:p>
    <w:p>
      <w:pPr>
        <w:jc w:val="both"/>
        <w:ind w:firstLine="502"/>
        <w:spacing w:after="0" w:line="265" w:lineRule="auto"/>
        <w:rPr>
          <w:sz w:val="20"/>
          <w:szCs w:val="20"/>
          <w:color w:val="auto"/>
        </w:rPr>
      </w:pPr>
      <w:r>
        <w:rPr>
          <w:rFonts w:ascii="Times New Roman" w:cs="Times New Roman" w:eastAsia="Times New Roman" w:hAnsi="Times New Roman"/>
          <w:sz w:val="14"/>
          <w:szCs w:val="14"/>
          <w:color w:val="auto"/>
        </w:rPr>
        <w:t>In making the foregoing examinations, we have assumed (i) the genuineness of all signatures, (ii) the authenticity of all documents submitted to us as originals, (iii) the conformity to original documents of all documents submitted to us as certified or photostatic copies, (iv) that all agreements or instruments we have examined are the valid, binding and enforceable obligations of the parties thereto, and (v) that all factual information on which we have relied was accurate and complete.</w:t>
      </w:r>
    </w:p>
    <w:p>
      <w:pPr>
        <w:spacing w:after="0" w:line="136" w:lineRule="exact"/>
        <w:rPr>
          <w:sz w:val="20"/>
          <w:szCs w:val="20"/>
          <w:color w:val="auto"/>
        </w:rPr>
      </w:pPr>
    </w:p>
    <w:p>
      <w:pPr>
        <w:jc w:val="both"/>
        <w:ind w:firstLine="502"/>
        <w:spacing w:after="0" w:line="253" w:lineRule="auto"/>
        <w:rPr>
          <w:sz w:val="20"/>
          <w:szCs w:val="20"/>
          <w:color w:val="auto"/>
        </w:rPr>
      </w:pPr>
      <w:r>
        <w:rPr>
          <w:rFonts w:ascii="Times New Roman" w:cs="Times New Roman" w:eastAsia="Times New Roman" w:hAnsi="Times New Roman"/>
          <w:sz w:val="14"/>
          <w:szCs w:val="14"/>
          <w:color w:val="auto"/>
        </w:rPr>
        <w:t>We have also assumed that (i) the Company will continue to be incorporated and in existence and good standing in its jurisdiction of organization; (ii) the Registration Statement, and any amendments thereto (including post-effective amendments), will have become effective; (iii) no stop order of the Commission preventing or suspending the use of the prospectus contained in the Registration Statement or any prospectus supplement will have been issued; (iv) a prospectus properly describing the Securities offered thereby will have been delivered to the purchaser(s) of the Securities as required in accordance with applicable law; (v) all Securities will be offered, issued and sold in compliance with applicable federal and state securities laws and in the manner stated in the Registration Statement and the prospectus and any prospectus supplement; (vi) any definitive purchase, underwriting or similar agreement with respect to any Common Stock offered will have been duly authorized and validly executed and delivered by the Company and the other parties thereto and will be an enforceable obligation of the parties thereto; (vii) upon effectiveness of the Registration Statement, there will be sufficient shares of Common Stock authorized under the Company Charter Documents and not otherwise reserved for issuance; and (viii) there will not have occurred any change in law or in the Company Charter Documents of the Company adversely affecting the Securities or the rights of the holders thereof.</w:t>
      </w:r>
    </w:p>
    <w:p>
      <w:pPr>
        <w:spacing w:after="0" w:line="148" w:lineRule="exact"/>
        <w:rPr>
          <w:sz w:val="20"/>
          <w:szCs w:val="20"/>
          <w:color w:val="auto"/>
        </w:rPr>
      </w:pPr>
    </w:p>
    <w:p>
      <w:pPr>
        <w:jc w:val="both"/>
        <w:ind w:firstLine="502"/>
        <w:spacing w:after="0" w:line="265" w:lineRule="auto"/>
        <w:rPr>
          <w:sz w:val="20"/>
          <w:szCs w:val="20"/>
          <w:color w:val="auto"/>
        </w:rPr>
      </w:pPr>
      <w:r>
        <w:rPr>
          <w:rFonts w:ascii="Times New Roman" w:cs="Times New Roman" w:eastAsia="Times New Roman" w:hAnsi="Times New Roman"/>
          <w:sz w:val="14"/>
          <w:szCs w:val="14"/>
          <w:color w:val="auto"/>
        </w:rPr>
        <w:t>Based upon the foregoing and subject to the assumptions and qualifications stated herein, we are of the opinion that (i) the Common Stock issuable upon conversion of the Preferred Shares, when issued in accordance with the terms of the Certificate of Designations, will be validly issued, fully paid and non-assessable and (ii) the Common Stock underlying the Warrants, when issued in accordance with the terms of the Warrants,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201930</wp:posOffset>
            </wp:positionV>
            <wp:extent cx="7163435"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3">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2" w:name="page33"/>
    <w:bookmarkEnd w:id="32"/>
    <w:p>
      <w:pPr>
        <w:jc w:val="both"/>
        <w:ind w:firstLine="502"/>
        <w:spacing w:after="0" w:line="280" w:lineRule="auto"/>
        <w:rPr>
          <w:sz w:val="20"/>
          <w:szCs w:val="20"/>
          <w:color w:val="auto"/>
        </w:rPr>
      </w:pPr>
      <w:r>
        <w:rPr>
          <w:rFonts w:ascii="Times New Roman" w:cs="Times New Roman" w:eastAsia="Times New Roman" w:hAnsi="Times New Roman"/>
          <w:sz w:val="14"/>
          <w:szCs w:val="14"/>
          <w:color w:val="auto"/>
        </w:rPr>
        <w:t>The opinions expressed herein are limited exclusively to the General Corporation Law of the State of Delaware (the “</w:t>
      </w:r>
      <w:r>
        <w:rPr>
          <w:rFonts w:ascii="Times New Roman" w:cs="Times New Roman" w:eastAsia="Times New Roman" w:hAnsi="Times New Roman"/>
          <w:sz w:val="14"/>
          <w:szCs w:val="14"/>
          <w:u w:val="single" w:color="auto"/>
          <w:color w:val="auto"/>
        </w:rPr>
        <w:t>DGCL</w:t>
      </w:r>
      <w:r>
        <w:rPr>
          <w:rFonts w:ascii="Times New Roman" w:cs="Times New Roman" w:eastAsia="Times New Roman" w:hAnsi="Times New Roman"/>
          <w:sz w:val="14"/>
          <w:szCs w:val="14"/>
          <w:color w:val="auto"/>
        </w:rPr>
        <w:t>”) and we have not considered, and express no opinion on, any other laws or the laws of any other jurisdiction.</w:t>
      </w:r>
    </w:p>
    <w:p>
      <w:pPr>
        <w:spacing w:after="0" w:line="126" w:lineRule="exact"/>
        <w:rPr>
          <w:sz w:val="20"/>
          <w:szCs w:val="20"/>
          <w:color w:val="auto"/>
        </w:rPr>
      </w:pPr>
    </w:p>
    <w:p>
      <w:pPr>
        <w:jc w:val="both"/>
        <w:ind w:firstLine="502"/>
        <w:spacing w:after="0" w:line="265" w:lineRule="auto"/>
        <w:rPr>
          <w:sz w:val="20"/>
          <w:szCs w:val="20"/>
          <w:color w:val="auto"/>
        </w:rPr>
      </w:pPr>
      <w:r>
        <w:rPr>
          <w:rFonts w:ascii="Times New Roman" w:cs="Times New Roman" w:eastAsia="Times New Roman" w:hAnsi="Times New Roman"/>
          <w:sz w:val="14"/>
          <w:szCs w:val="14"/>
          <w:color w:val="auto"/>
        </w:rPr>
        <w:t>We hereby consent to the filing of this opinion with the Commission as Exhibit 5.1 to the Registration Statement and to the reference to our firm under the heading “Legal Matters” in the prospectus constituting part of such Registration Statement. In giving such consent, we do not hereby admit that we are in the category of persons whose consent is required under Section 7 of the Securities Act or the rules and regulations of the Commission thereunder.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Haynes and Boone,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58521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4">
                      <a:extLst>
                        <a:ext uri="{28A0092B-C50C-407E-A947-70E740481C1C}"/>
                      </a:extLst>
                    </a:blip>
                    <a:srcRect/>
                    <a:stretch>
                      <a:fillRect/>
                    </a:stretch>
                  </pic:blipFill>
                  <pic:spPr bwMode="auto">
                    <a:xfrm>
                      <a:off x="0" y="0"/>
                      <a:ext cx="3585210" cy="63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Haynes and Boone,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222885</wp:posOffset>
            </wp:positionV>
            <wp:extent cx="7163435"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5">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INDEPENDENT REGISTERED PUBLIC ACCOUNTING FIRM’S CONSENT</w:t>
      </w:r>
    </w:p>
    <w:p>
      <w:pPr>
        <w:spacing w:after="0" w:line="17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We consent to the incorporation by reference in this Registration Statement on Form S-3 of our report dated April 15, 2025 relating to the financial statements appearing in the Annual Report on Form 10-K of XWELL, Inc. for the year ended December 31, 2025. We also consent to the reference to us under the heading “Experts” in such Registration Statement.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 Marcum </w:t>
      </w:r>
      <w:r>
        <w:rPr>
          <w:rFonts w:ascii="Times New Roman" w:cs="Times New Roman" w:eastAsia="Times New Roman" w:hAnsi="Times New Roman"/>
          <w:sz w:val="9"/>
          <w:szCs w:val="9"/>
          <w:color w:val="auto"/>
        </w:rPr>
        <w:t>llp</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Morristown, New Jersey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229870</wp:posOffset>
            </wp:positionV>
            <wp:extent cx="716343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6">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115" w:right="31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INDEPENDENT REGISTERED PUBLIC ACCOUNTING FIRM’S CONSENT</w:t>
      </w:r>
    </w:p>
    <w:p>
      <w:pPr>
        <w:spacing w:after="0" w:line="17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We consent to the incorporation by reference in this Registration Statement on Form S-3 of our report dated April 1, 2026 relating to the financial statements appearing in the Annual Report on Form 10-K of XWELL, Inc. for the year ended December 31, 2025. We also consent to the reference to us under the heading “Experts” in such Registration Statement.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CBIZ CPAs P.C.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Morristown, New Jersey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716343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7">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35" w:name="page36"/>
    <w:bookmarkEnd w:id="35"/>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69"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6"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XWELL, Inc.</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5140" w:type="dxa"/>
            <w:vAlign w:val="bottom"/>
            <w:tcBorders>
              <w:bottom w:val="single" w:sz="8" w:color="auto"/>
            </w:tcBorders>
            <w:gridSpan w:val="15"/>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4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shd w:val="clear" w:color="auto" w:fill="9ADAF6"/>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00" w:type="dxa"/>
            <w:vAlign w:val="bottom"/>
            <w:gridSpan w:val="2"/>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Calculation</w:t>
            </w:r>
          </w:p>
        </w:tc>
        <w:tc>
          <w:tcPr>
            <w:tcW w:w="40" w:type="dxa"/>
            <w:vAlign w:val="bottom"/>
          </w:tcPr>
          <w:p>
            <w:pPr>
              <w:spacing w:after="0"/>
              <w:rPr>
                <w:sz w:val="16"/>
                <w:szCs w:val="16"/>
                <w:color w:val="auto"/>
              </w:rPr>
            </w:pPr>
          </w:p>
        </w:tc>
        <w:tc>
          <w:tcPr>
            <w:tcW w:w="940" w:type="dxa"/>
            <w:vAlign w:val="bottom"/>
            <w:shd w:val="clear" w:color="auto" w:fill="9ADAF6"/>
          </w:tcPr>
          <w:p>
            <w:pPr>
              <w:jc w:val="right"/>
              <w:ind w:right="7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580" w:type="dxa"/>
            <w:vAlign w:val="bottom"/>
            <w:shd w:val="clear" w:color="auto" w:fill="9ADAF6"/>
          </w:tcPr>
          <w:p>
            <w:pPr>
              <w:ind w:left="120"/>
              <w:spacing w:after="0" w:line="189" w:lineRule="exact"/>
              <w:rPr>
                <w:sz w:val="20"/>
                <w:szCs w:val="20"/>
                <w:color w:val="auto"/>
              </w:rPr>
            </w:pPr>
            <w:r>
              <w:rPr>
                <w:rFonts w:ascii="Arial" w:cs="Arial" w:eastAsia="Arial" w:hAnsi="Arial"/>
                <w:sz w:val="17"/>
                <w:szCs w:val="17"/>
                <w:b w:val="1"/>
                <w:bCs w:val="1"/>
                <w:color w:val="auto"/>
                <w:w w:val="96"/>
              </w:rPr>
              <w:t>Class</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or Carry</w:t>
            </w:r>
          </w:p>
        </w:tc>
        <w:tc>
          <w:tcPr>
            <w:tcW w:w="40" w:type="dxa"/>
            <w:vAlign w:val="bottom"/>
          </w:tcPr>
          <w:p>
            <w:pPr>
              <w:spacing w:after="0"/>
              <w:rPr>
                <w:sz w:val="16"/>
                <w:szCs w:val="16"/>
                <w:color w:val="auto"/>
              </w:rPr>
            </w:pPr>
          </w:p>
        </w:tc>
        <w:tc>
          <w:tcPr>
            <w:tcW w:w="94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4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4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Offering Price</w:t>
            </w: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4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9ADAF6"/>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40" w:type="dxa"/>
            <w:vAlign w:val="bottom"/>
            <w:gridSpan w:val="5"/>
          </w:tcPr>
          <w:p>
            <w:pPr>
              <w:jc w:val="center"/>
              <w:ind w:right="76"/>
              <w:spacing w:after="0"/>
              <w:rPr>
                <w:sz w:val="20"/>
                <w:szCs w:val="20"/>
                <w:color w:val="auto"/>
              </w:rPr>
            </w:pPr>
            <w:r>
              <w:rPr>
                <w:rFonts w:ascii="Arial" w:cs="Arial" w:eastAsia="Arial" w:hAnsi="Arial"/>
                <w:sz w:val="17"/>
                <w:szCs w:val="17"/>
                <w:b w:val="1"/>
                <w:bCs w:val="1"/>
                <w:color w:val="auto"/>
                <w:w w:val="98"/>
              </w:rPr>
              <w:t>Newly Registered Securities</w:t>
            </w: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shd w:val="clear" w:color="auto" w:fill="E7E7E2"/>
          </w:tcPr>
          <w:p>
            <w:pPr>
              <w:spacing w:after="0" w:line="189"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Stock,</w:t>
            </w: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par</w:t>
            </w: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5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value</w:t>
            </w: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Other</w:t>
            </w:r>
          </w:p>
        </w:tc>
        <w:tc>
          <w:tcPr>
            <w:tcW w:w="40" w:type="dxa"/>
            <w:vAlign w:val="bottom"/>
          </w:tcPr>
          <w:p>
            <w:pPr>
              <w:spacing w:after="0"/>
              <w:rPr>
                <w:sz w:val="8"/>
                <w:szCs w:val="8"/>
                <w:color w:val="auto"/>
              </w:rPr>
            </w:pPr>
          </w:p>
        </w:tc>
        <w:tc>
          <w:tcPr>
            <w:tcW w:w="9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138,665,191</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5"/>
              </w:rPr>
              <w:t>$ 1.11255</w:t>
            </w:r>
          </w:p>
        </w:tc>
        <w:tc>
          <w:tcPr>
            <w:tcW w:w="20" w:type="dxa"/>
            <w:vAlign w:val="bottom"/>
          </w:tcPr>
          <w:p>
            <w:pPr>
              <w:spacing w:after="0"/>
              <w:rPr>
                <w:sz w:val="8"/>
                <w:szCs w:val="8"/>
                <w:color w:val="auto"/>
              </w:rPr>
            </w:pPr>
          </w:p>
        </w:tc>
        <w:tc>
          <w:tcPr>
            <w:tcW w:w="118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$ 21,304.96</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E7E7E2"/>
          </w:tcPr>
          <w:p>
            <w:pPr>
              <w:spacing w:after="0" w:line="167" w:lineRule="exact"/>
              <w:rPr>
                <w:sz w:val="20"/>
                <w:szCs w:val="20"/>
                <w:color w:val="auto"/>
              </w:rPr>
            </w:pPr>
            <w:r>
              <w:rPr>
                <w:rFonts w:ascii="Arial" w:cs="Arial" w:eastAsia="Arial" w:hAnsi="Arial"/>
                <w:sz w:val="17"/>
                <w:szCs w:val="17"/>
                <w:color w:val="auto"/>
              </w:rPr>
              <w:t>be Paid</w:t>
            </w:r>
          </w:p>
        </w:tc>
        <w:tc>
          <w:tcPr>
            <w:tcW w:w="40" w:type="dxa"/>
            <w:vAlign w:val="bottom"/>
          </w:tcPr>
          <w:p>
            <w:pPr>
              <w:spacing w:after="0"/>
              <w:rPr>
                <w:sz w:val="14"/>
                <w:szCs w:val="14"/>
                <w:color w:val="auto"/>
              </w:rPr>
            </w:pPr>
          </w:p>
        </w:tc>
        <w:tc>
          <w:tcPr>
            <w:tcW w:w="1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vMerge w:val="continue"/>
            <w:shd w:val="clear" w:color="auto" w:fill="E7E7E2"/>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w w:val="98"/>
              </w:rPr>
              <w:t>154,271,958.25</w:t>
            </w:r>
          </w:p>
        </w:tc>
        <w:tc>
          <w:tcPr>
            <w:tcW w:w="4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shd w:val="clear" w:color="auto" w:fill="E7E7E2"/>
          </w:tcPr>
          <w:p>
            <w:pPr>
              <w:spacing w:after="0" w:line="115" w:lineRule="exact"/>
              <w:rPr>
                <w:sz w:val="20"/>
                <w:szCs w:val="20"/>
                <w:color w:val="auto"/>
              </w:rPr>
            </w:pPr>
            <w:r>
              <w:rPr>
                <w:rFonts w:ascii="Arial" w:cs="Arial" w:eastAsia="Arial" w:hAnsi="Arial"/>
                <w:sz w:val="13"/>
                <w:szCs w:val="13"/>
                <w:color w:val="auto"/>
              </w:rPr>
              <w:t>$0.01</w:t>
            </w: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per</w:t>
            </w: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20"/>
                <w:szCs w:val="20"/>
                <w:color w:val="auto"/>
              </w:rPr>
            </w:pPr>
            <w:r>
              <w:rPr>
                <w:rFonts w:ascii="Arial" w:cs="Arial" w:eastAsia="Arial" w:hAnsi="Arial"/>
                <w:sz w:val="17"/>
                <w:szCs w:val="17"/>
                <w:color w:val="auto"/>
              </w:rPr>
              <w:t>share</w:t>
            </w: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Fees</w:t>
            </w:r>
          </w:p>
        </w:tc>
        <w:tc>
          <w:tcPr>
            <w:tcW w:w="4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6"/>
              </w:rPr>
              <w:t>Previously</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40" w:type="dxa"/>
            <w:vAlign w:val="bottom"/>
            <w:gridSpan w:val="5"/>
          </w:tcPr>
          <w:p>
            <w:pPr>
              <w:jc w:val="center"/>
              <w:ind w:right="56"/>
              <w:spacing w:after="0"/>
              <w:rPr>
                <w:sz w:val="20"/>
                <w:szCs w:val="20"/>
                <w:color w:val="auto"/>
              </w:rPr>
            </w:pPr>
            <w:r>
              <w:rPr>
                <w:rFonts w:ascii="Arial" w:cs="Arial" w:eastAsia="Arial" w:hAnsi="Arial"/>
                <w:sz w:val="17"/>
                <w:szCs w:val="17"/>
                <w:b w:val="1"/>
                <w:bCs w:val="1"/>
                <w:color w:val="auto"/>
                <w:w w:val="97"/>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3" w:lineRule="exact"/>
              <w:rPr>
                <w:sz w:val="20"/>
                <w:szCs w:val="20"/>
                <w:color w:val="auto"/>
              </w:rPr>
            </w:pPr>
            <w:r>
              <w:rPr>
                <w:rFonts w:ascii="Arial" w:cs="Arial" w:eastAsia="Arial" w:hAnsi="Arial"/>
                <w:sz w:val="17"/>
                <w:szCs w:val="17"/>
                <w:color w:val="auto"/>
              </w:rPr>
              <w:t>Carry</w:t>
            </w:r>
          </w:p>
        </w:tc>
        <w:tc>
          <w:tcPr>
            <w:tcW w:w="4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$ 21,304.96</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w w:val="99"/>
              </w:rPr>
              <w:t>154,271,958.25</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40" w:type="dxa"/>
            <w:vAlign w:val="bottom"/>
            <w:gridSpan w:val="5"/>
          </w:tcPr>
          <w:p>
            <w:pPr>
              <w:jc w:val="right"/>
              <w:spacing w:after="0"/>
              <w:rPr>
                <w:sz w:val="20"/>
                <w:szCs w:val="20"/>
                <w:color w:val="auto"/>
              </w:rPr>
            </w:pPr>
            <w:r>
              <w:rPr>
                <w:rFonts w:ascii="Arial" w:cs="Arial" w:eastAsia="Arial" w:hAnsi="Arial"/>
                <w:sz w:val="17"/>
                <w:szCs w:val="17"/>
                <w:color w:val="auto"/>
                <w:w w:val="97"/>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$ 21,304.96</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63" w:lineRule="exact"/>
        <w:rPr>
          <w:sz w:val="20"/>
          <w:szCs w:val="20"/>
          <w:color w:val="auto"/>
        </w:rPr>
      </w:pPr>
    </w:p>
    <w:p>
      <w:pPr>
        <w:ind w:left="220" w:right="120"/>
        <w:spacing w:after="0" w:line="246" w:lineRule="auto"/>
        <w:rPr>
          <w:sz w:val="20"/>
          <w:szCs w:val="20"/>
          <w:color w:val="auto"/>
        </w:rPr>
      </w:pPr>
      <w:r>
        <w:rPr>
          <w:rFonts w:ascii="Arial" w:cs="Arial" w:eastAsia="Arial" w:hAnsi="Arial"/>
          <w:sz w:val="17"/>
          <w:szCs w:val="17"/>
          <w:color w:val="auto"/>
        </w:rPr>
        <w:t>Pursuant to Rule 416 under the Securities Act of 1933 (the "Securities Act"), the shares being registered hereunder include such indeterminate number of shares of common stock, par value $0.01 per share (the "Common Stock"), as may be issuable with respect to the shares being registered hereunder as a result of stock splits, stock dividends or similar transactions.</w:t>
      </w:r>
    </w:p>
    <w:p>
      <w:pPr>
        <w:spacing w:after="0" w:line="152" w:lineRule="exact"/>
        <w:rPr>
          <w:sz w:val="20"/>
          <w:szCs w:val="20"/>
          <w:color w:val="auto"/>
        </w:rPr>
      </w:pPr>
    </w:p>
    <w:p>
      <w:pPr>
        <w:ind w:left="220" w:right="260"/>
        <w:spacing w:after="0" w:line="262" w:lineRule="auto"/>
        <w:rPr>
          <w:sz w:val="20"/>
          <w:szCs w:val="20"/>
          <w:color w:val="auto"/>
        </w:rPr>
      </w:pPr>
      <w:r>
        <w:rPr>
          <w:rFonts w:ascii="Arial" w:cs="Arial" w:eastAsia="Arial" w:hAnsi="Arial"/>
          <w:sz w:val="17"/>
          <w:szCs w:val="17"/>
          <w:color w:val="auto"/>
        </w:rPr>
        <w:t>Represents an aggregate of 138,665,191s shares of Common Stock issuable upon the conversion of shares of Series H convertible preferred stock or upon exercise of certain warrants.</w:t>
      </w:r>
    </w:p>
    <w:p>
      <w:pPr>
        <w:spacing w:after="0" w:line="138" w:lineRule="exact"/>
        <w:rPr>
          <w:sz w:val="20"/>
          <w:szCs w:val="20"/>
          <w:color w:val="auto"/>
        </w:rPr>
      </w:pPr>
    </w:p>
    <w:p>
      <w:pPr>
        <w:ind w:left="220" w:right="360"/>
        <w:spacing w:after="0" w:line="246" w:lineRule="auto"/>
        <w:rPr>
          <w:sz w:val="20"/>
          <w:szCs w:val="20"/>
          <w:color w:val="auto"/>
        </w:rPr>
      </w:pPr>
      <w:r>
        <w:rPr>
          <w:rFonts w:ascii="Arial" w:cs="Arial" w:eastAsia="Arial" w:hAnsi="Arial"/>
          <w:sz w:val="17"/>
          <w:szCs w:val="17"/>
          <w:color w:val="auto"/>
        </w:rPr>
        <w:t>Estimated solely for the purpose of calculating the amount of the registration fee pursuant to Rule 457(c) under the Securities Act, based on the average of the high and low prices of the Common Stock as reported on The Nasdaq Capital Market on March 31, 2026, which such date is within five business days of the filing of this registration statement, of $1.11255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57150</wp:posOffset>
            </wp:positionV>
            <wp:extent cx="71488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8">
                      <a:extLst>
                        <a:ext uri="{28A0092B-C50C-407E-A947-70E740481C1C}"/>
                      </a:extLst>
                    </a:blip>
                    <a:srcRect/>
                    <a:stretch>
                      <a:fillRect/>
                    </a:stretch>
                  </pic:blipFill>
                  <pic:spPr bwMode="auto">
                    <a:xfrm>
                      <a:off x="0" y="0"/>
                      <a:ext cx="7148830" cy="3873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336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Unsold</w:t>
            </w:r>
          </w:p>
        </w:tc>
        <w:tc>
          <w:tcPr>
            <w:tcW w:w="4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4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Borders>
              <w:left w:val="single" w:sz="8" w:color="9ADAF6"/>
            </w:tcBorders>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2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4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Borders>
              <w:left w:val="single" w:sz="8" w:color="9ADAF6"/>
            </w:tcBorders>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gridSpan w:val="3"/>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left w:val="single" w:sz="8" w:color="9ADAF6"/>
            </w:tcBorders>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1280" w:type="dxa"/>
            <w:vAlign w:val="bottom"/>
            <w:shd w:val="clear" w:color="auto" w:fill="9ADAF6"/>
          </w:tcPr>
          <w:p>
            <w:pPr>
              <w:jc w:val="center"/>
              <w:ind w:right="216"/>
              <w:spacing w:after="0" w:line="167"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76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4"/>
                <w:szCs w:val="14"/>
                <w:color w:val="auto"/>
              </w:rPr>
            </w:pPr>
          </w:p>
        </w:tc>
        <w:tc>
          <w:tcPr>
            <w:tcW w:w="6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520" w:type="dxa"/>
            <w:vAlign w:val="bottom"/>
            <w:gridSpan w:val="3"/>
            <w:vMerge w:val="continue"/>
            <w:shd w:val="clear" w:color="auto" w:fill="9ADAF6"/>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4"/>
                <w:szCs w:val="14"/>
                <w:color w:val="auto"/>
              </w:rPr>
            </w:pPr>
          </w:p>
        </w:tc>
        <w:tc>
          <w:tcPr>
            <w:tcW w:w="920" w:type="dxa"/>
            <w:vAlign w:val="bottom"/>
            <w:gridSpan w:val="3"/>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4"/>
                <w:szCs w:val="14"/>
                <w:color w:val="auto"/>
              </w:rPr>
            </w:pPr>
          </w:p>
        </w:tc>
        <w:tc>
          <w:tcPr>
            <w:tcW w:w="920" w:type="dxa"/>
            <w:vAlign w:val="bottom"/>
            <w:gridSpan w:val="3"/>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with Fee</w:t>
            </w:r>
          </w:p>
        </w:tc>
        <w:tc>
          <w:tcPr>
            <w:tcW w:w="40" w:type="dxa"/>
            <w:vAlign w:val="bottom"/>
          </w:tcPr>
          <w:p>
            <w:pPr>
              <w:spacing w:after="0"/>
              <w:rPr>
                <w:sz w:val="14"/>
                <w:szCs w:val="14"/>
                <w:color w:val="auto"/>
              </w:rPr>
            </w:pPr>
          </w:p>
        </w:tc>
        <w:tc>
          <w:tcPr>
            <w:tcW w:w="960" w:type="dxa"/>
            <w:vAlign w:val="bottom"/>
            <w:gridSpan w:val="3"/>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jc w:val="center"/>
              <w:ind w:right="16"/>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5"/>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40" w:type="dxa"/>
            <w:vAlign w:val="bottom"/>
          </w:tcPr>
          <w:p>
            <w:pPr>
              <w:spacing w:after="0"/>
              <w:rPr>
                <w:sz w:val="16"/>
                <w:szCs w:val="16"/>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5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left w:val="single" w:sz="8" w:color="9ADAF6"/>
            </w:tcBorders>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2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5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9ADAF6"/>
          </w:tcPr>
          <w:p>
            <w:pPr>
              <w:spacing w:after="0" w:line="20" w:lineRule="exact"/>
              <w:rPr>
                <w:sz w:val="1"/>
                <w:szCs w:val="1"/>
                <w:color w:val="auto"/>
              </w:rPr>
            </w:pPr>
          </w:p>
        </w:tc>
        <w:tc>
          <w:tcPr>
            <w:tcW w:w="3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60" w:type="dxa"/>
            <w:vAlign w:val="bottom"/>
            <w:shd w:val="clear" w:color="auto" w:fill="9ADAF6"/>
          </w:tcPr>
          <w:p>
            <w:pPr>
              <w:spacing w:after="0" w:line="20" w:lineRule="exact"/>
              <w:rPr>
                <w:sz w:val="1"/>
                <w:szCs w:val="1"/>
                <w:color w:val="auto"/>
              </w:rPr>
            </w:pPr>
          </w:p>
        </w:tc>
        <w:tc>
          <w:tcPr>
            <w:tcW w:w="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vMerge w:val="continue"/>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continue"/>
            <w:shd w:val="clear" w:color="auto" w:fill="9ADAF6"/>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4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left w:val="single" w:sz="8" w:color="9ADAF6"/>
            </w:tcBorders>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13"/>
          </w:tcPr>
          <w:p>
            <w:pPr>
              <w:ind w:left="560"/>
              <w:spacing w:after="0"/>
              <w:rPr>
                <w:sz w:val="20"/>
                <w:szCs w:val="20"/>
                <w:color w:val="auto"/>
              </w:rPr>
            </w:pPr>
            <w:r>
              <w:rPr>
                <w:rFonts w:ascii="Arial" w:cs="Arial" w:eastAsia="Arial" w:hAnsi="Arial"/>
                <w:sz w:val="17"/>
                <w:szCs w:val="17"/>
                <w:b w:val="1"/>
                <w:bCs w:val="1"/>
                <w:color w:val="auto"/>
                <w:w w:val="98"/>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9"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8"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5"/>
          </w:tcPr>
          <w:p>
            <w:pPr>
              <w:ind w:left="300"/>
              <w:spacing w:after="0"/>
              <w:rPr>
                <w:sz w:val="20"/>
                <w:szCs w:val="20"/>
                <w:color w:val="auto"/>
              </w:rPr>
            </w:pPr>
            <w:r>
              <w:rPr>
                <w:rFonts w:ascii="Arial" w:cs="Arial" w:eastAsia="Arial" w:hAnsi="Arial"/>
                <w:sz w:val="17"/>
                <w:szCs w:val="17"/>
                <w:b w:val="1"/>
                <w:bCs w:val="1"/>
                <w:color w:val="auto"/>
              </w:rPr>
              <w:t>Rule 457(p)</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9"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8"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336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5"/>
            <w:shd w:val="clear" w:color="auto" w:fill="9ADAF6"/>
          </w:tcPr>
          <w:p>
            <w:pPr>
              <w:ind w:left="380"/>
              <w:spacing w:after="0" w:line="194" w:lineRule="exact"/>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1860" w:type="dxa"/>
            <w:vAlign w:val="bottom"/>
            <w:gridSpan w:val="5"/>
            <w:shd w:val="clear" w:color="auto" w:fill="9ADAF6"/>
          </w:tcPr>
          <w:p>
            <w:pPr>
              <w:jc w:val="center"/>
              <w:ind w:right="96"/>
              <w:spacing w:after="0" w:line="194"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restart"/>
            <w:shd w:val="clear" w:color="auto" w:fill="9ADAF6"/>
          </w:tcPr>
          <w:p>
            <w:pPr>
              <w:ind w:left="400"/>
              <w:spacing w:after="0" w:line="189"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restart"/>
            <w:shd w:val="clear" w:color="auto" w:fill="9ADAF6"/>
          </w:tcPr>
          <w:p>
            <w:pPr>
              <w:jc w:val="center"/>
              <w:ind w:right="196"/>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4"/>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w w:val="89"/>
              </w:rPr>
              <w:t>Security Type</w:t>
            </w: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gridSpan w:val="5"/>
            <w:vMerge w:val="restart"/>
            <w:shd w:val="clear" w:color="auto" w:fill="9ADAF6"/>
          </w:tcPr>
          <w:p>
            <w:pPr>
              <w:ind w:left="64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8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w w:val="98"/>
              </w:rPr>
              <w:t>Effective</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4"/>
            <w:vMerge w:val="continue"/>
            <w:shd w:val="clear" w:color="auto" w:fill="9ADAF6"/>
          </w:tcPr>
          <w:p>
            <w:pPr>
              <w:spacing w:after="0"/>
              <w:rPr>
                <w:sz w:val="8"/>
                <w:szCs w:val="8"/>
                <w:color w:val="auto"/>
              </w:rPr>
            </w:pP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9"/>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1860" w:type="dxa"/>
            <w:vAlign w:val="bottom"/>
            <w:gridSpan w:val="5"/>
            <w:vMerge w:val="restart"/>
            <w:shd w:val="clear" w:color="auto" w:fill="9ADAF6"/>
          </w:tcPr>
          <w:p>
            <w:pPr>
              <w:jc w:val="center"/>
              <w:ind w:right="76"/>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4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18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80" w:type="dxa"/>
            <w:vAlign w:val="bottom"/>
            <w:tcBorders>
              <w:lef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5"/>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w w:val="97"/>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60" w:type="dxa"/>
            <w:vAlign w:val="bottom"/>
            <w:gridSpan w:val="3"/>
            <w:vMerge w:val="restart"/>
            <w:shd w:val="clear" w:color="auto" w:fill="9ADAF6"/>
          </w:tcPr>
          <w:p>
            <w:pPr>
              <w:jc w:val="center"/>
              <w:ind w:right="176"/>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tcBorders>
              <w:lef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5"/>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2"/>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lowerLetter"/>
      <w:start w:val="1"/>
    </w:lvl>
    <w:lvl w:ilvl="1">
      <w:lvlJc w:val="left"/>
      <w:lvlText w:val="(%2)"/>
      <w:numFmt w:val="decimal"/>
      <w:start w:val="1"/>
    </w:lvl>
  </w:abstractNum>
  <w:abstractNum w:abstractNumId="10">
    <w:nsid w:val="1BEFD79F"/>
    <w:multiLevelType w:val="hybridMultilevel"/>
    <w:lvl w:ilvl="0">
      <w:lvlJc w:val="left"/>
      <w:lvlText w:val="(%1)"/>
      <w:numFmt w:val="lowerRoman"/>
      <w:start w:val="1"/>
    </w:lvl>
  </w:abstractNum>
  <w:abstractNum w:abstractNumId="11">
    <w:nsid w:val="41A7C4C9"/>
    <w:multiLevelType w:val="hybridMultilevel"/>
    <w:lvl w:ilvl="0">
      <w:lvlJc w:val="left"/>
      <w:lvlText w:val="(%1)"/>
      <w:numFmt w:val="lowerRoman"/>
      <w:start w:val="3"/>
    </w:lvl>
  </w:abstractNum>
  <w:abstractNum w:abstractNumId="12">
    <w:nsid w:val="6B68079A"/>
    <w:multiLevelType w:val="hybridMultilevel"/>
    <w:lvl w:ilvl="0">
      <w:lvlJc w:val="left"/>
      <w:lvlText w:val="(%1)"/>
      <w:numFmt w:val="decimal"/>
      <w:start w:val="2"/>
    </w:lvl>
    <w:lvl w:ilvl="1">
      <w:lvlJc w:val="left"/>
      <w:lvlText w:val="(%2)"/>
      <w:numFmt w:val="decimal"/>
      <w:start w:val="4"/>
    </w:lvl>
  </w:abstractNum>
  <w:abstractNum w:abstractNumId="13">
    <w:nsid w:val="4E6AFB66"/>
    <w:multiLevelType w:val="hybridMultilevel"/>
    <w:lvl w:ilvl="0">
      <w:lvlJc w:val="left"/>
      <w:lvlText w:val="(%1)"/>
      <w:numFmt w:val="lowerRoman"/>
      <w:start w:val="1"/>
    </w:lvl>
  </w:abstractNum>
  <w:abstractNum w:abstractNumId="14">
    <w:nsid w:val="25E45D32"/>
    <w:multiLevelType w:val="hybridMultilevel"/>
    <w:lvl w:ilvl="0">
      <w:lvlJc w:val="left"/>
      <w:lvlText w:val="(%1)"/>
      <w:numFmt w:val="decimal"/>
      <w:start w:val="5"/>
    </w:lvl>
  </w:abstractNum>
  <w:abstractNum w:abstractNumId="15">
    <w:nsid w:val="519B500D"/>
    <w:multiLevelType w:val="hybridMultilevel"/>
    <w:lvl w:ilvl="0">
      <w:lvlJc w:val="left"/>
      <w:lvlText w:val="(%1)"/>
      <w:numFmt w:val="lowerRoman"/>
      <w:start w:val="1"/>
    </w:lvl>
  </w:abstractNum>
  <w:abstractNum w:abstractNumId="16">
    <w:nsid w:val="431BD7B7"/>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4"/>
    </w:lvl>
  </w:abstractNum>
  <w:abstractNum w:abstractNumId="17">
    <w:nsid w:val="3F2DBA31"/>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18">
    <w:nsid w:val="7C83E458"/>
    <w:multiLevelType w:val="hybridMultilevel"/>
    <w:lvl w:ilvl="0">
      <w:lvlJc w:val="left"/>
      <w:lvlText w:val="(%1)"/>
      <w:numFmt w:val="lowerRoman"/>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5"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62" Type="http://schemas.openxmlformats.org/officeDocument/2006/relationships/image" Target="media/image36.png"/><Relationship Id="rId79" Type="http://schemas.openxmlformats.org/officeDocument/2006/relationships/image" Target="media/image37.png"/><Relationship Id="rId90" Type="http://schemas.openxmlformats.org/officeDocument/2006/relationships/image" Target="media/image38.png"/><Relationship Id="rId91" Type="http://schemas.openxmlformats.org/officeDocument/2006/relationships/image" Target="media/image39.png"/><Relationship Id="rId92" Type="http://schemas.openxmlformats.org/officeDocument/2006/relationships/image" Target="media/image40.png"/><Relationship Id="rId93" Type="http://schemas.openxmlformats.org/officeDocument/2006/relationships/image" Target="media/image41.png"/><Relationship Id="rId94" Type="http://schemas.openxmlformats.org/officeDocument/2006/relationships/image" Target="media/image42.png"/><Relationship Id="rId95" Type="http://schemas.openxmlformats.org/officeDocument/2006/relationships/image" Target="media/image43.png"/><Relationship Id="rId96" Type="http://schemas.openxmlformats.org/officeDocument/2006/relationships/image" Target="media/image44.png"/><Relationship Id="rId97" Type="http://schemas.openxmlformats.org/officeDocument/2006/relationships/image" Target="media/image45.png"/><Relationship Id="rId98" Type="http://schemas.openxmlformats.org/officeDocument/2006/relationships/image" Target="media/image46.png"/><Relationship Id="rId24" Type="http://schemas.openxmlformats.org/officeDocument/2006/relationships/hyperlink" Target="https://www.sec.gov/ix?doc=/Archives/edgar/data/1410428/000110465926038330/xwel-20251231x10k.htm" TargetMode="External"/><Relationship Id="rId34" Type="http://schemas.openxmlformats.org/officeDocument/2006/relationships/hyperlink" Target="https://www.sec.gov/ix?doc=/Archives/edgar/data/1410428/000155837025004851/xwel-20241231x10k.htm" TargetMode="External"/><Relationship Id="rId36" Type="http://schemas.openxmlformats.org/officeDocument/2006/relationships/hyperlink" Target="https://www.sec.gov/ix?doc=/Archives/edgar/data/1410428/000110465926019431/tm267239d1_8k.htm" TargetMode="External"/><Relationship Id="rId37" Type="http://schemas.openxmlformats.org/officeDocument/2006/relationships/hyperlink" Target="https://www.sec.gov/ix?doc=/Archives/edgar/data/1410428/000110465926023569/tm268017d1_8k.htm" TargetMode="External"/><Relationship Id="rId38" Type="http://schemas.openxmlformats.org/officeDocument/2006/relationships/hyperlink" Target="https://www.sec.gov/Archives/edgar/data/1410428/000110465920048780/tm205324d1_ex4-22.htm" TargetMode="External"/><Relationship Id="rId48" Type="http://schemas.openxmlformats.org/officeDocument/2006/relationships/hyperlink" Target="https://www.sec.gov/Archives/edgar/data/1410428/000114420416117230/v446257_ex2-1.htm" TargetMode="External"/><Relationship Id="rId49" Type="http://schemas.openxmlformats.org/officeDocument/2006/relationships/hyperlink" Target="https://www.sec.gov/Archives/edgar/data/1410428/000114420416123414/v448507_ex2-1.htm" TargetMode="External"/><Relationship Id="rId50" Type="http://schemas.openxmlformats.org/officeDocument/2006/relationships/hyperlink" Target="https://www.sec.gov/Archives/edgar/data/1410428/000114420416129472/v451220_ex2-1.htm" TargetMode="External"/><Relationship Id="rId51" Type="http://schemas.openxmlformats.org/officeDocument/2006/relationships/hyperlink" Target="http://www.sec.gov/Archives/edgar/data/1410428/000110465926019431/tm267239d1_ex3-1.htm" TargetMode="External"/><Relationship Id="rId52" Type="http://schemas.openxmlformats.org/officeDocument/2006/relationships/hyperlink" Target="http://www.sec.gov/Archives/edgar/data/1410428/000110465926023569/tm268017d1_ex3-1.htm" TargetMode="External"/><Relationship Id="rId53" Type="http://schemas.openxmlformats.org/officeDocument/2006/relationships/hyperlink" Target="https://www.sec.gov/Archives/edgar/data/1410428/000114420416089189/v434655_ex4-1.htm" TargetMode="External"/><Relationship Id="rId54" Type="http://schemas.openxmlformats.org/officeDocument/2006/relationships/hyperlink" Target="https://www.sec.gov/Archives/edgar/data/1410428/000114420419015650/tv516755_ex10-1.htm" TargetMode="External"/><Relationship Id="rId55" Type="http://schemas.openxmlformats.org/officeDocument/2006/relationships/hyperlink" Target="https://www.sec.gov/Archives/edgar/data/1410428/000114420416129474/v449051_s4a.htm" TargetMode="External"/><Relationship Id="rId56" Type="http://schemas.openxmlformats.org/officeDocument/2006/relationships/hyperlink" Target="https://www.sec.gov/Archives/edgar/data/1410428/000114420418028911/tv492938_ex4-1.htm" TargetMode="External"/><Relationship Id="rId57" Type="http://schemas.openxmlformats.org/officeDocument/2006/relationships/hyperlink" Target="https://www.sec.gov/Archives/edgar/data/1410428/000114420419032532/tv524367_ex4-1.htm" TargetMode="External"/><Relationship Id="rId58" Type="http://schemas.openxmlformats.org/officeDocument/2006/relationships/hyperlink" Target="https://www.sec.gov/Archives/edgar/data/1410428/000114420419033939/tv524856_ex4-3.htm" TargetMode="External"/><Relationship Id="rId59" Type="http://schemas.openxmlformats.org/officeDocument/2006/relationships/hyperlink" Target="https://www.sec.gov/Archives/edgar/data/1410428/000110465920003636/tm203197d1_ex4-1.htm" TargetMode="External"/><Relationship Id="rId60" Type="http://schemas.openxmlformats.org/officeDocument/2006/relationships/hyperlink" Target="https://www.sec.gov/Archives/edgar/data/1410428/000110465920029962/tm2011914d1_ex4-1.htm" TargetMode="External"/><Relationship Id="rId61" Type="http://schemas.openxmlformats.org/officeDocument/2006/relationships/hyperlink" Target="https://www.sec.gov/Archives/edgar/data/1410428/000114420419033939/tv524856_ex4-1.htm" TargetMode="External"/><Relationship Id="rId63" Type="http://schemas.openxmlformats.org/officeDocument/2006/relationships/hyperlink" Target="https://www.sec.gov/Archives/edgar/data/1410428/000114420419033939/tv524856_ex4-2.htm" TargetMode="External"/><Relationship Id="rId64" Type="http://schemas.openxmlformats.org/officeDocument/2006/relationships/hyperlink" Target="https://www.sec.gov/Archives/edgar/data/1410428/000110465920035631/tm2013177d1_ex4-1.htm" TargetMode="External"/><Relationship Id="rId65" Type="http://schemas.openxmlformats.org/officeDocument/2006/relationships/hyperlink" Target="https://www.sec.gov/Archives/edgar/data/1410428/000110465920038562/tm2013765d1_ex4-1.htm" TargetMode="External"/><Relationship Id="rId66" Type="http://schemas.openxmlformats.org/officeDocument/2006/relationships/hyperlink" Target="https://www.sec.gov/Archives/edgar/data/1410428/000110465920039953/tm2014049d1_ex4-1.htm" TargetMode="External"/><Relationship Id="rId67" Type="http://schemas.openxmlformats.org/officeDocument/2006/relationships/hyperlink" Target="https://www.sec.gov/Archives/edgar/data/1410428/000110465920043879/tm2015133d1_ex4-1.htm" TargetMode="External"/><Relationship Id="rId68" Type="http://schemas.openxmlformats.org/officeDocument/2006/relationships/hyperlink" Target="https://www.sec.gov/Archives/edgar/data/1410428/000110465920048297/tm2016230-1_ex41.htm" TargetMode="External"/><Relationship Id="rId69" Type="http://schemas.openxmlformats.org/officeDocument/2006/relationships/hyperlink" Target="https://www.sec.gov/Archives/edgar/data/1410428/000110465920051103/tm2016889d1_ex4-1.htm" TargetMode="External"/><Relationship Id="rId70" Type="http://schemas.openxmlformats.org/officeDocument/2006/relationships/hyperlink" Target="https://www.sec.gov/Archives/edgar/data/1410428/000110465920074007/tm2022774d1_ex4-1.htm" TargetMode="External"/><Relationship Id="rId71" Type="http://schemas.openxmlformats.org/officeDocument/2006/relationships/hyperlink" Target="https://www.sec.gov/Archives/edgar/data/1410428/000110465920074007/tm2022774d1_ex4-2.htm" TargetMode="External"/><Relationship Id="rId72" Type="http://schemas.openxmlformats.org/officeDocument/2006/relationships/hyperlink" Target="https://www.sec.gov/Archives/edgar/data/1410428/000110465920100178/tm2029683d2_ex4-1.htm" TargetMode="External"/><Relationship Id="rId73" Type="http://schemas.openxmlformats.org/officeDocument/2006/relationships/hyperlink" Target="https://www.sec.gov/Archives/edgar/data/1410428/000110465920100178/tm2029683d2_ex4-2.htm" TargetMode="External"/><Relationship Id="rId74" Type="http://schemas.openxmlformats.org/officeDocument/2006/relationships/hyperlink" Target="https://www.sec.gov/Archives/edgar/data/1410428/000110465920100178/tm2029683d2_ex4-3.htm" TargetMode="External"/><Relationship Id="rId75" Type="http://schemas.openxmlformats.org/officeDocument/2006/relationships/hyperlink" Target="https://www.sec.gov/Archives/edgar/data/1410428/000110465920138085/tm2039005d1_ex4-1.htm" TargetMode="External"/><Relationship Id="rId76" Type="http://schemas.openxmlformats.org/officeDocument/2006/relationships/hyperlink" Target="https://www.sec.gov/Archives/edgar/data/1410428/000110465920138085/tm2039005d1_ex4-2.htm" TargetMode="External"/><Relationship Id="rId77" Type="http://schemas.openxmlformats.org/officeDocument/2006/relationships/hyperlink" Target="https://www.sec.gov/Archives/edgar/data/1410428/000110465924090328/tm2421867d1_ex4-1.htm" TargetMode="External"/><Relationship Id="rId78" Type="http://schemas.openxmlformats.org/officeDocument/2006/relationships/hyperlink" Target="https://www.sec.gov/Archives/edgar/data/1410428/000114420419035414/tv525226_ex4-14.htm" TargetMode="External"/><Relationship Id="rId80" Type="http://schemas.openxmlformats.org/officeDocument/2006/relationships/hyperlink" Target="https://www.sec.gov/Archives/edgar/data/1410428/000114420419035414/tv525226_ex4-15.htm" TargetMode="External"/><Relationship Id="rId81" Type="http://schemas.openxmlformats.org/officeDocument/2006/relationships/hyperlink" Target="http://www.sec.gov/Archives/edgar/data/1410428/000110465925106407/tm2530065d1_ex4-1.htm" TargetMode="External"/><Relationship Id="rId82" Type="http://schemas.openxmlformats.org/officeDocument/2006/relationships/hyperlink" Target="http://www.sec.gov/Archives/edgar/data/1410428/000110465925106407/tm2530065d1_ex4-2.htm" TargetMode="External"/><Relationship Id="rId83" Type="http://schemas.openxmlformats.org/officeDocument/2006/relationships/hyperlink" Target="http://www.sec.gov/Archives/edgar/data/1410428/000110465925106407/tm2530065d1_ex4-3.htm" TargetMode="External"/><Relationship Id="rId84" Type="http://schemas.openxmlformats.org/officeDocument/2006/relationships/hyperlink" Target="http://www.sec.gov/Archives/edgar/data/1410428/000110465926019431/tm267239d1_ex4-1.htm" TargetMode="External"/><Relationship Id="rId85" Type="http://schemas.openxmlformats.org/officeDocument/2006/relationships/hyperlink" Target="http://www.sec.gov/Archives/edgar/data/1410428/000110465926019431/tm267239d1_ex4-2.htm" TargetMode="External"/><Relationship Id="rId86" Type="http://schemas.openxmlformats.org/officeDocument/2006/relationships/hyperlink" Target="http://www.sec.gov/Archives/edgar/data/1410428/000110465926019431/tm267239d1_ex10-1.htm" TargetMode="External"/><Relationship Id="rId87" Type="http://schemas.openxmlformats.org/officeDocument/2006/relationships/hyperlink" Target="http://www.sec.gov/Archives/edgar/data/1410428/000110465926019431/tm267239d1_ex10-2.htm" TargetMode="External"/><Relationship Id="rId88" Type="http://schemas.openxmlformats.org/officeDocument/2006/relationships/hyperlink" Target="http://www.sec.gov/Archives/edgar/data/1410428/000110465926019431/tm267239d1_ex10-3.htm" TargetMode="External"/><Relationship Id="rId89" Type="http://schemas.openxmlformats.org/officeDocument/2006/relationships/hyperlink" Target="http://www.sec.gov/Archives/edgar/data/1410428/000110465926019431/tm267239d1_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2026-04-01T16:16:08Z</dcterms:created>
  <dcterms:modified xsi:type="dcterms:W3CDTF">2026-04-01T16:16:08Z</dcterms:modified>
</cp:coreProperties>
</file>