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6"/>
              </w:rPr>
            </w:pPr>
            <w:hyperlink r:id="rId12">
              <w:r>
                <w:rPr>
                  <w:rFonts w:ascii="Arial" w:cs="Arial" w:eastAsia="Arial" w:hAnsi="Arial"/>
                  <w:sz w:val="21"/>
                  <w:szCs w:val="21"/>
                  <w:color w:val="0000EE"/>
                  <w:w w:val="96"/>
                </w:rPr>
                <w:t>Bernstein Bruce</w:t>
              </w:r>
            </w:hyperlink>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restart"/>
          </w:tcPr>
          <w:p>
            <w:pPr>
              <w:spacing w:after="0"/>
              <w:rPr>
                <w:sz w:val="20"/>
                <w:szCs w:val="20"/>
                <w:color w:val="auto"/>
              </w:rPr>
            </w:pPr>
            <w:r>
              <w:rPr>
                <w:rFonts w:ascii="Arial" w:cs="Arial" w:eastAsia="Arial" w:hAnsi="Arial"/>
                <w:sz w:val="17"/>
                <w:szCs w:val="17"/>
                <w:color w:val="0000FF"/>
              </w:rPr>
              <w:t>C/O VRINGO INC.</w:t>
            </w: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gridSpan w:val="5"/>
          </w:tcPr>
          <w:p>
            <w:pPr>
              <w:ind w:left="280"/>
              <w:spacing w:after="0"/>
              <w:rPr>
                <w:sz w:val="20"/>
                <w:szCs w:val="20"/>
                <w:color w:val="auto"/>
              </w:rPr>
            </w:pPr>
            <w:r>
              <w:rPr>
                <w:rFonts w:ascii="Arial" w:cs="Arial" w:eastAsia="Arial" w:hAnsi="Arial"/>
                <w:sz w:val="17"/>
                <w:szCs w:val="17"/>
                <w:color w:val="0000FF"/>
              </w:rPr>
              <w:t>04/04/2016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780 THIRD AVENUE, 12TH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3"/>
          </w:tcPr>
          <w:p>
            <w:pPr>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3"/>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9"/>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gridSpan w:val="2"/>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ind w:left="220"/>
              <w:spacing w:after="0"/>
              <w:rPr>
                <w:sz w:val="20"/>
                <w:szCs w:val="20"/>
                <w:color w:val="auto"/>
              </w:rPr>
            </w:pPr>
            <w:r>
              <w:rPr>
                <w:rFonts w:ascii="Arial" w:cs="Arial" w:eastAsia="Arial" w:hAnsi="Arial"/>
                <w:sz w:val="13"/>
                <w:szCs w:val="13"/>
                <w:color w:val="0000FF"/>
              </w:rPr>
              <w:t>04/04/2016</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gridSpan w:val="2"/>
          </w:tcPr>
          <w:p>
            <w:pPr>
              <w:ind w:left="160"/>
              <w:spacing w:after="0"/>
              <w:rPr>
                <w:sz w:val="20"/>
                <w:szCs w:val="20"/>
                <w:color w:val="auto"/>
              </w:rPr>
            </w:pPr>
            <w:r>
              <w:rPr>
                <w:rFonts w:ascii="Arial" w:cs="Arial" w:eastAsia="Arial" w:hAnsi="Arial"/>
                <w:sz w:val="13"/>
                <w:szCs w:val="13"/>
                <w:color w:val="0000FF"/>
              </w:rPr>
              <w:t>60,000</w:t>
            </w:r>
          </w:p>
        </w:tc>
        <w:tc>
          <w:tcPr>
            <w:tcW w:w="340" w:type="dxa"/>
            <w:vAlign w:val="bottom"/>
          </w:tcPr>
          <w:p>
            <w:pPr>
              <w:spacing w:after="0"/>
              <w:rPr>
                <w:sz w:val="22"/>
                <w:szCs w:val="22"/>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04/04/2026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22"/>
                <w:szCs w:val="22"/>
                <w:color w:val="auto"/>
              </w:rPr>
            </w:pPr>
          </w:p>
        </w:tc>
        <w:tc>
          <w:tcPr>
            <w:tcW w:w="720" w:type="dxa"/>
            <w:vAlign w:val="bottom"/>
            <w:gridSpan w:val="2"/>
          </w:tcPr>
          <w:p>
            <w:pPr>
              <w:ind w:left="16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60,000</w:t>
            </w:r>
          </w:p>
        </w:tc>
        <w:tc>
          <w:tcPr>
            <w:tcW w:w="280" w:type="dxa"/>
            <w:vAlign w:val="bottom"/>
          </w:tcPr>
          <w:p>
            <w:pPr>
              <w:spacing w:after="0"/>
              <w:rPr>
                <w:sz w:val="22"/>
                <w:szCs w:val="22"/>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were issued as part of the Issuer's annual equity compensation to non-employee directors. Options to purchase 50,000 shares of common stock were issued in consideration for the Reporting Person's service on the Issuer's Board of Directors. Options to purchase 10,000 shares of common stock were issued in consideration for the Reporting Person's service as Chairman of the Issuer's Compensation Committee of the Board of Directors.</w:t>
      </w:r>
    </w:p>
    <w:p>
      <w:pPr>
        <w:spacing w:after="0" w:line="21"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to purchase shares of common stock of the Issuer vest in equal quarterly installments over a one-year period, with one-fourth vesting on the date of grant and one-fourth vesting at the end of each fiscal quarter thereafter.</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Bruce Bernstein</w:t>
            </w:r>
          </w:p>
        </w:tc>
        <w:tc>
          <w:tcPr>
            <w:tcW w:w="9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04/06/2016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547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2019-12-08T15:16:56Z</dcterms:created>
  <dcterms:modified xsi:type="dcterms:W3CDTF">2019-12-08T15:16:56Z</dcterms:modified>
</cp:coreProperties>
</file>