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ind w:right="1700" w:firstLine="8"/>
        <w:spacing w:after="0" w:line="261" w:lineRule="auto"/>
        <w:tabs>
          <w:tab w:leader="none" w:pos="91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(Mark One)</w:t>
      </w:r>
    </w:p>
    <w:p>
      <w:pPr>
        <w:jc w:val="center"/>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080" w:right="1340" w:hanging="4072"/>
        <w:spacing w:after="0" w:line="282" w:lineRule="auto"/>
        <w:tabs>
          <w:tab w:leader="none" w:pos="93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___to _____</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20-4988129</w:t>
            </w:r>
          </w:p>
        </w:tc>
        <w:tc>
          <w:tcPr>
            <w:tcW w:w="2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(State or other jurisdiction of incorporation or</w:t>
            </w:r>
          </w:p>
        </w:tc>
        <w:tc>
          <w:tcPr>
            <w:tcW w:w="5460" w:type="dxa"/>
            <w:vAlign w:val="bottom"/>
            <w:gridSpan w:val="3"/>
          </w:tcPr>
          <w:p>
            <w:pPr>
              <w:jc w:val="center"/>
              <w:ind w:right="1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0" w:type="dxa"/>
            <w:vAlign w:val="bottom"/>
          </w:tcPr>
          <w:p>
            <w:pPr>
              <w:spacing w:after="0"/>
              <w:rPr>
                <w:sz w:val="20"/>
                <w:szCs w:val="20"/>
                <w:color w:val="auto"/>
              </w:rPr>
            </w:pPr>
          </w:p>
        </w:tc>
        <w:tc>
          <w:tcPr>
            <w:tcW w:w="59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organization)</w:t>
            </w:r>
          </w:p>
        </w:tc>
        <w:tc>
          <w:tcPr>
            <w:tcW w:w="2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54"/>
        </w:trPr>
        <w:tc>
          <w:tcPr>
            <w:tcW w:w="20" w:type="dxa"/>
            <w:vAlign w:val="bottom"/>
          </w:tcPr>
          <w:p>
            <w:pPr>
              <w:spacing w:after="0"/>
              <w:rPr>
                <w:sz w:val="24"/>
                <w:szCs w:val="24"/>
                <w:color w:val="auto"/>
              </w:rPr>
            </w:pPr>
          </w:p>
        </w:tc>
        <w:tc>
          <w:tcPr>
            <w:tcW w:w="5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2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5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New York, NY</w:t>
            </w:r>
          </w:p>
        </w:tc>
        <w:tc>
          <w:tcPr>
            <w:tcW w:w="33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10017</w:t>
            </w:r>
          </w:p>
        </w:tc>
        <w:tc>
          <w:tcPr>
            <w:tcW w:w="21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(Address of principal executive offices)</w:t>
            </w:r>
          </w:p>
        </w:tc>
        <w:tc>
          <w:tcPr>
            <w:tcW w:w="3340" w:type="dxa"/>
            <w:vAlign w:val="bottom"/>
            <w:gridSpan w:val="2"/>
          </w:tcPr>
          <w:p>
            <w:pPr>
              <w:jc w:val="center"/>
              <w:ind w:left="1790"/>
              <w:spacing w:after="0"/>
              <w:rPr>
                <w:sz w:val="20"/>
                <w:szCs w:val="20"/>
                <w:color w:val="auto"/>
              </w:rPr>
            </w:pPr>
            <w:r>
              <w:rPr>
                <w:rFonts w:ascii="Arial" w:cs="Arial" w:eastAsia="Arial" w:hAnsi="Arial"/>
                <w:sz w:val="18"/>
                <w:szCs w:val="18"/>
                <w:color w:val="auto"/>
                <w:w w:val="91"/>
              </w:rPr>
              <w:t>(Zip Code)</w:t>
            </w:r>
          </w:p>
        </w:tc>
        <w:tc>
          <w:tcPr>
            <w:tcW w:w="21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65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309-7549</w:t>
            </w: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Title of each class</w:t>
            </w:r>
          </w:p>
        </w:tc>
        <w:tc>
          <w:tcPr>
            <w:tcW w:w="5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340" w:type="dxa"/>
            <w:vAlign w:val="bottom"/>
          </w:tcPr>
          <w:p>
            <w:pPr>
              <w:spacing w:after="0"/>
              <w:rPr>
                <w:sz w:val="19"/>
                <w:szCs w:val="19"/>
                <w:color w:val="auto"/>
              </w:rPr>
            </w:pPr>
          </w:p>
        </w:tc>
        <w:tc>
          <w:tcPr>
            <w:tcW w:w="54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418"/>
        </w:trPr>
        <w:tc>
          <w:tcPr>
            <w:tcW w:w="20" w:type="dxa"/>
            <w:vAlign w:val="bottom"/>
          </w:tcPr>
          <w:p>
            <w:pPr>
              <w:spacing w:after="0"/>
              <w:rPr>
                <w:sz w:val="24"/>
                <w:szCs w:val="24"/>
                <w:color w:val="auto"/>
              </w:rPr>
            </w:pPr>
          </w:p>
        </w:tc>
        <w:tc>
          <w:tcPr>
            <w:tcW w:w="8600" w:type="dxa"/>
            <w:vAlign w:val="bottom"/>
            <w:gridSpan w:val="3"/>
          </w:tcPr>
          <w:p>
            <w:pPr>
              <w:ind w:left="3280"/>
              <w:spacing w:after="0"/>
              <w:rPr>
                <w:sz w:val="20"/>
                <w:szCs w:val="20"/>
                <w:color w:val="auto"/>
              </w:rPr>
            </w:pPr>
            <w:r>
              <w:rPr>
                <w:rFonts w:ascii="Arial" w:cs="Arial" w:eastAsia="Arial" w:hAnsi="Arial"/>
                <w:sz w:val="18"/>
                <w:szCs w:val="18"/>
                <w:b w:val="1"/>
                <w:bCs w:val="1"/>
                <w:color w:val="auto"/>
                <w:w w:val="97"/>
              </w:rPr>
              <w:t>Securities registered pursuant to Section 12(g) of the Act: None</w:t>
            </w: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52"/>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12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212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18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18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00" w:type="dxa"/>
            <w:vAlign w:val="bottom"/>
          </w:tcPr>
          <w:p>
            <w:pPr>
              <w:ind w:left="218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(without admitting that any person whose shares are not included in such calculation is an affiliate), computed by reference to the closing sale price of such shares on The Nasdaq Stock Market LLC on June 30, 2018 was $5,400,389.</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April 28, 2019, 1,956,712 shares of the registrant's common stock were outstanding.</w:t>
      </w:r>
    </w:p>
    <w:p>
      <w:pPr>
        <w:sectPr>
          <w:pgSz w:w="11900" w:h="16838" w:orient="portrait"/>
          <w:cols w:equalWidth="0" w:num="1">
            <w:col w:w="11420"/>
          </w:cols>
          <w:pgMar w:left="240" w:top="729" w:right="239" w:bottom="0" w:gutter="0" w:footer="0" w:header="0"/>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t>DOCUMENTS INCORPORATED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161925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179070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479425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gridSpan w:val="4"/>
          </w:tcPr>
          <w:p>
            <w:pPr>
              <w:ind w:left="12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gridSpan w:val="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Explanatory Note</w:t>
              </w:r>
            </w:hyperlink>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center"/>
              <w:ind w:left="770"/>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3</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gridSpan w:val="2"/>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80" w:type="dxa"/>
            <w:vAlign w:val="bottom"/>
            <w:gridSpan w:val="1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1040" w:type="dxa"/>
            <w:vAlign w:val="bottom"/>
            <w:gridSpan w:val="4"/>
            <w:shd w:val="clear" w:color="auto" w:fill="CCEEFF"/>
          </w:tcPr>
          <w:p>
            <w:pPr>
              <w:jc w:val="center"/>
              <w:ind w:left="770"/>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20" w:type="dxa"/>
            <w:vAlign w:val="bottom"/>
            <w:gridSpan w:val="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PART III</w:t>
              </w:r>
            </w:hyperlink>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gridSpan w:val="7"/>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10:</w:t>
              </w:r>
            </w:hyperlink>
          </w:p>
        </w:tc>
        <w:tc>
          <w:tcPr>
            <w:tcW w:w="8160" w:type="dxa"/>
            <w:vAlign w:val="bottom"/>
            <w:gridSpan w:val="8"/>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Directors, Executive Officers and Corporate Governance</w:t>
              </w:r>
            </w:hyperlink>
          </w:p>
        </w:tc>
        <w:tc>
          <w:tcPr>
            <w:tcW w:w="1040" w:type="dxa"/>
            <w:vAlign w:val="bottom"/>
            <w:gridSpan w:val="4"/>
          </w:tcPr>
          <w:p>
            <w:pPr>
              <w:jc w:val="center"/>
              <w:ind w:left="77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5</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60" w:type="dxa"/>
            <w:vAlign w:val="bottom"/>
            <w:gridSpan w:val="7"/>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11:</w:t>
              </w:r>
            </w:hyperlink>
          </w:p>
        </w:tc>
        <w:tc>
          <w:tcPr>
            <w:tcW w:w="8160" w:type="dxa"/>
            <w:vAlign w:val="bottom"/>
            <w:gridSpan w:val="8"/>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Executive Compensation</w:t>
              </w:r>
            </w:hyperlink>
          </w:p>
        </w:tc>
        <w:tc>
          <w:tcPr>
            <w:tcW w:w="1040" w:type="dxa"/>
            <w:vAlign w:val="bottom"/>
            <w:gridSpan w:val="4"/>
            <w:shd w:val="clear" w:color="auto" w:fill="CCEEFF"/>
          </w:tcPr>
          <w:p>
            <w:pPr>
              <w:jc w:val="center"/>
              <w:ind w:left="770"/>
              <w:spacing w:after="0" w:line="17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9</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gridSpan w:val="7"/>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12:</w:t>
              </w:r>
            </w:hyperlink>
          </w:p>
        </w:tc>
        <w:tc>
          <w:tcPr>
            <w:tcW w:w="8160" w:type="dxa"/>
            <w:vAlign w:val="bottom"/>
            <w:gridSpan w:val="8"/>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Security Ownership of Certain Beneficial Owners and Management and Related Stockholder Matters</w:t>
              </w:r>
            </w:hyperlink>
          </w:p>
        </w:tc>
        <w:tc>
          <w:tcPr>
            <w:tcW w:w="1040" w:type="dxa"/>
            <w:vAlign w:val="bottom"/>
            <w:gridSpan w:val="4"/>
          </w:tcPr>
          <w:p>
            <w:pPr>
              <w:jc w:val="center"/>
              <w:ind w:left="770"/>
              <w:spacing w:after="0" w:line="17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14</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gridSpan w:val="5"/>
            <w:shd w:val="clear" w:color="auto" w:fill="CCEEFF"/>
          </w:tcPr>
          <w:p>
            <w:pPr>
              <w:spacing w:after="0" w:line="17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Item 13:</w:t>
              </w:r>
            </w:hyperlink>
          </w:p>
        </w:tc>
        <w:tc>
          <w:tcPr>
            <w:tcW w:w="540" w:type="dxa"/>
            <w:vAlign w:val="bottom"/>
            <w:gridSpan w:val="2"/>
            <w:shd w:val="clear" w:color="auto" w:fill="CCEEFF"/>
          </w:tcPr>
          <w:p>
            <w:pPr>
              <w:spacing w:after="0"/>
              <w:rPr>
                <w:sz w:val="17"/>
                <w:szCs w:val="17"/>
                <w:color w:val="auto"/>
              </w:rPr>
            </w:pPr>
          </w:p>
        </w:tc>
        <w:tc>
          <w:tcPr>
            <w:tcW w:w="8160" w:type="dxa"/>
            <w:vAlign w:val="bottom"/>
            <w:gridSpan w:val="8"/>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Certain Relationships and Related Transactions, and Director Independence</w:t>
              </w:r>
            </w:hyperlink>
          </w:p>
        </w:tc>
        <w:tc>
          <w:tcPr>
            <w:tcW w:w="1040" w:type="dxa"/>
            <w:vAlign w:val="bottom"/>
            <w:gridSpan w:val="4"/>
            <w:shd w:val="clear" w:color="auto" w:fill="CCEEFF"/>
          </w:tcPr>
          <w:p>
            <w:pPr>
              <w:jc w:val="center"/>
              <w:ind w:left="770"/>
              <w:spacing w:after="0" w:line="17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17</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620" w:type="dxa"/>
            <w:vAlign w:val="bottom"/>
            <w:tcBorders>
              <w:top w:val="single" w:sz="8" w:color="0000EE"/>
            </w:tcBorders>
            <w:gridSpan w:val="5"/>
          </w:tcPr>
          <w:p>
            <w:pPr>
              <w:spacing w:after="0" w:line="17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Item 14:</w:t>
              </w:r>
            </w:hyperlink>
          </w:p>
        </w:tc>
        <w:tc>
          <w:tcPr>
            <w:tcW w:w="540" w:type="dxa"/>
            <w:vAlign w:val="bottom"/>
            <w:tcBorders>
              <w:top w:val="single" w:sz="8" w:color="CCEEFF"/>
            </w:tcBorders>
            <w:gridSpan w:val="2"/>
          </w:tcPr>
          <w:p>
            <w:pPr>
              <w:spacing w:after="0"/>
              <w:rPr>
                <w:sz w:val="15"/>
                <w:szCs w:val="15"/>
                <w:color w:val="auto"/>
              </w:rPr>
            </w:pPr>
          </w:p>
        </w:tc>
        <w:tc>
          <w:tcPr>
            <w:tcW w:w="544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Principal Accounting Fees and Services</w:t>
              </w:r>
            </w:hyperlink>
          </w:p>
        </w:tc>
        <w:tc>
          <w:tcPr>
            <w:tcW w:w="2720" w:type="dxa"/>
            <w:vAlign w:val="bottom"/>
            <w:tcBorders>
              <w:top w:val="single" w:sz="8" w:color="CCEEFF"/>
            </w:tcBorders>
            <w:gridSpan w:val="2"/>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17</w:t>
              </w:r>
            </w:hyperlink>
          </w:p>
        </w:tc>
        <w:tc>
          <w:tcPr>
            <w:tcW w:w="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20" w:type="dxa"/>
            <w:vAlign w:val="bottom"/>
            <w:gridSpan w:val="8"/>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PART IV</w:t>
              </w:r>
            </w:hyperlink>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60" w:type="dxa"/>
            <w:vAlign w:val="bottom"/>
            <w:gridSpan w:val="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15:</w:t>
              </w:r>
            </w:hyperlink>
          </w:p>
        </w:tc>
        <w:tc>
          <w:tcPr>
            <w:tcW w:w="8160" w:type="dxa"/>
            <w:vAlign w:val="bottom"/>
            <w:gridSpan w:val="8"/>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Exhibits, Financial Statement Schedules</w:t>
              </w:r>
            </w:hyperlink>
          </w:p>
        </w:tc>
        <w:tc>
          <w:tcPr>
            <w:tcW w:w="1040" w:type="dxa"/>
            <w:vAlign w:val="bottom"/>
            <w:gridSpan w:val="4"/>
            <w:shd w:val="clear" w:color="auto" w:fill="CCEEFF"/>
          </w:tcPr>
          <w:p>
            <w:pPr>
              <w:jc w:val="center"/>
              <w:ind w:left="77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18</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gridSpan w:val="8"/>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Signature Page</w:t>
              </w:r>
            </w:hyperlink>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center"/>
              <w:ind w:left="77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18</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4100" w:type="dxa"/>
            <w:vAlign w:val="bottom"/>
            <w:tcBorders>
              <w:top w:val="single" w:sz="8" w:color="CCEEFF"/>
              <w:bottom w:val="single" w:sz="8" w:color="auto"/>
            </w:tcBorders>
            <w:gridSpan w:val="5"/>
          </w:tcPr>
          <w:p>
            <w:pPr>
              <w:ind w:left="3940"/>
              <w:spacing w:after="0"/>
              <w:rPr>
                <w:sz w:val="20"/>
                <w:szCs w:val="20"/>
                <w:color w:val="auto"/>
              </w:rPr>
            </w:pPr>
            <w:r>
              <w:rPr>
                <w:rFonts w:ascii="Arial" w:cs="Arial" w:eastAsia="Arial" w:hAnsi="Arial"/>
                <w:sz w:val="18"/>
                <w:szCs w:val="18"/>
                <w:color w:val="auto"/>
              </w:rPr>
              <w:t>2</w:t>
            </w:r>
          </w:p>
        </w:tc>
        <w:tc>
          <w:tcPr>
            <w:tcW w:w="1340" w:type="dxa"/>
            <w:vAlign w:val="bottom"/>
            <w:tcBorders>
              <w:top w:val="single" w:sz="8" w:color="CCEEFF"/>
              <w:bottom w:val="single" w:sz="8" w:color="auto"/>
            </w:tcBorders>
          </w:tcPr>
          <w:p>
            <w:pPr>
              <w:spacing w:after="0"/>
              <w:rPr>
                <w:sz w:val="24"/>
                <w:szCs w:val="24"/>
                <w:color w:val="auto"/>
              </w:rPr>
            </w:pPr>
          </w:p>
        </w:tc>
        <w:tc>
          <w:tcPr>
            <w:tcW w:w="184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Amendment No. 1 on Form 10-K/A (this “Form 10-K/A”) amends the Annual Report on Form 10-K of XpresSpa Group, Inc. (“XpresSpa Group” or the “Company”) for the fiscal year ended December 31, 2018, as originally filed with the Securities and Exchange Commission (the “SEC”) on April 1, 2019 (the “Original Filing”). This Form 10-K/A amends the Original Filing to include the information required by Part III of the Original Filing because the Company has not and will not file a definitive proxy statement within 120 days after the end of its 2018 fiscal year. In addition, this Form 10-K/A amends Item 15 of Part IV of the Original Filing to include new certifications by our principal executive officer and principal financial officer under Section 302 of the Sarbanes-Oxley Act of 2002, as required by Rule 12b-15 under the Securities Exchange Act of 1934, as amended (the “Exchange 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for the foregoing, we have not modified or updated disclosures presented in the Original Filing in this Form 10-K/A. Accordingly, this Form 10-K/A does not modify or update the disclosures in the Original Filing to reflect subsequent events, results or developments or facts that have become known to us after the date of the Original Filing. Information not affected by this amendment remains unchanged and reflects the disclosures made at the time the Original Filing was filed. Therefore, this Form 10-K/A should be read in conjunction with any documents incorporated by reference therein and our filings made with the SEC subsequent to the Original Filing.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Form 10-K/A contains “forward-looking statements” within the meaning of the Private Securities Litigation Reform Act of 1995. Such statements are based on management’s expectations and are subject to certain factors, risks and uncertainties that may cause actual results, outcome of events, timing and performance to differ materially from those expressed or implied by such forward-looking statements. Forward-looking statements should be evaluated together with the many uncertainties that affect our business, particularly those mentioned in the Risk Factors in Item 1A of our Original Filing and in our periodic reports on Form 10-Q and Form 8-K.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references in this Form 10-K/A to “we,” “us” and “our” refer to XpresSpa Group, Inc., a Delaware corporation, and its consolidated subsidiaries unless the context requires otherwise.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Set forth below are the names of our directors and executive officers, their ages (as of the filing date of this Form 10-K/A),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880" w:type="dxa"/>
            <w:vAlign w:val="bottom"/>
            <w:gridSpan w:val="2"/>
          </w:tcPr>
          <w:p>
            <w:pPr>
              <w:jc w:val="right"/>
              <w:ind w:right="1900"/>
              <w:spacing w:after="0"/>
              <w:rPr>
                <w:sz w:val="20"/>
                <w:szCs w:val="20"/>
                <w:color w:val="auto"/>
              </w:rPr>
            </w:pPr>
            <w:r>
              <w:rPr>
                <w:rFonts w:ascii="Arial" w:cs="Arial" w:eastAsia="Arial" w:hAnsi="Arial"/>
                <w:sz w:val="18"/>
                <w:szCs w:val="18"/>
                <w:b w:val="1"/>
                <w:bCs w:val="1"/>
                <w:color w:val="auto"/>
              </w:rPr>
              <w:t>Age</w:t>
            </w:r>
          </w:p>
        </w:tc>
        <w:tc>
          <w:tcPr>
            <w:tcW w:w="3640" w:type="dxa"/>
            <w:vAlign w:val="bottom"/>
          </w:tcPr>
          <w:p>
            <w:pPr>
              <w:ind w:left="680"/>
              <w:spacing w:after="0"/>
              <w:rPr>
                <w:sz w:val="20"/>
                <w:szCs w:val="20"/>
                <w:color w:val="auto"/>
              </w:rPr>
            </w:pPr>
            <w:r>
              <w:rPr>
                <w:rFonts w:ascii="Arial" w:cs="Arial" w:eastAsia="Arial" w:hAnsi="Arial"/>
                <w:sz w:val="18"/>
                <w:szCs w:val="18"/>
                <w:b w:val="1"/>
                <w:bCs w:val="1"/>
                <w:color w:val="auto"/>
              </w:rPr>
              <w:t>Position(s) with the Company</w:t>
            </w: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Douglas Satzman</w:t>
            </w:r>
          </w:p>
        </w:tc>
        <w:tc>
          <w:tcPr>
            <w:tcW w:w="12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right"/>
              <w:ind w:right="1590"/>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57"/>
        </w:trPr>
        <w:tc>
          <w:tcPr>
            <w:tcW w:w="3900" w:type="dxa"/>
            <w:vAlign w:val="bottom"/>
            <w:gridSpan w:val="2"/>
          </w:tcPr>
          <w:p>
            <w:pPr>
              <w:spacing w:after="0" w:line="256" w:lineRule="exact"/>
              <w:rPr>
                <w:sz w:val="20"/>
                <w:szCs w:val="20"/>
                <w:color w:val="auto"/>
              </w:rPr>
            </w:pPr>
            <w:r>
              <w:rPr>
                <w:rFonts w:ascii="Arial" w:cs="Arial" w:eastAsia="Arial" w:hAnsi="Arial"/>
                <w:sz w:val="18"/>
                <w:szCs w:val="18"/>
                <w:color w:val="auto"/>
              </w:rPr>
              <w:t>Bruce T. Bernstein*</w:t>
            </w:r>
            <w:r>
              <w:rPr>
                <w:rFonts w:ascii="Arial" w:cs="Arial" w:eastAsia="Arial" w:hAnsi="Arial"/>
                <w:sz w:val="29"/>
                <w:szCs w:val="29"/>
                <w:color w:val="auto"/>
                <w:vertAlign w:val="superscript"/>
              </w:rPr>
              <w:t>(1)(2)(3)</w:t>
            </w:r>
          </w:p>
        </w:tc>
        <w:tc>
          <w:tcPr>
            <w:tcW w:w="3660" w:type="dxa"/>
            <w:vAlign w:val="bottom"/>
          </w:tcPr>
          <w:p>
            <w:pPr>
              <w:jc w:val="right"/>
              <w:ind w:right="159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2"/>
                <w:szCs w:val="22"/>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(2)</w:t>
            </w:r>
          </w:p>
        </w:tc>
        <w:tc>
          <w:tcPr>
            <w:tcW w:w="366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3900" w:type="dxa"/>
            <w:vAlign w:val="bottom"/>
            <w:gridSpan w:val="2"/>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(1)(2)(3)</w:t>
            </w:r>
          </w:p>
        </w:tc>
        <w:tc>
          <w:tcPr>
            <w:tcW w:w="3660" w:type="dxa"/>
            <w:vAlign w:val="bottom"/>
          </w:tcPr>
          <w:p>
            <w:pPr>
              <w:jc w:val="right"/>
              <w:ind w:right="159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2"/>
                <w:szCs w:val="22"/>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R. Heyer*</w:t>
            </w:r>
          </w:p>
        </w:tc>
        <w:tc>
          <w:tcPr>
            <w:tcW w:w="366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Independent director under the rules of The Nasdaq Stock Market</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 Current member of Compensation Committee</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 Current member of Audit Committee</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 Current member of Nominating and Corporate Governance Committee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w:t>
      </w:r>
      <w:r>
        <w:rPr>
          <w:rFonts w:ascii="Arial" w:cs="Arial" w:eastAsia="Arial" w:hAnsi="Arial"/>
          <w:sz w:val="18"/>
          <w:szCs w:val="18"/>
          <w:b w:val="1"/>
          <w:bCs w:val="1"/>
          <w:color w:val="auto"/>
        </w:rPr>
        <w:t>:</w:t>
      </w:r>
      <w:r>
        <w:rPr>
          <w:rFonts w:ascii="Arial" w:cs="Arial" w:eastAsia="Arial" w:hAnsi="Arial"/>
          <w:sz w:val="18"/>
          <w:szCs w:val="18"/>
          <w:color w:val="auto"/>
        </w:rPr>
        <w:t xml:space="preserve"> Bruce T. Bernstein, Donald E. Stout, Salvatore Giardina, and Andrew R. Heyer.</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Douglas Satzman </w:t>
      </w:r>
      <w:r>
        <w:rPr>
          <w:rFonts w:ascii="Arial" w:cs="Arial" w:eastAsia="Arial" w:hAnsi="Arial"/>
          <w:sz w:val="16"/>
          <w:szCs w:val="16"/>
          <w:color w:val="auto"/>
        </w:rPr>
        <w:t>has served as our Chief Executive Officer and as a member of our Board of Directors since February 11, 2019. Mr. Satzman most recently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CEO of Joe Coffee Company, a premium Specialty Coffee chain serving craft roasted coffee and artisanal food items with over 20 company owned cafes in New York City and Philadelphia. During his tenure, he created a multi-channel national growth plan, created infrastructure and assembled a leadership team after the first private equity investment in the 15 year-old family business. Previously, Mr. Satzman was Chief Executive Officer, U.S. of Le Pain Quotidien, a premium Bakery &amp; Full Service Restaurant chain serving artisanal breads/pastries, organic products &amp; wholesome cuisine in over 90 company-owned restaurants across the U.S. where he developed a long-term growth strategy focused on building organic sales, opening new stores and markets, creating multi-channel growth platforms and leveraging technology. He also re-organized the corporate and field teams which resulted in improved customer service, improved store level support and reduced costs. Prior to that, Mr. Satzman spent 14 years at Starbucks Coffee Company where he held roles of increasing responsibility across the U.S. and Europe, culminating in being named Senior Vice-President, EMEA Business Development &amp; Channel Operations. In that role, he led and delivered a high growth strategy across Europe, Russia, Middle East and Africa as well as non-company owned retail operations across more than 35 countries. During his assignments in the U.S. and EMEA, Mr. Satzman’s direct responsibilities included leading the travel vertical, including operations and business development across all airports resulting in significant revenue, profit and growth.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believe Mr. Saltzman’s extensive experience in the retail industry qualifies him to serve on our Board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Bruce T. Bernstein </w:t>
      </w:r>
      <w:r>
        <w:rPr>
          <w:rFonts w:ascii="Arial" w:cs="Arial" w:eastAsia="Arial" w:hAnsi="Arial"/>
          <w:sz w:val="17"/>
          <w:szCs w:val="17"/>
          <w:color w:val="auto"/>
        </w:rPr>
        <w:t>joined our Board of Directors in February 2016 and has served as the Chairman of our Board of Directors since February 2018.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Bernstein has over thirty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Neurotrope, Inc. Mr. Bernstein is also a member of the board of Summit Digital Health, a laser-based blood glucose monitor distributor, based in New Jersey. Mr. Bernstein holds a B.B.A. from City University of New York (Baruch).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believe Mr. Bernstein’s extensive experience in the securities industry qualifies him to serve on our Board of Directors.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Donald E. Stout </w:t>
      </w:r>
      <w:r>
        <w:rPr>
          <w:rFonts w:ascii="Arial" w:cs="Arial" w:eastAsia="Arial" w:hAnsi="Arial"/>
          <w:sz w:val="16"/>
          <w:szCs w:val="16"/>
          <w:color w:val="auto"/>
        </w:rPr>
        <w:t>has been our director since July 2012, and was a director of Innovate/Protect, Inc. from November 2011 through the consummation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with us.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We believe Mr. Stout’s historical knowledge of the Company and intellectual property experience qualifies him to serve on our Board of Directors.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Salvatore Giardina </w:t>
      </w:r>
      <w:r>
        <w:rPr>
          <w:rFonts w:ascii="Arial" w:cs="Arial" w:eastAsia="Arial" w:hAnsi="Arial"/>
          <w:sz w:val="18"/>
          <w:szCs w:val="18"/>
          <w:color w:val="auto"/>
        </w:rPr>
        <w:t>joined our Board of Directors in May 2016. Mr. Giardina has served as Chief Financial Officer of Pragma Securities LLC and its holding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Pragma Weeden Holdings LLC, since 2009. From 2006 through 2008, Mr. Giardina served as Senior Vice President and Chief Financial Officer of G-Trade Services LLC and ConvergEx Global Markets LLC. From 2002 through 2006, Mr. Giardina served as Vice President and Chief Financial Officer of Ladenburg Thalmann Financial Services Inc., the publicly-traded holding company of Ladenburg Thalmann &amp; Co., Inc., where Mr. Giardina served as its Executive Vice President and Chief Financial Officer from 1998 through 2006 and as its Controller from 1990 through 1998. From 1983 through 1990, Mr. Giardina was an auditor with the national public accounting firm of Laventhol &amp; Horwath. Mr. Giardina served as a director of National Holdings Corporation from 2012 through 2016 and as Chairman of its Audit Committee from 2013 through 2016. Mr. Giardina is a certified public accountant and is Series 24 and Series 27 registered.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Mr. Giardina’s extensive financial expertise and his practical and management experience qualifies him to serve on our Board of Directors and as a member and the chairperson of the audit committee of our Board of Directors.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Andrew R. Heyer </w:t>
      </w:r>
      <w:r>
        <w:rPr>
          <w:rFonts w:ascii="Arial" w:cs="Arial" w:eastAsia="Arial" w:hAnsi="Arial"/>
          <w:sz w:val="16"/>
          <w:szCs w:val="16"/>
          <w:color w:val="auto"/>
        </w:rPr>
        <w:t>joined our Board of Directors in December 2016. Mr. Heyer is the Chief Executive Officer and founder of Mistral Capital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a private equity fund manager. Prior to founding Mistral, he served as a Founding Managing Partner of Trimaran Capital Partners, L.L.C. Mr. Heyer was formerly a Vice Chairman of CIBC World Markets Corp. and co-head of CIBC Argosy Merchant Banking Funds. Prior to joining CIBC World Markets Corp. in 1995, Mr. Heyer was a founder and Managing Director of The Argosy Group L.P. Before Argosy, Mr. Heyer was a Managing Director at Drexel Burnham Lambert Incorporated and previous to that, he worked at Shearman/American Express. Mr. Heyer serves as a director of Jamba, Inc. and The Hain Celestial Group, both of which are publicly traded companies. He also serves on the boards of Mistral’s portfolio companies. Mr. Heyer also serves as a member of the Executive Committee and Board of Trustees of the University of Pennsylvania and the University of Pennsylvania Health System.</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We believe Mr. Heyer’s extensive experience in the securities industry qualifies him to serve on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Meeting Attendance</w:t>
      </w:r>
      <w:r>
        <w:rPr>
          <w:rFonts w:ascii="Arial" w:cs="Arial" w:eastAsia="Arial" w:hAnsi="Arial"/>
          <w:sz w:val="16"/>
          <w:szCs w:val="16"/>
          <w:color w:val="auto"/>
        </w:rPr>
        <w:t>. During the fiscal year ended December 31, 2018 there were eleven (11) meetings of our Board of Directors as well as four (4)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unanimous consents. The various committees of the Board of Directors met a total of six (6) times. No director attended fewer than 75% of the total number of meetings of the Board of Directors and of committees of the Board of Directors on which he served during fiscal 2018. The Board of Directors has adopted a policy under which each member of the Board of Directors is strongly encouraged, but not required, to attend each annual meeting of our stockholders.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Our Audit Committee met four (4) times during fiscal 2018. This committee currently has three (3) members, Salvatore Giardina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All members of the Audit Committee satisfy the current independence standards promulgated by the SEC and The Nasdaq Stock Market (“Nasdaq”), as such standards apply specifically to members of audit committees. The Board of Directors has determined that both Messrs. Giardina and Bernstein are “audit committee financial experts,” as defined by the SEC in Item 407 of Regulation S-K.</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 copy of the Audit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Our Compensation Committee met one (1) time during fiscal 2018. This committee currently has two (2) members, Bruce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Bernstein (Chairman) and Donald E. Stout.</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2006 Stock Option Plan (the “2006 Plan”). The Compensation Committee is responsible for the determination of the compensation of our Chief Executive Officer, and shall conduct its decision-making process with respect to that issue without the Chief Executive Officer present, and establishment and reviewing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2018, based on the recommendation of management, the Compensation Committee did not engage third party compensation consultants.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Both members of the Compensation Committee qualify as independent under the definition promulgated by Nasdaq. A copy of the Compensation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Our Nominating and Corporate Governance Committee met one (1) time during fiscal 2018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has two (2) members, Bruce T. Bernstein and Donald E. Stout. The Nominating and Corporate Governance Committee’s role and responsibilities are set forth in the Nominating and Corporate Governance Committee’s written charter and is authorized to: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make recommendations to the Board of Directors as to the structure, composition and functioning of the Board of Directors and its committees.</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Both members of the Nominating and Corporate Governance Committee qualify as independent under the definition promulgated by Nasdaq. 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 copy of the Nominating and Governance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Effective February 5, 2018, the Board appointed Bruce T. Bernstein as the non-executive Chairman of the Board of Directors.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difference areas of our business risks and our risk mitigation practices.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16(a) of the Exchange Act requires our directors, executive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solely upon a review of the copies of the forms furnished to us, we believe that our officers, directors and beneficial owners of more than 10% of our common stock complied with all applicable filing requirements during the fiscal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have adopted a code of ethics that applies to all of our employees. The text of the code of conduct and ethics is posted on the “Investors — Corporate Governance” section of our website at </w:t>
      </w:r>
      <w:r>
        <w:rPr>
          <w:rFonts w:ascii="Arial" w:cs="Arial" w:eastAsia="Arial" w:hAnsi="Arial"/>
          <w:sz w:val="16"/>
          <w:szCs w:val="16"/>
          <w:i w:val="1"/>
          <w:iCs w:val="1"/>
          <w:color w:val="auto"/>
        </w:rPr>
        <w:t>www.xpresspagroup.com/corp_governance</w:t>
      </w:r>
      <w:r>
        <w:rPr>
          <w:rFonts w:ascii="Arial" w:cs="Arial" w:eastAsia="Arial" w:hAnsi="Arial"/>
          <w:sz w:val="16"/>
          <w:szCs w:val="16"/>
          <w:color w:val="auto"/>
        </w:rPr>
        <w:t>, and will be made available to stockholders without charge, upon request,</w:t>
      </w:r>
    </w:p>
    <w:p>
      <w:pPr>
        <w:jc w:val="both"/>
        <w:spacing w:after="0" w:line="224" w:lineRule="auto"/>
        <w:rPr>
          <w:sz w:val="20"/>
          <w:szCs w:val="20"/>
          <w:color w:val="auto"/>
        </w:rPr>
      </w:pPr>
      <w:r>
        <w:rPr>
          <w:rFonts w:ascii="Arial" w:cs="Arial" w:eastAsia="Arial" w:hAnsi="Arial"/>
          <w:sz w:val="18"/>
          <w:szCs w:val="18"/>
          <w:color w:val="auto"/>
        </w:rPr>
        <w:t>in writing to the Corporate Secretary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 summarizes the total compensation awarded or incurred by us during the fiscal years ended December 31, 2018 and 2017 to (i) all individuals that served as our principal executive officers at any time during the fiscal year ended December 31, 2018, which includes Edward Jankowski and Andrew Perlman; (ii) the most highly compensated executive officer other than the principal executive officer who was serving as executive officer at December 31, 2018, which includes Janine Canale, the only other executive officer who was serving as of December 31, 2018; and (iii) up to two additional individuals for whom disclosure would have been required pursuant to clause (ii) above but for the fact that the individual was not serving as an executive officer at December 31, 2018, which includes Anastasia Nyrkovskaya (collectively, the “named executive officers”). The following table does not include compensation information for Douglas Satzman, who was appointed as our Chief Executive Officer on February 11,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Incentive</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Salary</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Pay</w:t>
            </w: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Name and principal position</w:t>
            </w:r>
          </w:p>
        </w:tc>
        <w:tc>
          <w:tcPr>
            <w:tcW w:w="1620" w:type="dxa"/>
            <w:vAlign w:val="bottom"/>
            <w:gridSpan w:val="2"/>
          </w:tcPr>
          <w:p>
            <w:pPr>
              <w:ind w:left="520"/>
              <w:spacing w:after="0"/>
              <w:rPr>
                <w:sz w:val="20"/>
                <w:szCs w:val="20"/>
                <w:color w:val="auto"/>
              </w:rPr>
            </w:pPr>
            <w:r>
              <w:rPr>
                <w:rFonts w:ascii="Arial" w:cs="Arial" w:eastAsia="Arial" w:hAnsi="Arial"/>
                <w:sz w:val="18"/>
                <w:szCs w:val="18"/>
                <w:b w:val="1"/>
                <w:bCs w:val="1"/>
                <w:color w:val="auto"/>
              </w:rPr>
              <w:t>Year</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126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1"/>
              </w:rPr>
              <w:t>($)</w:t>
            </w:r>
            <w:r>
              <w:rPr>
                <w:rFonts w:ascii="Arial" w:cs="Arial" w:eastAsia="Arial" w:hAnsi="Arial"/>
                <w:sz w:val="30"/>
                <w:szCs w:val="30"/>
                <w:b w:val="1"/>
                <w:bCs w:val="1"/>
                <w:color w:val="auto"/>
                <w:w w:val="81"/>
                <w:vertAlign w:val="superscript"/>
              </w:rPr>
              <w:t>(1)</w:t>
            </w:r>
          </w:p>
        </w:tc>
        <w:tc>
          <w:tcPr>
            <w:tcW w:w="340" w:type="dxa"/>
            <w:vAlign w:val="bottom"/>
          </w:tcPr>
          <w:p>
            <w:pPr>
              <w:spacing w:after="0"/>
              <w:rPr>
                <w:sz w:val="23"/>
                <w:szCs w:val="23"/>
                <w:color w:val="auto"/>
              </w:rPr>
            </w:pPr>
          </w:p>
        </w:tc>
        <w:tc>
          <w:tcPr>
            <w:tcW w:w="124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1"/>
              </w:rPr>
              <w:t>($)</w:t>
            </w:r>
            <w:r>
              <w:rPr>
                <w:rFonts w:ascii="Arial" w:cs="Arial" w:eastAsia="Arial" w:hAnsi="Arial"/>
                <w:sz w:val="30"/>
                <w:szCs w:val="30"/>
                <w:b w:val="1"/>
                <w:bCs w:val="1"/>
                <w:color w:val="auto"/>
                <w:w w:val="81"/>
                <w:vertAlign w:val="superscript"/>
              </w:rPr>
              <w:t>(2)</w:t>
            </w:r>
          </w:p>
        </w:tc>
        <w:tc>
          <w:tcPr>
            <w:tcW w:w="320" w:type="dxa"/>
            <w:vAlign w:val="bottom"/>
          </w:tcPr>
          <w:p>
            <w:pPr>
              <w:spacing w:after="0"/>
              <w:rPr>
                <w:sz w:val="23"/>
                <w:szCs w:val="23"/>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Edward Jankowski</w:t>
            </w:r>
            <w:r>
              <w:rPr>
                <w:rFonts w:ascii="Arial" w:cs="Arial" w:eastAsia="Arial" w:hAnsi="Arial"/>
                <w:sz w:val="28"/>
                <w:szCs w:val="28"/>
                <w:b w:val="1"/>
                <w:bCs w:val="1"/>
                <w:color w:val="auto"/>
                <w:vertAlign w:val="superscript"/>
              </w:rPr>
              <w:t>(3)</w:t>
            </w:r>
          </w:p>
        </w:tc>
        <w:tc>
          <w:tcPr>
            <w:tcW w:w="220" w:type="dxa"/>
            <w:vAlign w:val="bottom"/>
            <w:vMerge w:val="continue"/>
            <w:shd w:val="clear" w:color="auto" w:fill="CCEEFF"/>
          </w:tcPr>
          <w:p>
            <w:pPr>
              <w:spacing w:after="0"/>
              <w:rPr>
                <w:sz w:val="21"/>
                <w:szCs w:val="21"/>
                <w:color w:val="auto"/>
              </w:rPr>
            </w:pPr>
          </w:p>
        </w:tc>
        <w:tc>
          <w:tcPr>
            <w:tcW w:w="1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250,000</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ind w:left="52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375,000</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125,000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361,301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861,301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40" w:type="dxa"/>
            <w:vAlign w:val="bottom"/>
            <w:gridSpan w:val="2"/>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b w:val="1"/>
                <w:bCs w:val="1"/>
                <w:color w:val="auto"/>
                <w:vertAlign w:val="superscript"/>
              </w:rPr>
              <w:t>(4)</w:t>
            </w:r>
          </w:p>
        </w:tc>
        <w:tc>
          <w:tcPr>
            <w:tcW w:w="1380" w:type="dxa"/>
            <w:vAlign w:val="bottom"/>
          </w:tcPr>
          <w:p>
            <w:pPr>
              <w:ind w:left="52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2"/>
                <w:szCs w:val="22"/>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138,000</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2017</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450,000</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608,562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1,183,562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Janine Canale</w:t>
            </w:r>
            <w:r>
              <w:rPr>
                <w:rFonts w:ascii="Arial" w:cs="Arial" w:eastAsia="Arial" w:hAnsi="Arial"/>
                <w:sz w:val="29"/>
                <w:szCs w:val="29"/>
                <w:b w:val="1"/>
                <w:bCs w:val="1"/>
                <w:color w:val="auto"/>
                <w:vertAlign w:val="superscript"/>
              </w:rPr>
              <w:t>(5)</w:t>
            </w:r>
          </w:p>
        </w:tc>
        <w:tc>
          <w:tcPr>
            <w:tcW w:w="1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147,500</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ind w:left="52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130,000</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40" w:type="dxa"/>
            <w:vAlign w:val="bottom"/>
            <w:gridSpan w:val="2"/>
          </w:tcPr>
          <w:p>
            <w:pPr>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b w:val="1"/>
                <w:bCs w:val="1"/>
                <w:color w:val="auto"/>
                <w:vertAlign w:val="superscript"/>
              </w:rPr>
              <w:t>(6)</w:t>
            </w:r>
          </w:p>
        </w:tc>
        <w:tc>
          <w:tcPr>
            <w:tcW w:w="1380" w:type="dxa"/>
            <w:vAlign w:val="bottom"/>
          </w:tcPr>
          <w:p>
            <w:pPr>
              <w:ind w:left="52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2"/>
                <w:szCs w:val="22"/>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311,300</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2017</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375,000</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361,301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961,301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Amounts represent a discretionary cash bonus for 2017 that were paid in 2018 and a discretionary cash bonus for 2018 that were paid in 2019.</w:t>
      </w:r>
    </w:p>
    <w:p>
      <w:pPr>
        <w:spacing w:after="0" w:line="23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For the assumptions made in the valuation of our equity awards see Notes 2 and 11 to our consolidated financial statements included in the Original Filing.</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Jankowski served as our Chief Executive Officer until February 13, 2019. Compensation for 2018 includes salary payments but does not include severance that was paid in fiscal 2019.</w:t>
      </w:r>
    </w:p>
    <w:p>
      <w:pPr>
        <w:spacing w:after="0" w:line="166"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Perlman served a</w:t>
      </w:r>
      <w:r>
        <w:rPr>
          <w:rFonts w:ascii="Arial" w:cs="Arial" w:eastAsia="Arial" w:hAnsi="Arial"/>
          <w:sz w:val="18"/>
          <w:szCs w:val="18"/>
          <w:b w:val="1"/>
          <w:bCs w:val="1"/>
          <w:color w:val="auto"/>
        </w:rPr>
        <w:t>s</w:t>
      </w:r>
      <w:r>
        <w:rPr>
          <w:rFonts w:ascii="Arial" w:cs="Arial" w:eastAsia="Arial" w:hAnsi="Arial"/>
          <w:sz w:val="18"/>
          <w:szCs w:val="18"/>
          <w:color w:val="auto"/>
        </w:rPr>
        <w:t xml:space="preserve"> our Chief Executive Officer until April 19, 2018. Compensation for 2018 includes salary payments and the payment of severance pursuant to the Perlman Separation Agreement (as defined below). Compensation for 2017 includes salary payments, a discretionary cash bonus disclosed under “Incentive Pay” and equity awards in the amount of $608,562.</w:t>
      </w:r>
    </w:p>
    <w:p>
      <w:pPr>
        <w:spacing w:after="0" w:line="18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Ms. Canale served as our Corporate Controller and Principal Financial &amp; Accounting Officer until April 12, 2019. Compensation for 2018 and 2017 include salary and bonus payments.</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Nyrkovskaya served as our Chief Financial Officer and Treasurer until June 19, 2018. Compensation for 2018 includes salary payments of $311,300 pursuant to the Nyrkovskaya Separation Agreement (as defined below). Compensation for 2017 includes salary payments, a discretionary cash bonus disclosed under “Incentive Pay” and equity awards in the amount of $361,301.</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56"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Jankowski</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20, 2017, we entered into an employment agreement with Mr. Jankowski, which had a term of three years. Under the terms of the employment agreement, Mr. Jankowski received an annual base salary of $375,000 and was eligible to participate in any annual bonus or other incentive compensation program that we may have adopted from time to time for our executive officers. If Mr. Jankowski earned any bonus or non-equity based incentive compensation which remained unpaid upon termination of employment for any reason, whether by Mr. Jankowski or us other than for cause, then Mr. Jankowski would be entitled to receive a pro- rata portion of such incentive compensation at the time it is paid.</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8, 2019, Mr. Jankowski resigned from his positions as Chief Executive Officer and director and his employment with us terminated effective as of February 13, 2019. On March 14, 2019, we entered into a separation agreement and a non-disclosure and non-solicitation agreement with Mr. Jankowski. The separation agreement includes a release by Mr. Jankowski of claims against us and certain related parties. In consideration of the foregoing release, we agreed to pay Mr. Jankowski $375,000, payable in substantially equal installments in cash commencing on the next regular payroll date following the effective date of the Separation Agreement. Additionally, in consideration of the foregoing release, we agreed to pay in full Mr. Jankowski’s COBRA continuation coverage for up to a maximum of twelve months following the separation date so long as Mr. Jankowski has not become covered by the medical plan of a subsequent employer during such period and is otherwise entitled to COBRA continuation coverage.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D. Perlman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13, 2013, we entered into an employment agreement with Mr. Perlman, which had a term of three (3) years. Under the terms of that employment agreement, from January 1, 2015, Mr. Perlman received a base salary of $415,000 and was eligible to participate in any annual bonus or other incentive compensation program that we may have adopted from time to time for our executive officers. On October 13, 2015, we entered into an amendment to the existing employment agreement with Mr. Perlman, pursuant to which, the employment period under the employment agreement was extended to December 31, 2017, and Mr. Perlman remained eligible to receive an annual performance bonus according to corporate and personal goals as established by the Compensation Committee in its sole discretion.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20, 2017, we entered into an employment agreement with Mr. Perlman that superseded his prior employment agreement. Under the terms of this new employment agreement, Mr. Perlman’s annual base salary was increased to $450,000, retroactive to January 1, 2017. The employment agreement was for a term of three (3) years, provided that the employment agreement would extend in two (2) month increments for up to one (1) year thereafter for each month that the negotiations were not concluded prior to sixth months before the end of the term. The employment agreement provided that Mr. Perlman would be eligible to participate in any annual bonus and other incentive compensation program that we may adopt from time to time for our executive officers and if Mr. Perlman had earned any bonus or non-equity based incentive compensation which remained unpaid upon termination of employment for any reason, whether by Mr. Perlman or us other than for cause, then Mr. Perlman would be entitled to receive a pro- rata portion of such incentive compensation at the time it is paid.</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19, 2018, Mr. Perlman resigned from his position as Chief Executive Officer and as our Director. On April 19, 2018, we entered into a separation agreement (the “Perlman Separation Agreement”) with Mr. Perlman related to his resignation. The Perlman Separation Agreement includes a release by Mr. Perlman of claims against us and certain related parties. In connection with the entry into the Perlman Separation Agreement, Mr. Perlman agreed that he would continue to be subject to the non-disclosure agreement between Mr. Perlman and us that contains a covenant protecting our confidential information. In addition, Mr. Perlman agreed to be subject to a covenant not to compete with us for a two-year period following the separation date, a covenant prohibiting Mr. Perlman from soliciting or hiring our employees for a two-year period following the separation date, and a covenant not to disparage us or any of our businesses, services, products, affiliates or current, former or future directors and named executive officers (in their capacity as such). The Perlman Separation Agreement also includes certain affirmative covenants binding on Mr. Perlman, including, without limitation, a covenant to reasonably cooperate with us in connection with any action, suit, or proceeding, whether or not by or in the right of us and whether civil, criminal, administrative, investigative or otherwise.</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consideration of the foregoing release and covenants, we agreed to pay Mr. Perlman severance in an amount equal to $125,000 (the “Deferred Cash”), payable in monthly installments of $20,833.34 over the six (6) month period following the date that we achieve both of the following objectives at the end of an applicable calendar quarter, as shown in the Quarterly Report on Form 10-Q or Annual Report on Form 10-K reporting such quarter (the “Cash Objectives”): (i) our Working Capital exceeds $6,368,000, and (ii) Free Cash exceeds $6,368,000; provided that if we do not achieve the Cash Objectives</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prior to the second (2</w:t>
      </w:r>
      <w:r>
        <w:rPr>
          <w:rFonts w:ascii="Arial" w:cs="Arial" w:eastAsia="Arial" w:hAnsi="Arial"/>
          <w:sz w:val="28"/>
          <w:szCs w:val="28"/>
          <w:color w:val="auto"/>
          <w:vertAlign w:val="superscript"/>
        </w:rPr>
        <w:t>nd</w:t>
      </w:r>
      <w:r>
        <w:rPr>
          <w:rFonts w:ascii="Arial" w:cs="Arial" w:eastAsia="Arial" w:hAnsi="Arial"/>
          <w:sz w:val="17"/>
          <w:szCs w:val="17"/>
          <w:color w:val="auto"/>
        </w:rPr>
        <w:t>) anniversary of the separation date, the Deferred Cash shall be forfeited and no amounts shall be payable under the Perlman Separation Agreement. For purposes of the Perlman Separation Agreement, “Free Cash” means cash and cash equivalents as defined in our Annual Report on Form 10-K and calculated consistently, less (i) any cash or cash equivalents that are restricted in any way, and (ii) any cash received by us from a debt, equity or other capital raise subsequent to the Perlman Separation Agreement. For purposes of the Perlman Separation Agreement, “Working Capital” shall mean (i) current assets less current liabilities, prepared in accordance with GAAP and consistent with our prior filings on Annual Reports on Form 10-K, less (ii) any cash received by us from a debt, equity or other capital raise subsequent to the separation date.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spacing w:after="0" w:line="271" w:lineRule="auto"/>
        <w:rPr>
          <w:sz w:val="20"/>
          <w:szCs w:val="20"/>
          <w:color w:val="auto"/>
        </w:rPr>
      </w:pPr>
      <w:r>
        <w:rPr>
          <w:rFonts w:ascii="Arial" w:cs="Arial" w:eastAsia="Arial" w:hAnsi="Arial"/>
          <w:sz w:val="17"/>
          <w:szCs w:val="17"/>
          <w:color w:val="auto"/>
        </w:rPr>
        <w:t>Further, in consideration of the foregoing release and covenants, an aggregate of 153,301 of Mr. Perlman’s restricted stock units that were scheduled to vest in May 2018 (the “Current RSUs”) became subject to a restriction on sale until the earlier of: (i) the one (1) year anniversary of the separation date; and (ii) the date upon which the volume weighted average price (“VWAP”) for our common stock for thirty (30) consecutive trading days exceeds $1.50 (as adjusted by us in our discretion for any stock split, subdivision, dividend or distribution). In addition, immediately following the effective date of the Perlman Separation Agreement, we agreed to grant to Mr. Perlman an additional 150,000 restricted stock units, which were fully vested as of the date of grant (the “Granted RSUs”); provided, however, that such Granted RSUs were subject to a restriction on sale until the earlier of: (i) the one (1) year anniversary of the separation date; and (ii) the date upon which the VWAP for our common stock for thirty (30) consecutive trading days exceeds $1.50 (as adjusted by us in our discretion for any stock split, subdivision, dividend or distribution). The foregoing restrictions expired on April 18,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Anastasia Nyrkovskaya</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19, 2014, we entered into an employment agreement with Ms. Nyrkovskaya. Under the terms of her employment agreement, Ms. Nyrkovskaya’s annual base salary was $315,000. On October 13, 2015, we entered into an amendment to the existing employment agreement with Ms. Nyrkovskaya, pursuant to which the employment period under the employment agreement was extended to December 31, 2017. In addition, the annual base salary of Ms. Nyrkovskaya was increased from $315,000 to $325,000 and Ms. Nyrkovskaya remained eligible to receive an annual performance bonus according to corporate and personal goals, as shall be established by the Compensation Committee in its sole discretion.</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20, 2017, we entered into an employment agreement with Ms. Nyrkovskaya that superseded her prior employment agreement. Under the terms of this new employment agreement, Ms. Nyrkovskaya’s annual base salary was increased to $375,000, retroactive to January 1, 2017. The employment agreement was for a term of three (3) years, provided that the employment agreement was to extend in two (2) month increments for up to one (1) year thereafter for each month that the negotiations are not concluded prior to sixth months before the end of the term. The employment agreement provided that Ms. Nyrkovskaya would be eligible to participate in any annual bonus and other incentive compensation program that we may adopt from time to time for our executive officers, and provided further that if Ms. Nyrkovskaya had earned any bonus or non-equity based incentive compensation which remained unpaid upon termination of employment for any reason, whether by Ms. Nyrkovskaya or us other than for cause, then Ms. Nyrkovskaya would be entitled to receive a pro-rata portion of such incentive compensation at the time it is paid.</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19, 2018, Ms. Nyrkovskaya resigned from her positions with us. She agreed to remain with us in a reduced capacity through October 15, 2018, during which time she transitioned certain projects while we completed a search for a new Chief Financial Officer. On June 19, 2018, we entered into a separation agreement (the “Nyrkovskaya Separation Agreement”) with Ms. Nyrkovskaya, which includes a release by Ms. Nyrkovskaya of claims against us and certain related parties. In consideration of the foregoing release, we agreed to pay Ms. Nyrkovskaya four months of her annual pro-rated base salary in substantially equal installments commencing on the next regular payroll date following the effective date of the Nyrkovskaya Separation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Janine Canale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Canale joined the Company in March 2017 as a Corporate Controller. Upon termination of Ms. Nyrkovskaya’s employment with us, Ms. Canale became our Principal Financial and Accounting Officer. Ms. Canale did not have an employment agreement with the Company. On March 28, 2019, Ms. Canale resigned, effective April 12, 2019, to commence another career opportunity.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2018 Fiscal Year 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2018, to each of our named executive officers.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1140"/>
              <w:spacing w:after="0"/>
              <w:rPr>
                <w:sz w:val="20"/>
                <w:szCs w:val="20"/>
                <w:color w:val="auto"/>
              </w:rPr>
            </w:pPr>
            <w:r>
              <w:rPr>
                <w:rFonts w:ascii="Arial" w:cs="Arial" w:eastAsia="Arial" w:hAnsi="Arial"/>
                <w:sz w:val="18"/>
                <w:szCs w:val="18"/>
                <w:b w:val="1"/>
                <w:bCs w:val="1"/>
                <w:color w:val="auto"/>
              </w:rPr>
              <w:t>Options Awards</w:t>
            </w:r>
          </w:p>
        </w:tc>
        <w:tc>
          <w:tcPr>
            <w:tcW w:w="1380" w:type="dxa"/>
            <w:vAlign w:val="bottom"/>
            <w:tcBorders>
              <w:bottom w:val="single" w:sz="8" w:color="auto"/>
            </w:tcBorders>
          </w:tcPr>
          <w:p>
            <w:pPr>
              <w:spacing w:after="0"/>
              <w:rPr>
                <w:sz w:val="20"/>
                <w:szCs w:val="20"/>
                <w:color w:val="auto"/>
              </w:rPr>
            </w:pPr>
          </w:p>
        </w:tc>
      </w:tr>
      <w:tr>
        <w:trPr>
          <w:trHeight w:val="191"/>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6"/>
                <w:szCs w:val="16"/>
                <w:color w:val="auto"/>
              </w:rPr>
            </w:pPr>
          </w:p>
        </w:tc>
        <w:tc>
          <w:tcPr>
            <w:tcW w:w="17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4"/>
              </w:rPr>
              <w:t>Number</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of securities</w:t>
            </w:r>
          </w:p>
        </w:tc>
        <w:tc>
          <w:tcPr>
            <w:tcW w:w="10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of securities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unexercised options</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unexercised options</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Option exercise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Option expiration</w:t>
            </w: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 exercisable</w:t>
            </w:r>
          </w:p>
        </w:tc>
        <w:tc>
          <w:tcPr>
            <w:tcW w:w="10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 un-exercisable</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price ($)</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date</w:t>
            </w: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Jankowski</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17, 2027</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Andrew Perlman</w:t>
            </w:r>
          </w:p>
        </w:tc>
        <w:tc>
          <w:tcPr>
            <w:tcW w:w="1500" w:type="dxa"/>
            <w:vAlign w:val="bottom"/>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636.00</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February 11, 2023</w:t>
            </w: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Janine Canale</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15, 2028</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Anastasia Nyrkovskaya</w:t>
            </w:r>
          </w:p>
        </w:tc>
        <w:tc>
          <w:tcPr>
            <w:tcW w:w="15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570.00</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May 6, 2023</w:t>
            </w: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20, 2024</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Anastasia Nyrkovskaya</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14,583</w:t>
            </w:r>
          </w:p>
        </w:tc>
        <w:tc>
          <w:tcPr>
            <w:tcW w:w="1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31.00</w:t>
            </w:r>
          </w:p>
        </w:tc>
        <w:tc>
          <w:tcPr>
            <w:tcW w:w="1380" w:type="dxa"/>
            <w:vAlign w:val="bottom"/>
          </w:tcPr>
          <w:p>
            <w:pPr>
              <w:jc w:val="center"/>
              <w:spacing w:after="0"/>
              <w:rPr>
                <w:sz w:val="20"/>
                <w:szCs w:val="20"/>
                <w:color w:val="auto"/>
              </w:rPr>
            </w:pPr>
            <w:r>
              <w:rPr>
                <w:rFonts w:ascii="Arial" w:cs="Arial" w:eastAsia="Arial" w:hAnsi="Arial"/>
                <w:sz w:val="18"/>
                <w:szCs w:val="18"/>
                <w:color w:val="auto"/>
                <w:w w:val="96"/>
              </w:rPr>
              <w:t>April 4, 2026</w:t>
            </w: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17, 2027</w:t>
            </w: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value is determined by multiplying the number of shares by $3.20, the closing price of our common stock on Nasdaq on December 31, 2018, the last day of our fiscal year. All option awards information is adjusted to reflect the impact of the 1:20 reverse stock split that became effective on February 22, 2019.</w:t>
      </w:r>
    </w:p>
    <w:p>
      <w:pPr>
        <w:spacing w:after="0" w:line="181"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Options vest in twelve equal quarterly increments (8.33% per quarter) over three years, subject to the participant's continuous service on the relevant vesting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summarizes the payments and potential payments to each of our named executive officers as of December 31, 2018 upon termination or change-in-control. The discussion assumes that such event occurred on December 31, 2018, the last business day of our fiscal year, at which time the closing price of our common stock as listed on Nasdaq was $3.20 per share (adjusted for the 1-for-20 reverse stock split). For a further discussion of these provisions see the “Narrative Disclosure to Summary Compensation Table and Grants of Plan-Based Awards Table”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Jankowski</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Mr. Jankowski’s employment had been terminated for (i) Good Reason by Mr. Jankowski, or (ii) by us without Cause, Mr. Jankowski would have received severance in the amount of one year of base salary, and COBRA payments totaling approximately $375,000.</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addition, in the event a change-in-control of our wholly-owned subsidiary XpresSpa had occurred, Mr. Jankowski would have been entitled to receive 2% of the amount equal to the total amount of cash and the fair market value of all non-cash consideration paid or payable to us or our stockholders in connection with the change of control, net of transaction expenses payable to third parties and less the original acquisition price of wholly-owned subsidiary XpresSpa of $45,000,000 and less any past or future capital contributions made or to be made by us or our stockholders. A change of control of our wholly-owned subsidiary XpresSpa means (a) an acquisition or series of acquisitions by a person or entity unrelated to us of more than fifty percent (50%) of the outstanding shares or securities entitled to vote for the election of directors or similar managing authority of wholly-owned subsidiary XpresSpa or (b) a sale or disposition of all or substantially all of wholly-owned subsidiary XpresSpa’s assets to an unrelated third party. In the event that a closing of a public spin-off or initial public offering of our wholly-owned subsidiary XpresSpa had occurred, Mr. Jankowski would have been entitled to receive deferred stock units ("DSUs"), pursuant to wholly-owned subsidiary XpresSpa’s equity incentive plan then in effect, equal to 2% of wholly-owned subsidiary XpresSpa’s outstanding shares of common stock immediately after the such public offering; which DSUs would have been settled in common stock of XpresSpa twelve</w:t>
      </w:r>
    </w:p>
    <w:p>
      <w:pPr>
        <w:spacing w:after="0" w:line="6" w:lineRule="exact"/>
        <w:rPr>
          <w:sz w:val="20"/>
          <w:szCs w:val="20"/>
          <w:color w:val="auto"/>
        </w:rPr>
      </w:pPr>
    </w:p>
    <w:p>
      <w:pPr>
        <w:ind w:left="5640" w:right="3880" w:hanging="5632"/>
        <w:spacing w:after="0" w:line="762" w:lineRule="auto"/>
        <w:tabs>
          <w:tab w:leader="none" w:pos="362"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months after the date of such public offering, which had no intrinsic value as of December 31, 2018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Andrew D. Perlman</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On April 19, 2018, Mr. Perlman resigned from his positions with us. </w:t>
      </w:r>
      <w:r>
        <w:rPr>
          <w:rFonts w:ascii="Arial" w:cs="Arial" w:eastAsia="Arial" w:hAnsi="Arial"/>
          <w:sz w:val="16"/>
          <w:szCs w:val="16"/>
          <w:color w:val="auto"/>
        </w:rPr>
        <w:t>See “Narrative Disclosure to Summary Compensation Table – Andrew 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Perlman” for a description of the amounts paid to Mr. Perlman in connection with his separation.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Anastasia Nyrkovskaya</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19, 2018, Ms. Nyrkovskaya resigned from her positions with us. See “Narrative Disclosure to Summary Compensation Table – Anastasia Nyrkovskaya” for a description of the amounts paid to Ms. Nyrkovskaya in connection with her separation.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Janine Canale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Canale was not entitled to any payments upon termination or change-in-control.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2018. Directors who are employed by us are not compensated for their service on our Board of Directors.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Earned or</w:t>
            </w: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1"/>
              </w:rPr>
              <w:t>Paid in</w:t>
            </w:r>
          </w:p>
        </w:tc>
        <w:tc>
          <w:tcPr>
            <w:tcW w:w="1440" w:type="dxa"/>
            <w:vAlign w:val="bottom"/>
            <w:gridSpan w:val="2"/>
            <w:vMerge w:val="continue"/>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Cash</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31"/>
                <w:szCs w:val="31"/>
                <w:b w:val="1"/>
                <w:bCs w:val="1"/>
                <w:color w:val="auto"/>
                <w:w w:val="89"/>
                <w:vertAlign w:val="subscript"/>
              </w:rPr>
              <w:t>($)</w:t>
            </w:r>
            <w:r>
              <w:rPr>
                <w:rFonts w:ascii="Arial" w:cs="Arial" w:eastAsia="Arial" w:hAnsi="Arial"/>
                <w:sz w:val="14"/>
                <w:szCs w:val="14"/>
                <w:b w:val="1"/>
                <w:bCs w:val="1"/>
                <w:color w:val="auto"/>
                <w:w w:val="89"/>
              </w:rPr>
              <w:t>(1)</w:t>
            </w:r>
          </w:p>
        </w:tc>
        <w:tc>
          <w:tcPr>
            <w:tcW w:w="2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Bruce T. Bernstein</w:t>
            </w:r>
            <w:r>
              <w:rPr>
                <w:rFonts w:ascii="Arial" w:cs="Arial" w:eastAsia="Arial" w:hAnsi="Arial"/>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(3)</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(4)</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line="256" w:lineRule="exact"/>
              <w:rPr>
                <w:sz w:val="20"/>
                <w:szCs w:val="20"/>
                <w:color w:val="auto"/>
              </w:rPr>
            </w:pPr>
            <w:r>
              <w:rPr>
                <w:rFonts w:ascii="Arial" w:cs="Arial" w:eastAsia="Arial" w:hAnsi="Arial"/>
                <w:sz w:val="18"/>
                <w:szCs w:val="18"/>
                <w:color w:val="auto"/>
              </w:rPr>
              <w:t>Salvatore Giardina</w:t>
            </w:r>
            <w:r>
              <w:rPr>
                <w:rFonts w:ascii="Arial" w:cs="Arial" w:eastAsia="Arial" w:hAnsi="Arial"/>
                <w:sz w:val="29"/>
                <w:szCs w:val="29"/>
                <w:color w:val="auto"/>
                <w:vertAlign w:val="superscript"/>
              </w:rPr>
              <w:t>(5)</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7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Richard K. Abbe</w:t>
            </w:r>
            <w:r>
              <w:rPr>
                <w:rFonts w:ascii="Arial" w:cs="Arial" w:eastAsia="Arial" w:hAnsi="Arial"/>
                <w:sz w:val="29"/>
                <w:szCs w:val="29"/>
                <w:color w:val="auto"/>
                <w:vertAlign w:val="superscript"/>
              </w:rPr>
              <w:t>(6)</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390"/>
        </w:trPr>
        <w:tc>
          <w:tcPr>
            <w:tcW w:w="7100" w:type="dxa"/>
            <w:vAlign w:val="bottom"/>
            <w:gridSpan w:val="2"/>
          </w:tcPr>
          <w:p>
            <w:pPr>
              <w:spacing w:after="0"/>
              <w:rPr>
                <w:sz w:val="20"/>
                <w:szCs w:val="20"/>
                <w:color w:val="auto"/>
              </w:rPr>
            </w:pPr>
            <w:r>
              <w:rPr>
                <w:rFonts w:ascii="Arial" w:cs="Arial" w:eastAsia="Arial" w:hAnsi="Arial"/>
                <w:sz w:val="18"/>
                <w:szCs w:val="18"/>
                <w:color w:val="auto"/>
              </w:rPr>
              <w:t>Andrew R. Heyer</w:t>
            </w:r>
            <w:r>
              <w:rPr>
                <w:rFonts w:ascii="Arial" w:cs="Arial" w:eastAsia="Arial" w:hAnsi="Arial"/>
                <w:sz w:val="30"/>
                <w:szCs w:val="30"/>
                <w:color w:val="auto"/>
                <w:vertAlign w:val="superscript"/>
              </w:rPr>
              <w:t>(7)</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See Notes 2 and 11 of the consolidated financial statements disclosed in the Original Filing for the assumptions made in the valuation of the equity awards.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December 31, 2018, Mr. Bernstein held 145,000 fully vested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December 31, 2018, Mr. Engelman held 155,000 fully vested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December 31, 2018, Mr. Stout held 160,000 fully vested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December 31, 2018, Mr. Giardina held 145,000 fully vested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Abbe resigned as a director on December 18,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December 31, 2018, Mr. Heyer held 75,000 fully vested options.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out-of-pocket expenses in connection with attending meetings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compensate each of our non-employee directors an annual cash stipend of $50,000.</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certain aggregate information, as of December 31, 2018 with respect to all of our equity compensation plans then in effect: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No. of securities</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No. of securities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to be issued upon</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average exercise</w:t>
            </w: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price of</w:t>
            </w: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options,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warrants and</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options, warrants</w:t>
            </w: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reflected in</w:t>
            </w:r>
          </w:p>
        </w:tc>
      </w:tr>
      <w:tr>
        <w:trPr>
          <w:trHeight w:val="234"/>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rights</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and rights ($)</w:t>
            </w: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the first column)</w:t>
            </w:r>
          </w:p>
        </w:tc>
      </w:tr>
      <w:tr>
        <w:trPr>
          <w:trHeight w:val="199"/>
        </w:trPr>
        <w:tc>
          <w:tcPr>
            <w:tcW w:w="682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Total equity compensation plans approved by</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67"/>
        </w:trPr>
        <w:tc>
          <w:tcPr>
            <w:tcW w:w="6940" w:type="dxa"/>
            <w:vAlign w:val="bottom"/>
            <w:gridSpan w:val="2"/>
            <w:shd w:val="clear" w:color="auto" w:fill="CCEEFF"/>
          </w:tcPr>
          <w:p>
            <w:pPr>
              <w:ind w:left="200"/>
              <w:spacing w:after="0" w:line="266" w:lineRule="exact"/>
              <w:rPr>
                <w:sz w:val="20"/>
                <w:szCs w:val="20"/>
                <w:color w:val="auto"/>
              </w:rPr>
            </w:pPr>
            <w:r>
              <w:rPr>
                <w:rFonts w:ascii="Arial" w:cs="Arial" w:eastAsia="Arial" w:hAnsi="Arial"/>
                <w:sz w:val="18"/>
                <w:szCs w:val="18"/>
                <w:color w:val="auto"/>
              </w:rPr>
              <w:t xml:space="preserve">security holders </w:t>
            </w:r>
            <w:r>
              <w:rPr>
                <w:rFonts w:ascii="Arial" w:cs="Arial" w:eastAsia="Arial" w:hAnsi="Arial"/>
                <w:sz w:val="30"/>
                <w:szCs w:val="30"/>
                <w:color w:val="auto"/>
                <w:vertAlign w:val="superscript"/>
              </w:rPr>
              <w:t>(1)(2)</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235,271</w:t>
            </w:r>
          </w:p>
        </w:tc>
      </w:tr>
    </w:tbl>
    <w:p>
      <w:pPr>
        <w:spacing w:after="0" w:line="202" w:lineRule="exact"/>
        <w:rPr>
          <w:sz w:val="20"/>
          <w:szCs w:val="20"/>
          <w:color w:val="auto"/>
        </w:rPr>
      </w:pPr>
    </w:p>
    <w:p>
      <w:pPr>
        <w:jc w:val="both"/>
        <w:ind w:left="66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These plans consist solely of the 2012 Plan, as amended on November 23, 2016. Under the amended 2012 Plan, a maximum of 355,000 shares of common stock may be awarded. The 2012 Plan was originally approved by our stockholders on July 19, 2012, following the merger with Innovate/Protect, replacing our then existing 2006 Plan. The 2006 Plan is fully exercised with no securities outstanding.</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information reflects the Company’s 1-for-20 reverse stock split that was effected on February 25,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common stock, Series D Preferred Stock and Series E Preferred Stock as of April 15, 2019 for (a) each stockholder known by us to own beneficially more than 5% of our common stock, Series D Preferred Stock or Series E Preferred Stock (b) 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Series D Preferred Stock and Series E Preferred Stock that may be acquired by an individual or group within 60 days of April 15, 2019, pursuant to the exercise of options or warrants or the vesting of restricted stock units to be outstanding for the purpose of computing the percentage ownership of such individual or group, but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Series D Preferred Stock and/or Series E Preferred Stock shown to be beneficially owned by them based on information provided to us by these stockholders. Percentage of ownership is based on (i) 1,956,712 shares of common stock and (ii) 21,027 shares of Series D Preferred Stock convertible into 168,216 shares of common stock and (iii) 48,387 shares of Series E Preferred Stock convertible into 241,935 shares of common stock. All beneficial ownership information reflects the Company’s 1-for-20 reverse stock split that was effected on February 25,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Percent of</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Shares of</w:t>
            </w: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12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3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Percent of</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Shares of</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Shares of</w:t>
            </w: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Shares of</w:t>
            </w:r>
          </w:p>
        </w:tc>
        <w:tc>
          <w:tcPr>
            <w:tcW w:w="12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3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Common</w:t>
            </w:r>
          </w:p>
        </w:tc>
        <w:tc>
          <w:tcPr>
            <w:tcW w:w="12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Series D</w:t>
            </w: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Series D</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Series E</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Series E</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3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Stock</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Preferred</w:t>
            </w: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Preferred</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 Beneficial</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Owner(1)</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Owned</w:t>
            </w: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Owned</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Owned</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Owned</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Owned</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2"/>
        </w:trPr>
        <w:tc>
          <w:tcPr>
            <w:tcW w:w="3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Five percent or more beneficial owners:</w:t>
            </w: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Mistral Spa Holdings, LLC(2)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196,339</w:t>
            </w:r>
          </w:p>
        </w:tc>
        <w:tc>
          <w:tcPr>
            <w:tcW w:w="1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9.64%</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120,749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71.78%</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Alpha Capital Anstalt(3)</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527,279</w:t>
            </w:r>
          </w:p>
        </w:tc>
        <w:tc>
          <w:tcPr>
            <w:tcW w:w="1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13.04%</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Calm.com, Inc.(4)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241,935</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Directors and named executive officers: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Douglas Satzman</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w:t>
            </w:r>
          </w:p>
        </w:tc>
        <w:tc>
          <w:tcPr>
            <w:tcW w:w="13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Edward Jankowski</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7,948</w:t>
            </w:r>
          </w:p>
        </w:tc>
        <w:tc>
          <w:tcPr>
            <w:tcW w:w="13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Andrew Perlman</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28,928</w:t>
            </w:r>
          </w:p>
        </w:tc>
        <w:tc>
          <w:tcPr>
            <w:tcW w:w="1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1.48%</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Anastasia Nyrkovskaya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3,028</w:t>
            </w:r>
          </w:p>
        </w:tc>
        <w:tc>
          <w:tcPr>
            <w:tcW w:w="13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Janine Canale</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Bruce T. Bernstein(5)</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55,827</w:t>
            </w:r>
          </w:p>
        </w:tc>
        <w:tc>
          <w:tcPr>
            <w:tcW w:w="1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2.80%</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19,670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11.69%</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Donald E. Stout(6)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21,837</w:t>
            </w:r>
          </w:p>
        </w:tc>
        <w:tc>
          <w:tcPr>
            <w:tcW w:w="1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1.11%</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Salvatore Giardina(7)</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11,500</w:t>
            </w:r>
          </w:p>
        </w:tc>
        <w:tc>
          <w:tcPr>
            <w:tcW w:w="13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Andrew R. Heyer(2)(8)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209,589</w:t>
            </w:r>
          </w:p>
        </w:tc>
        <w:tc>
          <w:tcPr>
            <w:tcW w:w="1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9.99%</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120,749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71.78%</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current directors and officers as a group (5 individuals)(9):</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298,753</w:t>
            </w:r>
          </w:p>
        </w:tc>
        <w:tc>
          <w:tcPr>
            <w:tcW w:w="1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14.18%</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140,419</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83.48%</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9" w:lineRule="exact"/>
        <w:rPr>
          <w:sz w:val="20"/>
          <w:szCs w:val="20"/>
          <w:color w:val="auto"/>
        </w:rPr>
      </w:pPr>
    </w:p>
    <w:p>
      <w:pPr>
        <w:ind w:left="328" w:hanging="328"/>
        <w:spacing w:after="0"/>
        <w:tabs>
          <w:tab w:leader="none" w:pos="328" w:val="left"/>
        </w:tabs>
        <w:numPr>
          <w:ilvl w:val="0"/>
          <w:numId w:val="13"/>
        </w:numPr>
        <w:rPr>
          <w:rFonts w:ascii="Arial" w:cs="Arial" w:eastAsia="Arial" w:hAnsi="Arial"/>
          <w:sz w:val="31"/>
          <w:szCs w:val="31"/>
          <w:color w:val="auto"/>
          <w:vertAlign w:val="superscript"/>
        </w:rPr>
      </w:pPr>
      <w:r>
        <w:rPr>
          <w:rFonts w:ascii="Arial" w:cs="Arial" w:eastAsia="Arial" w:hAnsi="Arial"/>
          <w:sz w:val="16"/>
          <w:szCs w:val="16"/>
          <w:color w:val="auto"/>
        </w:rPr>
        <w:t>Unless otherwise indicated, the business address of the individuals is c/o XpresSpa Group, Inc.,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10017.</w:t>
      </w:r>
    </w:p>
    <w:p>
      <w:pPr>
        <w:spacing w:after="0" w:line="112" w:lineRule="exact"/>
        <w:rPr>
          <w:rFonts w:ascii="Arial" w:cs="Arial" w:eastAsia="Arial" w:hAnsi="Arial"/>
          <w:sz w:val="31"/>
          <w:szCs w:val="31"/>
          <w:color w:val="auto"/>
          <w:vertAlign w:val="superscript"/>
        </w:rPr>
      </w:pPr>
    </w:p>
    <w:p>
      <w:pPr>
        <w:ind w:left="328" w:hanging="328"/>
        <w:spacing w:after="0" w:line="308" w:lineRule="auto"/>
        <w:tabs>
          <w:tab w:leader="none" w:pos="3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116,934 shares of common stock and warrants to purchase 79,405 shares of common stock. Includes 301,874 shares of Series D Preferred stock convertible into 120,749 shares of common stock.</w:t>
      </w:r>
    </w:p>
    <w:p>
      <w:pPr>
        <w:spacing w:after="0" w:line="146" w:lineRule="exact"/>
        <w:rPr>
          <w:rFonts w:ascii="Arial" w:cs="Arial" w:eastAsia="Arial" w:hAnsi="Arial"/>
          <w:sz w:val="17"/>
          <w:szCs w:val="17"/>
          <w:color w:val="auto"/>
        </w:rPr>
      </w:pPr>
    </w:p>
    <w:p>
      <w:pPr>
        <w:jc w:val="both"/>
        <w:ind w:left="328"/>
        <w:spacing w:after="0" w:line="270" w:lineRule="auto"/>
        <w:rPr>
          <w:rFonts w:ascii="Arial" w:cs="Arial" w:eastAsia="Arial" w:hAnsi="Arial"/>
          <w:sz w:val="17"/>
          <w:szCs w:val="17"/>
          <w:color w:val="auto"/>
        </w:rPr>
      </w:pPr>
      <w:r>
        <w:rPr>
          <w:rFonts w:ascii="Arial" w:cs="Arial" w:eastAsia="Arial" w:hAnsi="Arial"/>
          <w:sz w:val="17"/>
          <w:szCs w:val="17"/>
          <w:color w:val="auto"/>
        </w:rPr>
        <w:t>Mistral Spa Holdings, LLC (“MSH”), a Delaware limited liability company, is an investment entity indirectly controlled by Mr. Heyer through Mistral Equity Partners, LP (“MEP”), Mistral Equity Partners QP, LP (“MEP QP”) and MEP Co-Invest, LLC (“MEP Co-Invest”). Mistral Equity GP, LLC (“MEP GP” and, together with MEP, MEP QP, and MEP Co-Invest, the “Mistral Fund Entities”) is the general partner of MEP and MEP QP. By reason of the provisions of Rule 16a-1 of the Exchange Act, the Mistral Fund Entities may be deemed to be beneficial owners of certain of the securities that are deemed to be beneficially owned by MSH, and Mr. Heyer may be deemed to be the beneficial owner of any securities that may be deemed to be beneficially owned by MSH and/or the Mistral Fund Entities. Mr. Heyer may be deemed to have an indirect pecuniary interest (within the meaning of Rule 16a-1 of the Exchange Act) in an indeterminate portion of the securities reported as beneficially owned by MSH, and MEP GP may be deemed to have an indirect pecuniary interest in an indeterminate portion of the securities reported as beneficially owned by MEP and MEP QP. MSH’s address is 650 Fifth Avenue, Floor 31, New York, NY 10019. Mr. Heyer’s business address is c/o Mistral Capital Management, LLC, 650 Fifth Avenue, 31st Floor, New York, NY 10019.</w:t>
      </w:r>
    </w:p>
    <w:p>
      <w:pPr>
        <w:spacing w:after="0" w:line="177" w:lineRule="exact"/>
        <w:rPr>
          <w:rFonts w:ascii="Arial" w:cs="Arial" w:eastAsia="Arial" w:hAnsi="Arial"/>
          <w:sz w:val="17"/>
          <w:szCs w:val="17"/>
          <w:color w:val="auto"/>
        </w:rPr>
      </w:pPr>
    </w:p>
    <w:p>
      <w:pPr>
        <w:jc w:val="both"/>
        <w:ind w:left="328" w:hanging="328"/>
        <w:spacing w:after="0" w:line="255"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upon information known to the Company and a securities purchase agreement the Company entered into on May 15, 2018, which information has been updated to reflect the 1-for-20 reverse stock split that was effected on February 25, 2019, Alpha Capital Anstalt has been deemed to have beneficial ownership of 255,102 shares of our common stock and warrants to purchase 272,177 shares of our common stock. The address of Alpha Capital Anstalt is Lettstrasse 32, P.O. Box 1212, 9490 Vaduz, Liechtenstein. The shares included in the table report the number of shares that would be issuable upon exercise of the warrants, without giving effect to the 9.99% blocker included in such securities. The percentage included in the table reflects the 9.99% blocker.</w:t>
      </w:r>
    </w:p>
    <w:p>
      <w:pPr>
        <w:spacing w:after="0" w:line="193"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a Schedule 13D/A filed by Calm.com, Inc. with the SEC on January 2, 2019, which reported ownership as of December 28, 2019, which information has been updated to reflect the 1-for-20 reverse stock split that was effected on February 25, 2019. The principal business address of the beneficial owner is 140 2nd Street, Third Floor, San Francisco, CA 94105.</w:t>
      </w:r>
    </w:p>
    <w:p>
      <w:pPr>
        <w:spacing w:after="0" w:line="181" w:lineRule="exact"/>
        <w:rPr>
          <w:rFonts w:ascii="Arial" w:cs="Arial" w:eastAsia="Arial" w:hAnsi="Arial"/>
          <w:sz w:val="18"/>
          <w:szCs w:val="18"/>
          <w:color w:val="auto"/>
        </w:rPr>
      </w:pPr>
    </w:p>
    <w:p>
      <w:pPr>
        <w:ind w:left="328" w:hanging="328"/>
        <w:spacing w:after="0" w:line="342" w:lineRule="auto"/>
        <w:tabs>
          <w:tab w:leader="none" w:pos="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includes options to purchase 9,375 shares of our common stock and warrants to purchase 25,435 shares of common stock. Includes 49,177 shares of Series D Preferred stock convertible into 19,670 shares of common stock.</w:t>
      </w:r>
    </w:p>
    <w:p>
      <w:pPr>
        <w:spacing w:after="0" w:line="123" w:lineRule="exact"/>
        <w:rPr>
          <w:rFonts w:ascii="Arial" w:cs="Arial" w:eastAsia="Arial" w:hAnsi="Arial"/>
          <w:sz w:val="16"/>
          <w:szCs w:val="16"/>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17,231 shares of our common stock.</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35" w:right="239" w:bottom="1440" w:gutter="0" w:footer="0" w:header="0"/>
        </w:sectPr>
      </w:pPr>
    </w:p>
    <w:bookmarkStart w:id="17" w:name="page18"/>
    <w:bookmarkEnd w:id="17"/>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11,500 shares of our common stock.</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options to purchase 7,500 shares of our common stock and warrants to purchase 79,405 shares of common stock. Includes 301,874 shares of Series D Preferred stock convertible into 120,749 shares of common stock. The shares included in the table report the number of shares that would be issuable upon exercise of the warrants, without giving effect to the 9.99% blocker included in such securities. The percentage included in the table reflects the 9.99% blocker.</w:t>
      </w:r>
    </w:p>
    <w:p>
      <w:pPr>
        <w:spacing w:after="0" w:line="171" w:lineRule="exact"/>
        <w:rPr>
          <w:rFonts w:ascii="Arial" w:cs="Arial" w:eastAsia="Arial" w:hAnsi="Arial"/>
          <w:sz w:val="17"/>
          <w:szCs w:val="17"/>
          <w:color w:val="auto"/>
        </w:rPr>
      </w:pPr>
    </w:p>
    <w:p>
      <w:pPr>
        <w:ind w:left="700" w:hanging="368"/>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footnotes (5) through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Approval Policy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Board of Directors has reviewed the materiality of any relationship that each of our directors has with us, either directly or indirectly. Based upon this review, we believe that Messrs. Bernstein, Stout, Giardina, and Heyer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Giardina and Bernstein are “audit committee financial experts” as defined in the rules of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CohnReznick LLP (“CohnReznick”) was selected by our Audit Committee as our independent registered public accounting firm for the fiscal year ended December 31, 2018. This selection was ratified by our stockholders at the 2018 annual meeting held on September 18, 2018. In deciding to select CohnReznick, the Audit Committee carefully considered the qualifications of CohnReznick, including its reputation for integrity, quality, and competence in the fields of accounting and auditing. Further, the Audit Committee reviewed auditor independence issues and existing commercial relationships with CohnReznick. The Audit Committee concluded that independence of CohnReznick was not impaired for the fiscal years ended December 31, 2018 and 2017. For the fiscal years ended December 31, 2018 and 2017, we incurred the following fees for the services of CohnReznick: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Borders>
              <w:bottom w:val="single" w:sz="8" w:color="CCEEFF"/>
            </w:tcBorders>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37"/>
        </w:trPr>
        <w:tc>
          <w:tcPr>
            <w:tcW w:w="50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Audit fees</w:t>
            </w:r>
            <w:r>
              <w:rPr>
                <w:rFonts w:ascii="Arial" w:cs="Arial" w:eastAsia="Arial" w:hAnsi="Arial"/>
                <w:sz w:val="27"/>
                <w:szCs w:val="27"/>
                <w:color w:val="auto"/>
                <w:vertAlign w:val="superscript"/>
              </w:rPr>
              <w:t>(1)</w:t>
            </w:r>
          </w:p>
        </w:tc>
        <w:tc>
          <w:tcPr>
            <w:tcW w:w="3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346,250</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431,325</w:t>
            </w:r>
          </w:p>
        </w:tc>
      </w:tr>
      <w:tr>
        <w:trPr>
          <w:trHeight w:val="270"/>
        </w:trPr>
        <w:tc>
          <w:tcPr>
            <w:tcW w:w="5040" w:type="dxa"/>
            <w:vAlign w:val="bottom"/>
          </w:tcPr>
          <w:p>
            <w:pPr>
              <w:spacing w:after="0" w:line="269" w:lineRule="exact"/>
              <w:rPr>
                <w:sz w:val="20"/>
                <w:szCs w:val="20"/>
                <w:color w:val="auto"/>
              </w:rPr>
            </w:pPr>
            <w:r>
              <w:rPr>
                <w:rFonts w:ascii="Arial" w:cs="Arial" w:eastAsia="Arial" w:hAnsi="Arial"/>
                <w:sz w:val="18"/>
                <w:szCs w:val="18"/>
                <w:color w:val="auto"/>
              </w:rPr>
              <w:t>Audit-related fees</w:t>
            </w:r>
            <w:r>
              <w:rPr>
                <w:rFonts w:ascii="Arial" w:cs="Arial" w:eastAsia="Arial" w:hAnsi="Arial"/>
                <w:sz w:val="30"/>
                <w:szCs w:val="30"/>
                <w:color w:val="auto"/>
                <w:vertAlign w:val="superscript"/>
              </w:rPr>
              <w:t>(2)</w:t>
            </w:r>
          </w:p>
        </w:tc>
        <w:tc>
          <w:tcPr>
            <w:tcW w:w="3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103,800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25,450</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456,775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Audit-related fees includes fees for benefit plan audits and lease compliance audits.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firms in 2018 and 2017.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financial statement schedules and exhibits listed in the exhibit index of the Original Filing and the exhibits listed in the exhibit index of this Form 10-K/A are filed with, or incorporated by reference in, this Form 10-K/A.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Pursuant to the requirements of Section 13 or 15(d) of the Securities Act of 1934, the registrant has duly caused this Amendment No. 1 to Annual Report on Form 10-K/A to be signed on its behalf by the undersigned, thereunto duly authorized, in the City of New York of New York on the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April, 2019.</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Douglas Satzman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Securities Exchange Act of 1934, this Amendment No. 1 to Annual Report on Form 10-K has been signed below by the following persons on behalf of the registrant and in the capacities indicated below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24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28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Date</w:t>
            </w:r>
          </w:p>
        </w:tc>
      </w:tr>
      <w:tr>
        <w:trPr>
          <w:trHeight w:val="426"/>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c>
          <w:tcPr>
            <w:tcW w:w="1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Executive Officer and Director (Principal</w:t>
            </w:r>
          </w:p>
        </w:tc>
        <w:tc>
          <w:tcPr>
            <w:tcW w:w="2280" w:type="dxa"/>
            <w:vAlign w:val="bottom"/>
          </w:tcPr>
          <w:p>
            <w:pPr>
              <w:spacing w:after="0"/>
              <w:rPr>
                <w:sz w:val="20"/>
                <w:szCs w:val="20"/>
                <w:color w:val="auto"/>
              </w:rPr>
            </w:pPr>
            <w:r>
              <w:rPr>
                <w:rFonts w:ascii="Arial" w:cs="Arial" w:eastAsia="Arial" w:hAnsi="Arial"/>
                <w:sz w:val="18"/>
                <w:szCs w:val="18"/>
                <w:color w:val="auto"/>
              </w:rPr>
              <w:t>April 30, 2019</w:t>
            </w:r>
          </w:p>
        </w:tc>
      </w:tr>
      <w:tr>
        <w:trPr>
          <w:trHeight w:val="182"/>
        </w:trPr>
        <w:tc>
          <w:tcPr>
            <w:tcW w:w="3660" w:type="dxa"/>
            <w:vAlign w:val="bottom"/>
          </w:tcPr>
          <w:p>
            <w:pPr>
              <w:spacing w:after="0" w:line="182" w:lineRule="exact"/>
              <w:rPr>
                <w:sz w:val="20"/>
                <w:szCs w:val="20"/>
                <w:color w:val="auto"/>
              </w:rPr>
            </w:pPr>
            <w:r>
              <w:rPr>
                <w:rFonts w:ascii="Arial" w:cs="Arial" w:eastAsia="Arial" w:hAnsi="Arial"/>
                <w:sz w:val="18"/>
                <w:szCs w:val="18"/>
                <w:color w:val="auto"/>
              </w:rPr>
              <w:t>Douglas Satzman</w:t>
            </w:r>
          </w:p>
        </w:tc>
        <w:tc>
          <w:tcPr>
            <w:tcW w:w="120" w:type="dxa"/>
            <w:vAlign w:val="bottom"/>
          </w:tcPr>
          <w:p>
            <w:pPr>
              <w:spacing w:after="0"/>
              <w:rPr>
                <w:sz w:val="15"/>
                <w:szCs w:val="15"/>
                <w:color w:val="auto"/>
              </w:rPr>
            </w:pPr>
          </w:p>
        </w:tc>
        <w:tc>
          <w:tcPr>
            <w:tcW w:w="5360" w:type="dxa"/>
            <w:vAlign w:val="bottom"/>
            <w:gridSpan w:val="2"/>
          </w:tcPr>
          <w:p>
            <w:pPr>
              <w:spacing w:after="0" w:line="182" w:lineRule="exact"/>
              <w:rPr>
                <w:sz w:val="20"/>
                <w:szCs w:val="20"/>
                <w:color w:val="auto"/>
              </w:rPr>
            </w:pPr>
            <w:r>
              <w:rPr>
                <w:rFonts w:ascii="Arial" w:cs="Arial" w:eastAsia="Arial" w:hAnsi="Arial"/>
                <w:sz w:val="18"/>
                <w:szCs w:val="18"/>
                <w:color w:val="auto"/>
                <w:w w:val="96"/>
              </w:rPr>
              <w:t>Executive Officer, Principal Financial Officer and Principal Accounting</w:t>
            </w:r>
          </w:p>
        </w:tc>
        <w:tc>
          <w:tcPr>
            <w:tcW w:w="2280" w:type="dxa"/>
            <w:vAlign w:val="bottom"/>
          </w:tcPr>
          <w:p>
            <w:pPr>
              <w:spacing w:after="0"/>
              <w:rPr>
                <w:sz w:val="15"/>
                <w:szCs w:val="15"/>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2280" w:type="dxa"/>
            <w:vAlign w:val="bottom"/>
          </w:tcPr>
          <w:p>
            <w:pPr>
              <w:spacing w:after="0"/>
              <w:rPr>
                <w:sz w:val="20"/>
                <w:szCs w:val="20"/>
                <w:color w:val="auto"/>
              </w:rPr>
            </w:pPr>
          </w:p>
        </w:tc>
      </w:tr>
      <w:tr>
        <w:trPr>
          <w:trHeight w:val="432"/>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T. Bernstein</w:t>
            </w:r>
          </w:p>
        </w:tc>
        <w:tc>
          <w:tcPr>
            <w:tcW w:w="1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 Chairman of Board of Directors</w:t>
            </w:r>
          </w:p>
        </w:tc>
        <w:tc>
          <w:tcPr>
            <w:tcW w:w="2280" w:type="dxa"/>
            <w:vAlign w:val="bottom"/>
          </w:tcPr>
          <w:p>
            <w:pPr>
              <w:spacing w:after="0"/>
              <w:rPr>
                <w:sz w:val="20"/>
                <w:szCs w:val="20"/>
                <w:color w:val="auto"/>
              </w:rPr>
            </w:pPr>
            <w:r>
              <w:rPr>
                <w:rFonts w:ascii="Arial" w:cs="Arial" w:eastAsia="Arial" w:hAnsi="Arial"/>
                <w:sz w:val="18"/>
                <w:szCs w:val="18"/>
                <w:color w:val="auto"/>
              </w:rPr>
              <w:t>April 30, 2019</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Bruce T. Bernstein</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Salvatore Giardina</w:t>
            </w:r>
          </w:p>
        </w:tc>
        <w:tc>
          <w:tcPr>
            <w:tcW w:w="1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April 30, 2019</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Salvatore Giardina</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E. Stout</w:t>
            </w:r>
          </w:p>
        </w:tc>
        <w:tc>
          <w:tcPr>
            <w:tcW w:w="1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April 30, 2019</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Donald E. Stout</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R. Heyer</w:t>
            </w:r>
          </w:p>
        </w:tc>
        <w:tc>
          <w:tcPr>
            <w:tcW w:w="1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April 30, 2019</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Andrew R. Heyer</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634"/>
        </w:trPr>
        <w:tc>
          <w:tcPr>
            <w:tcW w:w="36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jc w:val="right"/>
              <w:ind w:right="31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320" w:type="dxa"/>
            <w:vAlign w:val="bottom"/>
            <w:gridSpan w:val="11"/>
          </w:tcPr>
          <w:p>
            <w:pPr>
              <w:ind w:left="60"/>
              <w:spacing w:after="0"/>
              <w:rPr>
                <w:sz w:val="20"/>
                <w:szCs w:val="20"/>
                <w:color w:val="auto"/>
              </w:rPr>
            </w:pPr>
            <w:r>
              <w:rPr>
                <w:rFonts w:ascii="Arial" w:cs="Arial" w:eastAsia="Arial" w:hAnsi="Arial"/>
                <w:sz w:val="18"/>
                <w:szCs w:val="18"/>
                <w:b w:val="1"/>
                <w:bCs w:val="1"/>
                <w:color w:val="auto"/>
              </w:rPr>
              <w:t>Exhibits Index</w:t>
            </w:r>
          </w:p>
        </w:tc>
      </w:tr>
      <w:tr>
        <w:trPr>
          <w:trHeight w:val="41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320" w:type="dxa"/>
            <w:vAlign w:val="bottom"/>
            <w:gridSpan w:val="11"/>
          </w:tcPr>
          <w:p>
            <w:pPr>
              <w:ind w:left="80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28">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102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9"/>
              </w:rPr>
            </w:pPr>
            <w:hyperlink r:id="rId28">
              <w:r>
                <w:rPr>
                  <w:rFonts w:ascii="Arial" w:cs="Arial" w:eastAsia="Arial" w:hAnsi="Arial"/>
                  <w:sz w:val="18"/>
                  <w:szCs w:val="18"/>
                  <w:color w:val="0000EE"/>
                  <w:w w:val="99"/>
                </w:rPr>
                <w:t>Agreement and Plan of Merger by and among FORM Holdings Corp., FHXMS, LLC, XpresSpa Holdings, LLC, the unitholders of</w:t>
              </w:r>
            </w:hyperlink>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16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28">
              <w:r>
                <w:rPr>
                  <w:rFonts w:ascii="Arial" w:cs="Arial" w:eastAsia="Arial" w:hAnsi="Arial"/>
                  <w:sz w:val="18"/>
                  <w:szCs w:val="18"/>
                  <w:color w:val="0000EE"/>
                  <w:w w:val="94"/>
                </w:rPr>
                <w:t>XpresSpa who are parties thereto and Mistral XH Representative, LLC, as representative of the unitholders, dated as of August 8, 2016</w:t>
              </w:r>
            </w:hyperlink>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(incorporated by reference to Exhibit 2.1 to our Current Report on Form 8-K filed with the SEC on August 8, 2016).</w:t>
              </w:r>
            </w:hyperlink>
          </w:p>
        </w:tc>
      </w:tr>
      <w:tr>
        <w:trPr>
          <w:trHeight w:val="20"/>
        </w:trPr>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29">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102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4"/>
              </w:rPr>
            </w:pPr>
            <w:hyperlink r:id="rId29">
              <w:r>
                <w:rPr>
                  <w:rFonts w:ascii="Arial" w:cs="Arial" w:eastAsia="Arial" w:hAnsi="Arial"/>
                  <w:sz w:val="18"/>
                  <w:szCs w:val="18"/>
                  <w:color w:val="0000EE"/>
                  <w:w w:val="94"/>
                </w:rPr>
                <w:t>Amendment No. 1 to Agreement and Plan of Merger by and among FORM Holdings Corp., FHXMS, LLC, XpresSpa Holdings, LLC and</w:t>
              </w:r>
            </w:hyperlink>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1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Mistral XH Representative, LLC, as representative of the unitholders, dated September 8, 2016 (incorporated by reference to Exhibit 2.1 to</w:t>
              </w:r>
            </w:hyperlink>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our Current Report on Form 8-K filed with the SEC on September 9, 2016).</w:t>
              </w:r>
            </w:hyperlink>
          </w:p>
        </w:tc>
      </w:tr>
      <w:tr>
        <w:trPr>
          <w:trHeight w:val="20"/>
        </w:trPr>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30">
              <w:r>
                <w:rPr>
                  <w:rFonts w:ascii="Arial" w:cs="Arial" w:eastAsia="Arial" w:hAnsi="Arial"/>
                  <w:sz w:val="18"/>
                  <w:szCs w:val="18"/>
                  <w:color w:val="0000EE"/>
                  <w:w w:val="87"/>
                </w:rPr>
                <w:t>2.</w:t>
              </w:r>
              <w:r>
                <w:rPr>
                  <w:rFonts w:ascii="Arial" w:cs="Arial" w:eastAsia="Arial" w:hAnsi="Arial"/>
                  <w:sz w:val="18"/>
                  <w:szCs w:val="18"/>
                  <w:u w:val="single" w:color="auto"/>
                  <w:color w:val="0000EE"/>
                  <w:w w:val="87"/>
                </w:rPr>
                <w:t>3</w:t>
              </w:r>
            </w:hyperlink>
          </w:p>
        </w:tc>
        <w:tc>
          <w:tcPr>
            <w:tcW w:w="102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4"/>
              </w:rPr>
            </w:pPr>
            <w:hyperlink r:id="rId30">
              <w:r>
                <w:rPr>
                  <w:rFonts w:ascii="Arial" w:cs="Arial" w:eastAsia="Arial" w:hAnsi="Arial"/>
                  <w:sz w:val="18"/>
                  <w:szCs w:val="18"/>
                  <w:color w:val="0000EE"/>
                  <w:w w:val="94"/>
                </w:rPr>
                <w:t>Amendment No. 2 to Agreement and Plan of Merger by and among FORM Holdings Corp., FHXMS, LLC, XpresSpa Holdings, LLC and</w:t>
              </w:r>
            </w:hyperlink>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w w:val="93"/>
              </w:rPr>
            </w:pPr>
            <w:hyperlink r:id="rId30">
              <w:r>
                <w:rPr>
                  <w:rFonts w:ascii="Arial" w:cs="Arial" w:eastAsia="Arial" w:hAnsi="Arial"/>
                  <w:sz w:val="18"/>
                  <w:szCs w:val="18"/>
                  <w:color w:val="0000EE"/>
                  <w:w w:val="93"/>
                </w:rPr>
                <w:t>Mistral XH Representative, LLC, as representative of the unitholders, dated October 25, 2016 (incorporated by reference to Exhibit 2.1 to</w:t>
              </w:r>
            </w:hyperlink>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1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our Current Report on Form 8-K filed with the SEC on October 25, 2016).</w:t>
              </w:r>
            </w:hyperlink>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3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02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2"/>
              </w:rPr>
            </w:pPr>
            <w:hyperlink r:id="rId31">
              <w:r>
                <w:rPr>
                  <w:rFonts w:ascii="Arial" w:cs="Arial" w:eastAsia="Arial" w:hAnsi="Arial"/>
                  <w:sz w:val="18"/>
                  <w:szCs w:val="18"/>
                  <w:color w:val="0000EE"/>
                  <w:w w:val="92"/>
                </w:rPr>
                <w:t>Amended and Restated Certificate of Incorporation, as amended as of December 31, 2018 (incorporated by reference to Exhibit 3.1 to our</w:t>
              </w:r>
            </w:hyperlink>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Annual Report on Form 10-K filed with the SEC on April 1, 2019).</w:t>
              </w:r>
            </w:hyperlink>
          </w:p>
        </w:tc>
      </w:tr>
      <w:tr>
        <w:trPr>
          <w:trHeight w:val="20"/>
        </w:trPr>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3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0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w w:val="92"/>
              </w:rPr>
            </w:pPr>
            <w:hyperlink r:id="rId32">
              <w:r>
                <w:rPr>
                  <w:rFonts w:ascii="Arial" w:cs="Arial" w:eastAsia="Arial" w:hAnsi="Arial"/>
                  <w:sz w:val="18"/>
                  <w:szCs w:val="18"/>
                  <w:color w:val="0000EE"/>
                  <w:w w:val="92"/>
                </w:rPr>
                <w:t>Amended and Restated Bylaws (incorporated by reference to Exhibit 3.2 to our Annual Report on Form 10-K filed with the SEC on April 1,</w:t>
              </w:r>
            </w:hyperlink>
          </w:p>
        </w:tc>
      </w:tr>
      <w:tr>
        <w:trPr>
          <w:trHeight w:val="196"/>
        </w:trPr>
        <w:tc>
          <w:tcPr>
            <w:tcW w:w="24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32">
              <w:r>
                <w:rPr>
                  <w:rFonts w:ascii="Arial" w:cs="Arial" w:eastAsia="Arial" w:hAnsi="Arial"/>
                  <w:sz w:val="18"/>
                  <w:szCs w:val="18"/>
                  <w:color w:val="0000EE"/>
                  <w:w w:val="86"/>
                </w:rPr>
                <w:t>2019).</w:t>
              </w:r>
            </w:hyperlink>
          </w:p>
        </w:tc>
        <w:tc>
          <w:tcPr>
            <w:tcW w:w="33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3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102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1"/>
              </w:rPr>
            </w:pPr>
            <w:hyperlink r:id="rId33">
              <w:r>
                <w:rPr>
                  <w:rFonts w:ascii="Arial" w:cs="Arial" w:eastAsia="Arial" w:hAnsi="Arial"/>
                  <w:sz w:val="18"/>
                  <w:szCs w:val="18"/>
                  <w:color w:val="0000EE"/>
                  <w:w w:val="91"/>
                </w:rPr>
                <w:t>Certificate of Designation of Series C Junior Participating Preferred Stock (incorporated by reference from Exhibit 3.1 to our Current Report</w:t>
              </w:r>
            </w:hyperlink>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on Form 8-K filed with the SEC on March 21, 2016).</w:t>
              </w:r>
            </w:hyperlink>
          </w:p>
        </w:tc>
      </w:tr>
      <w:tr>
        <w:trPr>
          <w:trHeight w:val="20"/>
        </w:trPr>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3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102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5"/>
              </w:rPr>
            </w:pPr>
            <w:hyperlink r:id="rId34">
              <w:r>
                <w:rPr>
                  <w:rFonts w:ascii="Arial" w:cs="Arial" w:eastAsia="Arial" w:hAnsi="Arial"/>
                  <w:sz w:val="18"/>
                  <w:szCs w:val="18"/>
                  <w:color w:val="0000EE"/>
                  <w:w w:val="95"/>
                </w:rPr>
                <w:t>Certificate of Designation of Preferences, Rights and Limitations of Series D Convertible Preferred Stock (incorporated by reference to</w:t>
              </w:r>
            </w:hyperlink>
          </w:p>
        </w:tc>
      </w:tr>
      <w:tr>
        <w:trPr>
          <w:trHeight w:val="196"/>
        </w:trPr>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5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Exhibit 3.1 to our Current Report on Form 8-K filed with the SEC on December 23, 2016).</w:t>
              </w:r>
            </w:hyperlink>
          </w:p>
        </w:tc>
        <w:tc>
          <w:tcPr>
            <w:tcW w:w="3600" w:type="dxa"/>
            <w:vAlign w:val="bottom"/>
            <w:gridSpan w:val="7"/>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3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10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w w:val="95"/>
              </w:rPr>
            </w:pPr>
            <w:hyperlink r:id="rId35">
              <w:r>
                <w:rPr>
                  <w:rFonts w:ascii="Arial" w:cs="Arial" w:eastAsia="Arial" w:hAnsi="Arial"/>
                  <w:sz w:val="18"/>
                  <w:szCs w:val="18"/>
                  <w:color w:val="0000EE"/>
                  <w:w w:val="95"/>
                </w:rPr>
                <w:t>Certificate of Designation of Preferences, Rights and Limitations of Series E Convertible Preferred Stock (incorporated by reference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101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Exhibit 3.1 to our Quarterly Report on Form 10-Q filed with the SEC on November 14, 2018).</w:t>
              </w:r>
            </w:hyperlink>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0" w:type="dxa"/>
            <w:vAlign w:val="bottom"/>
            <w:gridSpan w:val="7"/>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3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0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w w:val="95"/>
              </w:rPr>
            </w:pPr>
            <w:hyperlink r:id="rId36">
              <w:r>
                <w:rPr>
                  <w:rFonts w:ascii="Arial" w:cs="Arial" w:eastAsia="Arial" w:hAnsi="Arial"/>
                  <w:sz w:val="18"/>
                  <w:szCs w:val="18"/>
                  <w:color w:val="0000EE"/>
                  <w:w w:val="95"/>
                </w:rPr>
                <w:t>Specimen Common Stock certificate (incorporated by reference from our Registration Statement on Form S-1 filed on May 18, 2010).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8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3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020" w:type="dxa"/>
            <w:vAlign w:val="bottom"/>
          </w:tcPr>
          <w:p>
            <w:pPr>
              <w:spacing w:after="0"/>
              <w:rPr>
                <w:sz w:val="24"/>
                <w:szCs w:val="24"/>
                <w:color w:val="auto"/>
              </w:rPr>
            </w:pPr>
          </w:p>
        </w:tc>
        <w:tc>
          <w:tcPr>
            <w:tcW w:w="9960" w:type="dxa"/>
            <w:vAlign w:val="bottom"/>
            <w:tcBorders>
              <w:bottom w:val="single" w:sz="8" w:color="0000EE"/>
            </w:tcBorders>
            <w:gridSpan w:val="11"/>
          </w:tcPr>
          <w:p>
            <w:pPr>
              <w:spacing w:after="0"/>
              <w:rPr>
                <w:rFonts w:ascii="Arial" w:cs="Arial" w:eastAsia="Arial" w:hAnsi="Arial"/>
                <w:sz w:val="18"/>
                <w:szCs w:val="18"/>
                <w:color w:val="0000EE"/>
                <w:w w:val="92"/>
              </w:rPr>
            </w:pPr>
            <w:hyperlink r:id="rId37">
              <w:r>
                <w:rPr>
                  <w:rFonts w:ascii="Arial" w:cs="Arial" w:eastAsia="Arial" w:hAnsi="Arial"/>
                  <w:sz w:val="18"/>
                  <w:szCs w:val="18"/>
                  <w:color w:val="0000EE"/>
                  <w:w w:val="92"/>
                </w:rPr>
                <w:t>Form of Warrant (incorporated by reference from Exhibit 4.1 to our Current Report on Form 8-K filed with the SEC on October 16, 2015)</w:t>
              </w:r>
            </w:hyperlink>
          </w:p>
        </w:tc>
        <w:tc>
          <w:tcPr>
            <w:tcW w:w="200" w:type="dxa"/>
            <w:vAlign w:val="bottom"/>
            <w:gridSpan w:val="2"/>
          </w:tcPr>
          <w:p>
            <w:pPr>
              <w:spacing w:after="0"/>
              <w:rPr>
                <w:sz w:val="24"/>
                <w:szCs w:val="24"/>
                <w:color w:val="auto"/>
              </w:rPr>
            </w:pPr>
          </w:p>
        </w:tc>
      </w:tr>
      <w:tr>
        <w:trPr>
          <w:trHeight w:val="439"/>
        </w:trPr>
        <w:tc>
          <w:tcPr>
            <w:tcW w:w="240" w:type="dxa"/>
            <w:vAlign w:val="bottom"/>
          </w:tcPr>
          <w:p>
            <w:pPr>
              <w:spacing w:after="0"/>
              <w:rPr>
                <w:rFonts w:ascii="Arial" w:cs="Arial" w:eastAsia="Arial" w:hAnsi="Arial"/>
                <w:sz w:val="18"/>
                <w:szCs w:val="18"/>
                <w:color w:val="0000EE"/>
                <w:w w:val="87"/>
              </w:rPr>
            </w:pPr>
            <w:hyperlink r:id="rId3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0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w w:val="96"/>
              </w:rPr>
            </w:pPr>
            <w:hyperlink r:id="rId38">
              <w:r>
                <w:rPr>
                  <w:rFonts w:ascii="Arial" w:cs="Arial" w:eastAsia="Arial" w:hAnsi="Arial"/>
                  <w:sz w:val="18"/>
                  <w:szCs w:val="18"/>
                  <w:color w:val="0000EE"/>
                  <w:w w:val="96"/>
                </w:rPr>
                <w:t>Form of Warrant (incorporated by reference from Exhibit 10.3 to our Current Report on Form 8-K filed with the SEC on May 4, 2015)</w:t>
              </w:r>
            </w:hyperlink>
          </w:p>
        </w:tc>
      </w:tr>
      <w:tr>
        <w:trPr>
          <w:trHeight w:val="696"/>
        </w:trPr>
        <w:tc>
          <w:tcPr>
            <w:tcW w:w="240" w:type="dxa"/>
            <w:vAlign w:val="bottom"/>
            <w:tcBorders>
              <w:top w:val="single" w:sz="8" w:color="0000EE"/>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60" w:type="dxa"/>
            <w:vAlign w:val="bottom"/>
            <w:tcBorders>
              <w:top w:val="single" w:sz="8" w:color="0000EE"/>
              <w:bottom w:val="single" w:sz="8" w:color="auto"/>
            </w:tcBorders>
            <w:gridSpan w:val="3"/>
          </w:tcPr>
          <w:p>
            <w:pPr>
              <w:ind w:left="4380"/>
              <w:spacing w:after="0"/>
              <w:rPr>
                <w:sz w:val="20"/>
                <w:szCs w:val="20"/>
                <w:color w:val="auto"/>
              </w:rPr>
            </w:pPr>
            <w:r>
              <w:rPr>
                <w:rFonts w:ascii="Arial" w:cs="Arial" w:eastAsia="Arial" w:hAnsi="Arial"/>
                <w:sz w:val="18"/>
                <w:szCs w:val="18"/>
                <w:color w:val="auto"/>
              </w:rPr>
              <w:t>19</w:t>
            </w:r>
          </w:p>
        </w:tc>
        <w:tc>
          <w:tcPr>
            <w:tcW w:w="5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580" w:type="dxa"/>
            <w:vAlign w:val="bottom"/>
            <w:tcBorders>
              <w:top w:val="single" w:sz="8" w:color="0000EE"/>
              <w:bottom w:val="single" w:sz="8" w:color="auto"/>
            </w:tcBorders>
          </w:tcPr>
          <w:p>
            <w:pPr>
              <w:spacing w:after="0"/>
              <w:rPr>
                <w:sz w:val="24"/>
                <w:szCs w:val="24"/>
                <w:color w:val="auto"/>
              </w:rPr>
            </w:pPr>
          </w:p>
        </w:tc>
        <w:tc>
          <w:tcPr>
            <w:tcW w:w="13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spacing w:after="0"/>
              <w:rPr>
                <w:rFonts w:ascii="Arial" w:cs="Arial" w:eastAsia="Arial" w:hAnsi="Arial"/>
                <w:sz w:val="18"/>
                <w:szCs w:val="18"/>
                <w:color w:val="0000EE"/>
              </w:rPr>
            </w:pPr>
            <w:hyperlink r:id="rId39">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840" w:type="dxa"/>
            <w:vAlign w:val="bottom"/>
          </w:tcPr>
          <w:p>
            <w:pPr>
              <w:spacing w:after="0"/>
              <w:rPr>
                <w:sz w:val="17"/>
                <w:szCs w:val="17"/>
                <w:color w:val="auto"/>
              </w:rPr>
            </w:pPr>
          </w:p>
        </w:tc>
        <w:tc>
          <w:tcPr>
            <w:tcW w:w="10160" w:type="dxa"/>
            <w:vAlign w:val="bottom"/>
            <w:gridSpan w:val="11"/>
          </w:tcPr>
          <w:p>
            <w:pPr>
              <w:spacing w:after="0"/>
              <w:rPr>
                <w:rFonts w:ascii="Arial" w:cs="Arial" w:eastAsia="Arial" w:hAnsi="Arial"/>
                <w:sz w:val="18"/>
                <w:szCs w:val="18"/>
                <w:color w:val="0000EE"/>
                <w:w w:val="94"/>
              </w:rPr>
            </w:pPr>
            <w:hyperlink r:id="rId39">
              <w:r>
                <w:rPr>
                  <w:rFonts w:ascii="Arial" w:cs="Arial" w:eastAsia="Arial" w:hAnsi="Arial"/>
                  <w:sz w:val="18"/>
                  <w:szCs w:val="18"/>
                  <w:color w:val="0000EE"/>
                  <w:w w:val="94"/>
                </w:rPr>
                <w:t>Section 382 Rights Agreement, dated as of March 18, 2016, between Vringo, Inc. and American Stock Transfer &amp; Trust Company, LLC,</w:t>
              </w:r>
            </w:hyperlink>
          </w:p>
        </w:tc>
      </w:tr>
      <w:tr>
        <w:trPr>
          <w:trHeight w:val="196"/>
        </w:trPr>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6"/>
              </w:rPr>
            </w:pPr>
            <w:hyperlink r:id="rId39">
              <w:r>
                <w:rPr>
                  <w:rFonts w:ascii="Arial" w:cs="Arial" w:eastAsia="Arial" w:hAnsi="Arial"/>
                  <w:sz w:val="18"/>
                  <w:szCs w:val="18"/>
                  <w:color w:val="0000EE"/>
                  <w:w w:val="96"/>
                </w:rPr>
                <w:t>which includes the Form of Certificate of Designation of Series C Junior Participating Preferred Stock as Exhibit A, the Form of Right</w:t>
              </w:r>
            </w:hyperlink>
          </w:p>
        </w:tc>
      </w:tr>
      <w:tr>
        <w:trPr>
          <w:trHeight w:val="196"/>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Certificate as Exhibit B and the Summary of Rights to Purchase Preferred Stock as Exhibit C (incorporated by reference from Exhibit 4.1 to</w:t>
              </w:r>
            </w:hyperlink>
          </w:p>
        </w:tc>
      </w:tr>
      <w:tr>
        <w:trPr>
          <w:trHeight w:val="196"/>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our Current Report on Form 8-K filed with the SEC on March 21, 2016)</w:t>
              </w:r>
            </w:hyperlink>
          </w:p>
        </w:tc>
        <w:tc>
          <w:tcPr>
            <w:tcW w:w="4940" w:type="dxa"/>
            <w:vAlign w:val="bottom"/>
            <w:gridSpan w:val="8"/>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r:id="rId40">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840" w:type="dxa"/>
            <w:vAlign w:val="bottom"/>
          </w:tcPr>
          <w:p>
            <w:pPr>
              <w:spacing w:after="0"/>
              <w:rPr>
                <w:sz w:val="24"/>
                <w:szCs w:val="24"/>
                <w:color w:val="auto"/>
              </w:rPr>
            </w:pPr>
          </w:p>
        </w:tc>
        <w:tc>
          <w:tcPr>
            <w:tcW w:w="10160" w:type="dxa"/>
            <w:vAlign w:val="bottom"/>
            <w:gridSpan w:val="11"/>
          </w:tcPr>
          <w:p>
            <w:pPr>
              <w:spacing w:after="0"/>
              <w:rPr>
                <w:rFonts w:ascii="Arial" w:cs="Arial" w:eastAsia="Arial" w:hAnsi="Arial"/>
                <w:sz w:val="18"/>
                <w:szCs w:val="18"/>
                <w:color w:val="0000EE"/>
                <w:w w:val="97"/>
              </w:rPr>
            </w:pPr>
            <w:hyperlink r:id="rId40">
              <w:r>
                <w:rPr>
                  <w:rFonts w:ascii="Arial" w:cs="Arial" w:eastAsia="Arial" w:hAnsi="Arial"/>
                  <w:sz w:val="18"/>
                  <w:szCs w:val="18"/>
                  <w:color w:val="0000EE"/>
                  <w:w w:val="97"/>
                </w:rPr>
                <w:t>Amendment to Section 382 Rights Agreement, dated March 18, 2019, between the Company and American Stock Transfer &amp; Trust</w:t>
              </w:r>
            </w:hyperlink>
          </w:p>
        </w:tc>
      </w:tr>
      <w:tr>
        <w:trPr>
          <w:trHeight w:val="196"/>
        </w:trPr>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Company, LLC (incorporated by reference from Exhibit 10.1 to our Current Report on Form 8-K filed with the SEC on March 22, 2019).</w:t>
              </w:r>
            </w:hyperlink>
          </w:p>
        </w:tc>
        <w:tc>
          <w:tcPr>
            <w:tcW w:w="260" w:type="dxa"/>
            <w:vAlign w:val="bottom"/>
            <w:tcBorders>
              <w:top w:val="single" w:sz="8" w:color="0000EE"/>
            </w:tcBorders>
            <w:gridSpan w:val="4"/>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r:id="rId41">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840" w:type="dxa"/>
            <w:vAlign w:val="bottom"/>
          </w:tcPr>
          <w:p>
            <w:pPr>
              <w:spacing w:after="0"/>
              <w:rPr>
                <w:sz w:val="24"/>
                <w:szCs w:val="24"/>
                <w:color w:val="auto"/>
              </w:rPr>
            </w:pPr>
          </w:p>
        </w:tc>
        <w:tc>
          <w:tcPr>
            <w:tcW w:w="10160" w:type="dxa"/>
            <w:vAlign w:val="bottom"/>
            <w:gridSpan w:val="11"/>
          </w:tcPr>
          <w:p>
            <w:pPr>
              <w:spacing w:after="0"/>
              <w:rPr>
                <w:rFonts w:ascii="Arial" w:cs="Arial" w:eastAsia="Arial" w:hAnsi="Arial"/>
                <w:sz w:val="18"/>
                <w:szCs w:val="18"/>
                <w:color w:val="0000EE"/>
                <w:w w:val="98"/>
              </w:rPr>
            </w:pPr>
            <w:hyperlink r:id="rId41">
              <w:r>
                <w:rPr>
                  <w:rFonts w:ascii="Arial" w:cs="Arial" w:eastAsia="Arial" w:hAnsi="Arial"/>
                  <w:sz w:val="18"/>
                  <w:szCs w:val="18"/>
                  <w:color w:val="0000EE"/>
                  <w:w w:val="98"/>
                </w:rPr>
                <w:t>Form of Warrant to Purchase Shares of Common Stock of FORM Holdings Corp. (incorporated by reference from Annex F to our</w:t>
              </w:r>
            </w:hyperlink>
          </w:p>
        </w:tc>
      </w:tr>
      <w:tr>
        <w:trPr>
          <w:trHeight w:val="196"/>
        </w:trPr>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Registration Statement on Form S-4 filed with the SEC on October 26, 2016)</w:t>
              </w:r>
            </w:hyperlink>
          </w:p>
        </w:tc>
      </w:tr>
      <w:tr>
        <w:trPr>
          <w:trHeight w:val="20"/>
        </w:trPr>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4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20" w:type="dxa"/>
            <w:vAlign w:val="bottom"/>
            <w:tcBorders>
              <w:bottom w:val="single" w:sz="8" w:color="0000EE"/>
            </w:tcBorders>
            <w:gridSpan w:val="9"/>
          </w:tcPr>
          <w:p>
            <w:pPr>
              <w:spacing w:after="0"/>
              <w:rPr>
                <w:rFonts w:ascii="Arial" w:cs="Arial" w:eastAsia="Arial" w:hAnsi="Arial"/>
                <w:sz w:val="18"/>
                <w:szCs w:val="18"/>
                <w:color w:val="0000EE"/>
                <w:w w:val="92"/>
              </w:rPr>
            </w:pPr>
            <w:hyperlink r:id="rId42">
              <w:r>
                <w:rPr>
                  <w:rFonts w:ascii="Arial" w:cs="Arial" w:eastAsia="Arial" w:hAnsi="Arial"/>
                  <w:sz w:val="18"/>
                  <w:szCs w:val="18"/>
                  <w:color w:val="0000EE"/>
                  <w:w w:val="92"/>
                </w:rPr>
                <w:t>Form of Secured Convertible Note (incorporated by reference from Exhibit 4.1 to our Quarterly Report on Form 10-Q filed with the SEC on</w:t>
              </w:r>
            </w:hyperlink>
          </w:p>
        </w:tc>
        <w:tc>
          <w:tcPr>
            <w:tcW w:w="4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May 15, 2018).</w:t>
              </w:r>
            </w:hyperlink>
          </w:p>
        </w:tc>
        <w:tc>
          <w:tcPr>
            <w:tcW w:w="9040" w:type="dxa"/>
            <w:vAlign w:val="bottom"/>
            <w:gridSpan w:val="9"/>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r:id="rId43">
              <w:r>
                <w:rPr>
                  <w:rFonts w:ascii="Arial" w:cs="Arial" w:eastAsia="Arial" w:hAnsi="Arial"/>
                  <w:sz w:val="18"/>
                  <w:szCs w:val="18"/>
                  <w:color w:val="0000EE"/>
                </w:rPr>
                <w:t>4.</w:t>
              </w:r>
              <w:r>
                <w:rPr>
                  <w:rFonts w:ascii="Arial" w:cs="Arial" w:eastAsia="Arial" w:hAnsi="Arial"/>
                  <w:sz w:val="18"/>
                  <w:szCs w:val="18"/>
                  <w:u w:val="single" w:color="auto"/>
                  <w:color w:val="0000EE"/>
                </w:rPr>
                <w:t>8</w:t>
              </w:r>
            </w:hyperlink>
          </w:p>
        </w:tc>
        <w:tc>
          <w:tcPr>
            <w:tcW w:w="840" w:type="dxa"/>
            <w:vAlign w:val="bottom"/>
          </w:tcPr>
          <w:p>
            <w:pPr>
              <w:spacing w:after="0"/>
              <w:rPr>
                <w:sz w:val="24"/>
                <w:szCs w:val="24"/>
                <w:color w:val="auto"/>
              </w:rPr>
            </w:pPr>
          </w:p>
        </w:tc>
        <w:tc>
          <w:tcPr>
            <w:tcW w:w="10160" w:type="dxa"/>
            <w:vAlign w:val="bottom"/>
            <w:gridSpan w:val="11"/>
          </w:tcPr>
          <w:p>
            <w:pPr>
              <w:spacing w:after="0"/>
              <w:rPr>
                <w:rFonts w:ascii="Arial" w:cs="Arial" w:eastAsia="Arial" w:hAnsi="Arial"/>
                <w:sz w:val="18"/>
                <w:szCs w:val="18"/>
                <w:color w:val="0000EE"/>
                <w:w w:val="92"/>
              </w:rPr>
            </w:pPr>
            <w:hyperlink r:id="rId43">
              <w:r>
                <w:rPr>
                  <w:rFonts w:ascii="Arial" w:cs="Arial" w:eastAsia="Arial" w:hAnsi="Arial"/>
                  <w:sz w:val="18"/>
                  <w:szCs w:val="18"/>
                  <w:color w:val="0000EE"/>
                  <w:w w:val="92"/>
                </w:rPr>
                <w:t>Form of Class A Warrant (incorporated by reference from Exhibit 4.2 to our Quarterly Report on Form 10-Q filed with the SEC on May 15,</w:t>
              </w:r>
            </w:hyperlink>
          </w:p>
        </w:tc>
      </w:tr>
      <w:tr>
        <w:trPr>
          <w:trHeight w:val="196"/>
        </w:trPr>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43">
              <w:r>
                <w:rPr>
                  <w:rFonts w:ascii="Arial" w:cs="Arial" w:eastAsia="Arial" w:hAnsi="Arial"/>
                  <w:sz w:val="18"/>
                  <w:szCs w:val="18"/>
                  <w:color w:val="0000EE"/>
                  <w:w w:val="86"/>
                </w:rPr>
                <w:t>2018).</w:t>
              </w:r>
            </w:hyperlink>
          </w:p>
        </w:tc>
        <w:tc>
          <w:tcPr>
            <w:tcW w:w="660" w:type="dxa"/>
            <w:vAlign w:val="bottom"/>
            <w:tcBorders>
              <w:top w:val="single" w:sz="8" w:color="0000EE"/>
            </w:tcBorders>
          </w:tcPr>
          <w:p>
            <w:pPr>
              <w:spacing w:after="0"/>
              <w:rPr>
                <w:sz w:val="17"/>
                <w:szCs w:val="17"/>
                <w:color w:val="auto"/>
              </w:rPr>
            </w:pPr>
          </w:p>
        </w:tc>
        <w:tc>
          <w:tcPr>
            <w:tcW w:w="4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r:id="rId44">
              <w:r>
                <w:rPr>
                  <w:rFonts w:ascii="Arial" w:cs="Arial" w:eastAsia="Arial" w:hAnsi="Arial"/>
                  <w:sz w:val="18"/>
                  <w:szCs w:val="18"/>
                  <w:color w:val="0000EE"/>
                </w:rPr>
                <w:t>4.</w:t>
              </w:r>
              <w:r>
                <w:rPr>
                  <w:rFonts w:ascii="Arial" w:cs="Arial" w:eastAsia="Arial" w:hAnsi="Arial"/>
                  <w:sz w:val="18"/>
                  <w:szCs w:val="18"/>
                  <w:u w:val="single" w:color="auto"/>
                  <w:color w:val="0000EE"/>
                </w:rPr>
                <w:t>9</w:t>
              </w:r>
            </w:hyperlink>
          </w:p>
        </w:tc>
        <w:tc>
          <w:tcPr>
            <w:tcW w:w="840" w:type="dxa"/>
            <w:vAlign w:val="bottom"/>
          </w:tcPr>
          <w:p>
            <w:pPr>
              <w:spacing w:after="0"/>
              <w:rPr>
                <w:sz w:val="24"/>
                <w:szCs w:val="24"/>
                <w:color w:val="auto"/>
              </w:rPr>
            </w:pPr>
          </w:p>
        </w:tc>
        <w:tc>
          <w:tcPr>
            <w:tcW w:w="10160" w:type="dxa"/>
            <w:vAlign w:val="bottom"/>
            <w:gridSpan w:val="11"/>
          </w:tcPr>
          <w:p>
            <w:pPr>
              <w:spacing w:after="0"/>
              <w:rPr>
                <w:rFonts w:ascii="Arial" w:cs="Arial" w:eastAsia="Arial" w:hAnsi="Arial"/>
                <w:sz w:val="18"/>
                <w:szCs w:val="18"/>
                <w:color w:val="0000EE"/>
                <w:w w:val="92"/>
              </w:rPr>
            </w:pPr>
            <w:hyperlink r:id="rId44">
              <w:r>
                <w:rPr>
                  <w:rFonts w:ascii="Arial" w:cs="Arial" w:eastAsia="Arial" w:hAnsi="Arial"/>
                  <w:sz w:val="18"/>
                  <w:szCs w:val="18"/>
                  <w:color w:val="0000EE"/>
                  <w:w w:val="92"/>
                </w:rPr>
                <w:t>Form of Class B Warrant (incorporated by reference from Exhibit 4.3 to our Quarterly Report on Form 10-Q filed with the SEC on May 15,</w:t>
              </w:r>
            </w:hyperlink>
          </w:p>
        </w:tc>
      </w:tr>
      <w:tr>
        <w:trPr>
          <w:trHeight w:val="196"/>
        </w:trPr>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44">
              <w:r>
                <w:rPr>
                  <w:rFonts w:ascii="Arial" w:cs="Arial" w:eastAsia="Arial" w:hAnsi="Arial"/>
                  <w:sz w:val="18"/>
                  <w:szCs w:val="18"/>
                  <w:color w:val="0000EE"/>
                  <w:w w:val="86"/>
                </w:rPr>
                <w:t>2018).</w:t>
              </w:r>
            </w:hyperlink>
          </w:p>
        </w:tc>
        <w:tc>
          <w:tcPr>
            <w:tcW w:w="660" w:type="dxa"/>
            <w:vAlign w:val="bottom"/>
            <w:tcBorders>
              <w:top w:val="single" w:sz="8" w:color="0000EE"/>
            </w:tcBorders>
          </w:tcPr>
          <w:p>
            <w:pPr>
              <w:spacing w:after="0"/>
              <w:rPr>
                <w:sz w:val="17"/>
                <w:szCs w:val="17"/>
                <w:color w:val="auto"/>
              </w:rPr>
            </w:pPr>
          </w:p>
        </w:tc>
        <w:tc>
          <w:tcPr>
            <w:tcW w:w="4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412"/>
        </w:trPr>
        <w:tc>
          <w:tcPr>
            <w:tcW w:w="1260" w:type="dxa"/>
            <w:vAlign w:val="bottom"/>
            <w:gridSpan w:val="3"/>
          </w:tcPr>
          <w:p>
            <w:pPr>
              <w:spacing w:after="0"/>
              <w:rPr>
                <w:rFonts w:ascii="Arial" w:cs="Arial" w:eastAsia="Arial" w:hAnsi="Arial"/>
                <w:sz w:val="18"/>
                <w:szCs w:val="18"/>
                <w:color w:val="0000EE"/>
              </w:rPr>
            </w:pPr>
            <w:hyperlink r:id="rId4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160" w:type="dxa"/>
            <w:vAlign w:val="bottom"/>
            <w:gridSpan w:val="11"/>
          </w:tcPr>
          <w:p>
            <w:pP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Vringo, Inc. 2012 Employee, Director and Consultant Equity Incentive Plan, as amended (incorporated by reference from Appendix C of our</w:t>
              </w:r>
            </w:hyperlink>
          </w:p>
        </w:tc>
      </w:tr>
      <w:tr>
        <w:trPr>
          <w:trHeight w:val="196"/>
        </w:trPr>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Proxy Statement on Schedule 14A (DEF 14A) filed with the SEC on September 25, 2015)</w:t>
              </w:r>
            </w:hyperlink>
          </w:p>
        </w:tc>
        <w:tc>
          <w:tcPr>
            <w:tcW w:w="3660" w:type="dxa"/>
            <w:vAlign w:val="bottom"/>
            <w:tcBorders>
              <w:top w:val="single" w:sz="8" w:color="0000EE"/>
            </w:tcBorders>
            <w:gridSpan w:val="6"/>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r:id="rId4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w:t>
              </w:r>
            </w:hyperlink>
          </w:p>
        </w:tc>
        <w:tc>
          <w:tcPr>
            <w:tcW w:w="84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Form of Management Option Agreement (incorporated by reference from our Registration Statement on Form S-1 filed on March 29, 2010).</w:t>
              </w:r>
            </w:hyperlink>
          </w:p>
        </w:tc>
        <w:tc>
          <w:tcPr>
            <w:tcW w:w="20" w:type="dxa"/>
            <w:vAlign w:val="bottom"/>
          </w:tcPr>
          <w:p>
            <w:pPr>
              <w:spacing w:after="0"/>
              <w:rPr>
                <w:sz w:val="24"/>
                <w:szCs w:val="24"/>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r:id="rId4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w:t>
              </w:r>
            </w:hyperlink>
          </w:p>
        </w:tc>
        <w:tc>
          <w:tcPr>
            <w:tcW w:w="840" w:type="dxa"/>
            <w:vAlign w:val="bottom"/>
          </w:tcPr>
          <w:p>
            <w:pPr>
              <w:spacing w:after="0"/>
              <w:rPr>
                <w:sz w:val="24"/>
                <w:szCs w:val="24"/>
                <w:color w:val="auto"/>
              </w:rPr>
            </w:pPr>
          </w:p>
        </w:tc>
        <w:tc>
          <w:tcPr>
            <w:tcW w:w="9400" w:type="dxa"/>
            <w:vAlign w:val="bottom"/>
            <w:tcBorders>
              <w:bottom w:val="single" w:sz="8" w:color="0000EE"/>
            </w:tcBorders>
            <w:gridSpan w:val="6"/>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Form of Stock Option Agreement (incorporated by reference from our Registration Statement on Form S-8 filed on July 26, 2012)</w:t>
              </w:r>
            </w:hyperlink>
          </w:p>
        </w:tc>
        <w:tc>
          <w:tcPr>
            <w:tcW w:w="760" w:type="dxa"/>
            <w:vAlign w:val="bottom"/>
            <w:gridSpan w:val="5"/>
          </w:tcPr>
          <w:p>
            <w:pPr>
              <w:spacing w:after="0"/>
              <w:rPr>
                <w:sz w:val="24"/>
                <w:szCs w:val="24"/>
                <w:color w:val="auto"/>
              </w:rPr>
            </w:pPr>
          </w:p>
        </w:tc>
      </w:tr>
      <w:tr>
        <w:trPr>
          <w:trHeight w:val="412"/>
        </w:trPr>
        <w:tc>
          <w:tcPr>
            <w:tcW w:w="1260" w:type="dxa"/>
            <w:vAlign w:val="bottom"/>
            <w:gridSpan w:val="3"/>
          </w:tcPr>
          <w:p>
            <w:pPr>
              <w:spacing w:after="0"/>
              <w:rPr>
                <w:rFonts w:ascii="Arial" w:cs="Arial" w:eastAsia="Arial" w:hAnsi="Arial"/>
                <w:sz w:val="18"/>
                <w:szCs w:val="18"/>
                <w:color w:val="0000EE"/>
              </w:rPr>
            </w:pPr>
            <w:hyperlink r:id="rId48">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160" w:type="dxa"/>
            <w:vAlign w:val="bottom"/>
            <w:gridSpan w:val="11"/>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Form of Restricted Stock Unit Agreement (incorporated by reference from our Registration Statement on Form S-8 filed on July 26, 2012)</w:t>
              </w:r>
            </w:hyperlink>
          </w:p>
        </w:tc>
      </w:tr>
      <w:tr>
        <w:trPr>
          <w:trHeight w:val="669"/>
        </w:trPr>
        <w:tc>
          <w:tcPr>
            <w:tcW w:w="2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20" w:type="dxa"/>
            <w:vAlign w:val="bottom"/>
            <w:tcBorders>
              <w:top w:val="single" w:sz="8" w:color="0000EE"/>
              <w:bottom w:val="single" w:sz="8" w:color="auto"/>
            </w:tcBorders>
            <w:gridSpan w:val="3"/>
          </w:tcPr>
          <w:p>
            <w:pPr>
              <w:ind w:left="4380"/>
              <w:spacing w:after="0"/>
              <w:rPr>
                <w:sz w:val="20"/>
                <w:szCs w:val="20"/>
                <w:color w:val="auto"/>
              </w:rPr>
            </w:pPr>
            <w:r>
              <w:rPr>
                <w:rFonts w:ascii="Arial" w:cs="Arial" w:eastAsia="Arial" w:hAnsi="Arial"/>
                <w:sz w:val="18"/>
                <w:szCs w:val="18"/>
                <w:color w:val="auto"/>
              </w:rPr>
              <w:t>20</w:t>
            </w:r>
          </w:p>
        </w:tc>
        <w:tc>
          <w:tcPr>
            <w:tcW w:w="34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290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gridSpan w:val="2"/>
          </w:tcPr>
          <w:p>
            <w:pPr>
              <w:spacing w:after="0"/>
              <w:rPr>
                <w:rFonts w:ascii="Arial" w:cs="Arial" w:eastAsia="Arial" w:hAnsi="Arial"/>
                <w:sz w:val="18"/>
                <w:szCs w:val="18"/>
                <w:color w:val="0000EE"/>
              </w:rPr>
            </w:pPr>
            <w:hyperlink r:id="rId49">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gridSpan w:val="15"/>
          </w:tcPr>
          <w:p>
            <w:pPr>
              <w:spacing w:after="0"/>
              <w:rPr>
                <w:rFonts w:ascii="Arial" w:cs="Arial" w:eastAsia="Arial" w:hAnsi="Arial"/>
                <w:sz w:val="18"/>
                <w:szCs w:val="18"/>
                <w:color w:val="0000EE"/>
                <w:w w:val="93"/>
              </w:rPr>
            </w:pPr>
            <w:hyperlink r:id="rId49">
              <w:r>
                <w:rPr>
                  <w:rFonts w:ascii="Arial" w:cs="Arial" w:eastAsia="Arial" w:hAnsi="Arial"/>
                  <w:sz w:val="18"/>
                  <w:szCs w:val="18"/>
                  <w:color w:val="0000EE"/>
                  <w:w w:val="93"/>
                </w:rPr>
                <w:t>Form of Indemnification Agreement, dated January 31, 2013, by and between Vringo, Inc. and each of its Directors and Executive Officer</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top w:val="single" w:sz="8" w:color="0000EE"/>
            </w:tcBorders>
            <w:gridSpan w:val="15"/>
          </w:tcPr>
          <w:p>
            <w:pPr>
              <w:spacing w:after="0" w:line="196" w:lineRule="exact"/>
              <w:rPr>
                <w:rFonts w:ascii="Arial" w:cs="Arial" w:eastAsia="Arial" w:hAnsi="Arial"/>
                <w:sz w:val="18"/>
                <w:szCs w:val="18"/>
                <w:color w:val="0000EE"/>
                <w:w w:val="96"/>
              </w:rPr>
            </w:pPr>
            <w:hyperlink r:id="rId49">
              <w:r>
                <w:rPr>
                  <w:rFonts w:ascii="Arial" w:cs="Arial" w:eastAsia="Arial" w:hAnsi="Arial"/>
                  <w:sz w:val="18"/>
                  <w:szCs w:val="18"/>
                  <w:color w:val="0000EE"/>
                  <w:w w:val="96"/>
                </w:rPr>
                <w:t>(incorporated by reference from our Annual Report on Form 10-K for the period ended December 31, 2012 filed on March 21, 2013)</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rPr>
            </w:pPr>
            <w:hyperlink r:id="rId50">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w w:val="92"/>
              </w:rPr>
            </w:pPr>
            <w:hyperlink r:id="rId50">
              <w:r>
                <w:rPr>
                  <w:rFonts w:ascii="Arial" w:cs="Arial" w:eastAsia="Arial" w:hAnsi="Arial"/>
                  <w:sz w:val="18"/>
                  <w:szCs w:val="18"/>
                  <w:color w:val="0000EE"/>
                  <w:w w:val="92"/>
                </w:rPr>
                <w:t>Subscription Agreement, dated as of August 8, 2016, by and between FORM Holdings Corp. and Mistral Spa Holdings, LLC (incorporated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by reference from Exhibit 10.1 to our Current Report on Form 8-K filed with the SEC on August 8, 2016)</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rPr>
            </w:pPr>
            <w:hyperlink r:id="rId51">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w w:val="94"/>
              </w:rPr>
            </w:pPr>
            <w:hyperlink r:id="rId51">
              <w:r>
                <w:rPr>
                  <w:rFonts w:ascii="Arial" w:cs="Arial" w:eastAsia="Arial" w:hAnsi="Arial"/>
                  <w:sz w:val="18"/>
                  <w:szCs w:val="18"/>
                  <w:color w:val="0000EE"/>
                  <w:w w:val="94"/>
                </w:rPr>
                <w:t>Subscription Agreement and Joinder, dated as of August 8, 2016, by and between XpresSpa Holdings, LLC and FORM Holdings Corp</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(incorporated by reference from Exhibit 10.2 to our Current Report on Form 8-K filed with the SEC on August 8, 2016)</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gridSpan w:val="5"/>
          </w:tcPr>
          <w:p>
            <w:pPr>
              <w:spacing w:after="0"/>
              <w:rPr>
                <w:rFonts w:ascii="Arial" w:cs="Arial" w:eastAsia="Arial" w:hAnsi="Arial"/>
                <w:sz w:val="18"/>
                <w:szCs w:val="18"/>
                <w:color w:val="0000EE"/>
              </w:rPr>
            </w:pPr>
            <w:hyperlink r:id="rId52">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160" w:type="dxa"/>
            <w:vAlign w:val="bottom"/>
            <w:gridSpan w:val="15"/>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FORM Holdings Corp. 2012 Employee, Director and Consultant Equity Incentive Plan, as amended (incorporated by reference from Exhibit</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our Current Report on Form 8-K filed with the SEC on November 28, 2016)</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gridSpan w:val="5"/>
          </w:tcPr>
          <w:p>
            <w:pPr>
              <w:spacing w:after="0"/>
              <w:rPr>
                <w:rFonts w:ascii="Arial" w:cs="Arial" w:eastAsia="Arial" w:hAnsi="Arial"/>
                <w:sz w:val="18"/>
                <w:szCs w:val="18"/>
                <w:color w:val="0000EE"/>
              </w:rPr>
            </w:pPr>
            <w:hyperlink r:id="rId53">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0160" w:type="dxa"/>
            <w:vAlign w:val="bottom"/>
            <w:gridSpan w:val="15"/>
          </w:tcPr>
          <w:p>
            <w:pPr>
              <w:spacing w:after="0"/>
              <w:rPr>
                <w:rFonts w:ascii="Arial" w:cs="Arial" w:eastAsia="Arial" w:hAnsi="Arial"/>
                <w:sz w:val="18"/>
                <w:szCs w:val="18"/>
                <w:color w:val="0000EE"/>
                <w:w w:val="98"/>
              </w:rPr>
            </w:pPr>
            <w:hyperlink r:id="rId53">
              <w:r>
                <w:rPr>
                  <w:rFonts w:ascii="Arial" w:cs="Arial" w:eastAsia="Arial" w:hAnsi="Arial"/>
                  <w:sz w:val="18"/>
                  <w:szCs w:val="18"/>
                  <w:color w:val="0000EE"/>
                  <w:w w:val="98"/>
                </w:rPr>
                <w:t>Independent Director’s Agreement, by and between FORM Holdings Corp. and Andrew R. Heyer, dated as of December 23, 2016</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9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(incorporated by reference from Exhibit 10.1 to our Current Report on Form 8-K filed with the SEC on December 23, 2016)</w:t>
              </w:r>
            </w:hyperlink>
          </w:p>
        </w:tc>
        <w:tc>
          <w:tcPr>
            <w:tcW w:w="1200" w:type="dxa"/>
            <w:vAlign w:val="bottom"/>
            <w:tcBorders>
              <w:top w:val="single" w:sz="8" w:color="0000EE"/>
            </w:tcBorders>
            <w:gridSpan w:val="3"/>
          </w:tcPr>
          <w:p>
            <w:pPr>
              <w:spacing w:after="0"/>
              <w:rPr>
                <w:sz w:val="17"/>
                <w:szCs w:val="17"/>
                <w:color w:val="auto"/>
              </w:rPr>
            </w:pPr>
          </w:p>
        </w:tc>
      </w:tr>
      <w:tr>
        <w:trPr>
          <w:trHeight w:val="412"/>
        </w:trPr>
        <w:tc>
          <w:tcPr>
            <w:tcW w:w="1260" w:type="dxa"/>
            <w:vAlign w:val="bottom"/>
            <w:gridSpan w:val="5"/>
          </w:tcPr>
          <w:p>
            <w:pPr>
              <w:spacing w:after="0"/>
              <w:rPr>
                <w:rFonts w:ascii="Arial" w:cs="Arial" w:eastAsia="Arial" w:hAnsi="Arial"/>
                <w:sz w:val="18"/>
                <w:szCs w:val="18"/>
                <w:color w:val="0000EE"/>
              </w:rPr>
            </w:pPr>
            <w:hyperlink r:id="rId54">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160" w:type="dxa"/>
            <w:vAlign w:val="bottom"/>
            <w:gridSpan w:val="15"/>
          </w:tcPr>
          <w:p>
            <w:pPr>
              <w:spacing w:after="0"/>
              <w:rPr>
                <w:rFonts w:ascii="Arial" w:cs="Arial" w:eastAsia="Arial" w:hAnsi="Arial"/>
                <w:sz w:val="18"/>
                <w:szCs w:val="18"/>
                <w:color w:val="0000EE"/>
                <w:w w:val="95"/>
              </w:rPr>
            </w:pPr>
            <w:hyperlink r:id="rId54">
              <w:r>
                <w:rPr>
                  <w:rFonts w:ascii="Arial" w:cs="Arial" w:eastAsia="Arial" w:hAnsi="Arial"/>
                  <w:sz w:val="18"/>
                  <w:szCs w:val="18"/>
                  <w:color w:val="0000EE"/>
                  <w:w w:val="95"/>
                </w:rPr>
                <w:t>Confidential Settlement and Patent Assignment Agreement by and between FORM Holdings Corp. and Nokia Corporation dated as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5"/>
              </w:rPr>
            </w:pPr>
            <w:hyperlink r:id="rId54">
              <w:r>
                <w:rPr>
                  <w:rFonts w:ascii="Arial" w:cs="Arial" w:eastAsia="Arial" w:hAnsi="Arial"/>
                  <w:sz w:val="18"/>
                  <w:szCs w:val="18"/>
                  <w:color w:val="0000EE"/>
                  <w:w w:val="95"/>
                </w:rPr>
                <w:t>December 5, 2016 (incorporated by reference from our Annual Report on Form 10-K for the period ended December 31, 2016 filed on</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gridSpan w:val="15"/>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March 30, 2017)</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w w:val="79"/>
              </w:rPr>
            </w:pPr>
            <w:hyperlink r:id="rId5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11</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Form of Stock Purchase Agreement, dated as of February 2, 2016, by and between FORM Holdings Corp., Excalibur Integrated Systems,</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Inc., each of the holders of the capital stock of Excalibur, and the sellers’ representative (incorporated by reference from Exhibit 10.1 to our</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Current Report on Form 8-K filed with the SEC on February 3, 2017)</w:t>
              </w:r>
            </w:hyperlink>
          </w:p>
        </w:tc>
        <w:tc>
          <w:tcPr>
            <w:tcW w:w="5140" w:type="dxa"/>
            <w:vAlign w:val="bottom"/>
            <w:gridSpan w:val="12"/>
          </w:tcPr>
          <w:p>
            <w:pPr>
              <w:spacing w:after="0"/>
              <w:rPr>
                <w:sz w:val="17"/>
                <w:szCs w:val="17"/>
                <w:color w:val="auto"/>
              </w:rPr>
            </w:pPr>
          </w:p>
        </w:tc>
      </w:tr>
      <w:tr>
        <w:trPr>
          <w:trHeight w:val="412"/>
        </w:trPr>
        <w:tc>
          <w:tcPr>
            <w:tcW w:w="1260" w:type="dxa"/>
            <w:vAlign w:val="bottom"/>
            <w:gridSpan w:val="5"/>
          </w:tcPr>
          <w:p>
            <w:pPr>
              <w:spacing w:after="0"/>
              <w:rPr>
                <w:rFonts w:ascii="Arial" w:cs="Arial" w:eastAsia="Arial" w:hAnsi="Arial"/>
                <w:sz w:val="18"/>
                <w:szCs w:val="18"/>
                <w:color w:val="0000EE"/>
              </w:rPr>
            </w:pPr>
            <w:hyperlink r:id="rId56">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10160" w:type="dxa"/>
            <w:vAlign w:val="bottom"/>
            <w:gridSpan w:val="15"/>
          </w:tcPr>
          <w:p>
            <w:pPr>
              <w:spacing w:after="0"/>
              <w:rPr>
                <w:rFonts w:ascii="Arial" w:cs="Arial" w:eastAsia="Arial" w:hAnsi="Arial"/>
                <w:sz w:val="18"/>
                <w:szCs w:val="18"/>
                <w:color w:val="0000EE"/>
                <w:w w:val="92"/>
              </w:rPr>
            </w:pPr>
            <w:hyperlink r:id="rId56">
              <w:r>
                <w:rPr>
                  <w:rFonts w:ascii="Arial" w:cs="Arial" w:eastAsia="Arial" w:hAnsi="Arial"/>
                  <w:sz w:val="18"/>
                  <w:szCs w:val="18"/>
                  <w:color w:val="0000EE"/>
                  <w:w w:val="92"/>
                </w:rPr>
                <w:t>Executive Employment Agreement, dated January 20, 2017, by and between FORM Holdings Corp. and Edward Jankowski (incorporated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by reference from Exhibit 10.2 to our Quarterly Report on Form 10-Q filed with the SEC on May 15, 2017)</w:t>
              </w:r>
            </w:hyperlink>
          </w:p>
        </w:tc>
        <w:tc>
          <w:tcPr>
            <w:tcW w:w="2400" w:type="dxa"/>
            <w:vAlign w:val="bottom"/>
            <w:tcBorders>
              <w:top w:val="single" w:sz="8" w:color="0000EE"/>
            </w:tcBorders>
            <w:gridSpan w:val="8"/>
          </w:tcPr>
          <w:p>
            <w:pPr>
              <w:spacing w:after="0"/>
              <w:rPr>
                <w:sz w:val="17"/>
                <w:szCs w:val="17"/>
                <w:color w:val="auto"/>
              </w:rPr>
            </w:pPr>
          </w:p>
        </w:tc>
      </w:tr>
      <w:tr>
        <w:trPr>
          <w:trHeight w:val="412"/>
        </w:trPr>
        <w:tc>
          <w:tcPr>
            <w:tcW w:w="1260" w:type="dxa"/>
            <w:vAlign w:val="bottom"/>
            <w:gridSpan w:val="5"/>
          </w:tcPr>
          <w:p>
            <w:pPr>
              <w:spacing w:after="0"/>
              <w:rPr>
                <w:rFonts w:ascii="Arial" w:cs="Arial" w:eastAsia="Arial" w:hAnsi="Arial"/>
                <w:sz w:val="18"/>
                <w:szCs w:val="18"/>
                <w:color w:val="0000EE"/>
              </w:rPr>
            </w:pPr>
            <w:hyperlink r:id="rId57">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0160" w:type="dxa"/>
            <w:vAlign w:val="bottom"/>
            <w:gridSpan w:val="15"/>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Executive Employment Agreement, dated January 18, 2017, by and between FORM Holdings Corp. and Andrew Perlman (incorporated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reference from Exhibit 10.3 to our Quarterly Report on Form 10-Q filed with the SEC on May 15, 2017)</w:t>
              </w:r>
            </w:hyperlink>
          </w:p>
        </w:tc>
        <w:tc>
          <w:tcPr>
            <w:tcW w:w="2620" w:type="dxa"/>
            <w:vAlign w:val="bottom"/>
            <w:tcBorders>
              <w:top w:val="single" w:sz="8" w:color="0000EE"/>
            </w:tcBorders>
            <w:gridSpan w:val="10"/>
          </w:tcPr>
          <w:p>
            <w:pPr>
              <w:spacing w:after="0"/>
              <w:rPr>
                <w:sz w:val="17"/>
                <w:szCs w:val="17"/>
                <w:color w:val="auto"/>
              </w:rPr>
            </w:pPr>
          </w:p>
        </w:tc>
      </w:tr>
      <w:tr>
        <w:trPr>
          <w:trHeight w:val="412"/>
        </w:trPr>
        <w:tc>
          <w:tcPr>
            <w:tcW w:w="1260" w:type="dxa"/>
            <w:vAlign w:val="bottom"/>
            <w:gridSpan w:val="5"/>
          </w:tcPr>
          <w:p>
            <w:pPr>
              <w:spacing w:after="0"/>
              <w:rPr>
                <w:rFonts w:ascii="Arial" w:cs="Arial" w:eastAsia="Arial" w:hAnsi="Arial"/>
                <w:sz w:val="18"/>
                <w:szCs w:val="18"/>
                <w:color w:val="0000EE"/>
              </w:rPr>
            </w:pPr>
            <w:hyperlink r:id="rId58">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10160" w:type="dxa"/>
            <w:vAlign w:val="bottom"/>
            <w:gridSpan w:val="15"/>
          </w:tcPr>
          <w:p>
            <w:pPr>
              <w:spacing w:after="0"/>
              <w:rPr>
                <w:rFonts w:ascii="Arial" w:cs="Arial" w:eastAsia="Arial" w:hAnsi="Arial"/>
                <w:sz w:val="18"/>
                <w:szCs w:val="18"/>
                <w:color w:val="0000EE"/>
                <w:w w:val="99"/>
              </w:rPr>
            </w:pPr>
            <w:hyperlink r:id="rId58">
              <w:r>
                <w:rPr>
                  <w:rFonts w:ascii="Arial" w:cs="Arial" w:eastAsia="Arial" w:hAnsi="Arial"/>
                  <w:sz w:val="18"/>
                  <w:szCs w:val="18"/>
                  <w:color w:val="0000EE"/>
                  <w:w w:val="99"/>
                </w:rPr>
                <w:t>Executive Employment Agreement, dated January 17, 2017, by and between FORM Holdings Corp. and Anastasia Nyrkovskaya</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(incorporated by reference from Exhibit 10.4 to our Quarterly Report on Form 10-Q filed with the SEC on May 15, 2017)</w:t>
              </w:r>
            </w:hyperlink>
          </w:p>
        </w:tc>
        <w:tc>
          <w:tcPr>
            <w:tcW w:w="1380" w:type="dxa"/>
            <w:vAlign w:val="bottom"/>
            <w:tcBorders>
              <w:top w:val="single" w:sz="8" w:color="0000EE"/>
            </w:tcBorders>
            <w:gridSpan w:val="6"/>
          </w:tcPr>
          <w:p>
            <w:pPr>
              <w:spacing w:after="0"/>
              <w:rPr>
                <w:sz w:val="17"/>
                <w:szCs w:val="17"/>
                <w:color w:val="auto"/>
              </w:rPr>
            </w:pPr>
          </w:p>
        </w:tc>
      </w:tr>
      <w:tr>
        <w:trPr>
          <w:trHeight w:val="412"/>
        </w:trPr>
        <w:tc>
          <w:tcPr>
            <w:tcW w:w="1260" w:type="dxa"/>
            <w:vAlign w:val="bottom"/>
            <w:gridSpan w:val="5"/>
          </w:tcPr>
          <w:p>
            <w:pPr>
              <w:spacing w:after="0"/>
              <w:rPr>
                <w:rFonts w:ascii="Arial" w:cs="Arial" w:eastAsia="Arial" w:hAnsi="Arial"/>
                <w:sz w:val="18"/>
                <w:szCs w:val="18"/>
                <w:color w:val="0000EE"/>
              </w:rPr>
            </w:pPr>
            <w:hyperlink r:id="rId59">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0160" w:type="dxa"/>
            <w:vAlign w:val="bottom"/>
            <w:gridSpan w:val="15"/>
          </w:tcPr>
          <w:p>
            <w:pPr>
              <w:spacing w:after="0"/>
              <w:rPr>
                <w:rFonts w:ascii="Arial" w:cs="Arial" w:eastAsia="Arial" w:hAnsi="Arial"/>
                <w:sz w:val="18"/>
                <w:szCs w:val="18"/>
                <w:color w:val="0000EE"/>
                <w:w w:val="92"/>
              </w:rPr>
            </w:pPr>
            <w:hyperlink r:id="rId59">
              <w:r>
                <w:rPr>
                  <w:rFonts w:ascii="Arial" w:cs="Arial" w:eastAsia="Arial" w:hAnsi="Arial"/>
                  <w:sz w:val="18"/>
                  <w:szCs w:val="18"/>
                  <w:color w:val="0000EE"/>
                  <w:w w:val="92"/>
                </w:rPr>
                <w:t>Executive Employment Agreement, dated January 17, 2017, by and between FORM Holdings Corp. and Jason Charkow (incorporated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reference from Exhibit 10.5 to our Quarterly Report on Form 10-Q filed with the SEC on May 15, 2017)</w:t>
              </w:r>
            </w:hyperlink>
          </w:p>
        </w:tc>
        <w:tc>
          <w:tcPr>
            <w:tcW w:w="2620" w:type="dxa"/>
            <w:vAlign w:val="bottom"/>
            <w:tcBorders>
              <w:top w:val="single" w:sz="8" w:color="0000EE"/>
            </w:tcBorders>
            <w:gridSpan w:val="10"/>
          </w:tcPr>
          <w:p>
            <w:pPr>
              <w:spacing w:after="0"/>
              <w:rPr>
                <w:sz w:val="17"/>
                <w:szCs w:val="17"/>
                <w:color w:val="auto"/>
              </w:rPr>
            </w:pPr>
          </w:p>
        </w:tc>
      </w:tr>
      <w:tr>
        <w:trPr>
          <w:trHeight w:val="412"/>
        </w:trPr>
        <w:tc>
          <w:tcPr>
            <w:tcW w:w="500" w:type="dxa"/>
            <w:vAlign w:val="bottom"/>
            <w:gridSpan w:val="3"/>
          </w:tcPr>
          <w:p>
            <w:pPr>
              <w:spacing w:after="0"/>
              <w:rPr>
                <w:rFonts w:ascii="Arial" w:cs="Arial" w:eastAsia="Arial" w:hAnsi="Arial"/>
                <w:sz w:val="18"/>
                <w:szCs w:val="18"/>
                <w:color w:val="0000EE"/>
              </w:rPr>
            </w:pPr>
            <w:hyperlink r:id="rId60">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Membership Purchase Agreement dated as of March 7, 2018 by and among Route1 Security Corporation, Route1 Inc. and XpresSpa Group,</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9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Inc. (incorporated by reference from Exhibit 2.1 to our Current Report on Form 8-K filed with the SEC on March 26, 2018)</w:t>
              </w:r>
            </w:hyperlink>
          </w:p>
        </w:tc>
        <w:tc>
          <w:tcPr>
            <w:tcW w:w="1240" w:type="dxa"/>
            <w:vAlign w:val="bottom"/>
            <w:tcBorders>
              <w:top w:val="single" w:sz="8" w:color="0000EE"/>
            </w:tcBorders>
            <w:gridSpan w:val="4"/>
          </w:tcPr>
          <w:p>
            <w:pPr>
              <w:spacing w:after="0"/>
              <w:rPr>
                <w:sz w:val="17"/>
                <w:szCs w:val="17"/>
                <w:color w:val="auto"/>
              </w:rPr>
            </w:pPr>
          </w:p>
        </w:tc>
      </w:tr>
      <w:tr>
        <w:trPr>
          <w:trHeight w:val="412"/>
        </w:trPr>
        <w:tc>
          <w:tcPr>
            <w:tcW w:w="500" w:type="dxa"/>
            <w:vAlign w:val="bottom"/>
            <w:gridSpan w:val="3"/>
          </w:tcPr>
          <w:p>
            <w:pPr>
              <w:spacing w:after="0"/>
              <w:rPr>
                <w:rFonts w:ascii="Arial" w:cs="Arial" w:eastAsia="Arial" w:hAnsi="Arial"/>
                <w:sz w:val="18"/>
                <w:szCs w:val="18"/>
                <w:color w:val="0000EE"/>
              </w:rPr>
            </w:pPr>
            <w:hyperlink r:id="rId61">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w w:val="97"/>
              </w:rPr>
            </w:pPr>
            <w:hyperlink r:id="rId61">
              <w:r>
                <w:rPr>
                  <w:rFonts w:ascii="Arial" w:cs="Arial" w:eastAsia="Arial" w:hAnsi="Arial"/>
                  <w:sz w:val="18"/>
                  <w:szCs w:val="18"/>
                  <w:color w:val="0000EE"/>
                  <w:w w:val="97"/>
                </w:rPr>
                <w:t>Credit Agreement dated as of April 22, 2015, by and between XpresSpa Holdings, LLC and Rockmore Investment Master Fund Ltd</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(incorporated by reference from Exhibit 10.1 to our Quarterly Report on Form 10-Q filed with the SEC on May 15, 2018).</w:t>
              </w:r>
            </w:hyperlink>
          </w:p>
        </w:tc>
        <w:tc>
          <w:tcPr>
            <w:tcW w:w="1340" w:type="dxa"/>
            <w:vAlign w:val="bottom"/>
            <w:tcBorders>
              <w:top w:val="single" w:sz="8" w:color="0000EE"/>
            </w:tcBorders>
            <w:gridSpan w:val="5"/>
          </w:tcPr>
          <w:p>
            <w:pPr>
              <w:spacing w:after="0"/>
              <w:rPr>
                <w:sz w:val="17"/>
                <w:szCs w:val="17"/>
                <w:color w:val="auto"/>
              </w:rPr>
            </w:pPr>
          </w:p>
        </w:tc>
      </w:tr>
      <w:tr>
        <w:trPr>
          <w:trHeight w:val="412"/>
        </w:trPr>
        <w:tc>
          <w:tcPr>
            <w:tcW w:w="400" w:type="dxa"/>
            <w:vAlign w:val="bottom"/>
            <w:gridSpan w:val="2"/>
          </w:tcPr>
          <w:p>
            <w:pPr>
              <w:spacing w:after="0"/>
              <w:rPr>
                <w:rFonts w:ascii="Arial" w:cs="Arial" w:eastAsia="Arial" w:hAnsi="Arial"/>
                <w:sz w:val="18"/>
                <w:szCs w:val="18"/>
                <w:color w:val="0000EE"/>
                <w:w w:val="79"/>
              </w:rPr>
            </w:pPr>
            <w:hyperlink r:id="rId6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18</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w w:val="93"/>
              </w:rPr>
            </w:pPr>
            <w:hyperlink r:id="rId62">
              <w:r>
                <w:rPr>
                  <w:rFonts w:ascii="Arial" w:cs="Arial" w:eastAsia="Arial" w:hAnsi="Arial"/>
                  <w:sz w:val="18"/>
                  <w:szCs w:val="18"/>
                  <w:color w:val="0000EE"/>
                  <w:w w:val="93"/>
                </w:rPr>
                <w:t>First Amendment to Credit Agreement and Conditional Waiver dated as of August 8, 2016, by and between XpresSpa Holdings, LLC and</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420" w:type="dxa"/>
            <w:vAlign w:val="bottom"/>
            <w:gridSpan w:val="1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62">
              <w:r>
                <w:rPr>
                  <w:rFonts w:ascii="Arial" w:cs="Arial" w:eastAsia="Arial" w:hAnsi="Arial"/>
                  <w:sz w:val="18"/>
                  <w:szCs w:val="18"/>
                  <w:color w:val="0000EE"/>
                  <w:w w:val="94"/>
                </w:rPr>
                <w:t>Rockmore Investment Master Fund Ltd (incorporated by reference from Exhibit 10.2 to our Quarterly Report on Form 10-Q filed with the</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SEC on May 15, 2018).</w:t>
              </w:r>
            </w:hyperlink>
          </w:p>
        </w:tc>
        <w:tc>
          <w:tcPr>
            <w:tcW w:w="8440" w:type="dxa"/>
            <w:vAlign w:val="bottom"/>
            <w:gridSpan w:val="13"/>
          </w:tcPr>
          <w:p>
            <w:pPr>
              <w:spacing w:after="0"/>
              <w:rPr>
                <w:sz w:val="17"/>
                <w:szCs w:val="17"/>
                <w:color w:val="auto"/>
              </w:rPr>
            </w:pPr>
          </w:p>
        </w:tc>
      </w:tr>
      <w:tr>
        <w:trPr>
          <w:trHeight w:val="669"/>
        </w:trPr>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3"/>
          </w:tcPr>
          <w:p>
            <w:pPr>
              <w:ind w:left="4380"/>
              <w:spacing w:after="0"/>
              <w:rPr>
                <w:sz w:val="20"/>
                <w:szCs w:val="20"/>
                <w:color w:val="auto"/>
              </w:rPr>
            </w:pPr>
            <w:r>
              <w:rPr>
                <w:rFonts w:ascii="Arial" w:cs="Arial" w:eastAsia="Arial" w:hAnsi="Arial"/>
                <w:sz w:val="18"/>
                <w:szCs w:val="18"/>
                <w:color w:val="auto"/>
              </w:rPr>
              <w:t>21</w:t>
            </w:r>
          </w:p>
        </w:tc>
        <w:tc>
          <w:tcPr>
            <w:tcW w:w="1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gridSpan w:val="2"/>
          </w:tcPr>
          <w:p>
            <w:pPr>
              <w:spacing w:after="0"/>
              <w:rPr>
                <w:rFonts w:ascii="Arial" w:cs="Arial" w:eastAsia="Arial" w:hAnsi="Arial"/>
                <w:sz w:val="18"/>
                <w:szCs w:val="18"/>
                <w:color w:val="0000EE"/>
              </w:rPr>
            </w:pPr>
            <w:hyperlink r:id="rId63">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760" w:type="dxa"/>
            <w:vAlign w:val="bottom"/>
          </w:tcPr>
          <w:p>
            <w:pPr>
              <w:spacing w:after="0"/>
              <w:rPr>
                <w:sz w:val="17"/>
                <w:szCs w:val="17"/>
                <w:color w:val="auto"/>
              </w:rPr>
            </w:pPr>
          </w:p>
        </w:tc>
        <w:tc>
          <w:tcPr>
            <w:tcW w:w="10160" w:type="dxa"/>
            <w:vAlign w:val="bottom"/>
            <w:gridSpan w:val="12"/>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Second Amendment to Credit Agreement dated as of May 10, 2017, by and between XpresSpa Holdings, LLC and B3D, LLC (incorporated</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by reference from Exhibit 10.3 to our Quarterly Report on Form 10-Q filed with the SEC on May 15, 2018).</w:t>
              </w:r>
            </w:hyperlink>
          </w:p>
        </w:tc>
      </w:tr>
      <w:tr>
        <w:trPr>
          <w:trHeight w:val="20"/>
        </w:trPr>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Pr>
          <w:p>
            <w:pPr>
              <w:spacing w:after="0"/>
              <w:rPr>
                <w:rFonts w:ascii="Arial" w:cs="Arial" w:eastAsia="Arial" w:hAnsi="Arial"/>
                <w:sz w:val="18"/>
                <w:szCs w:val="18"/>
                <w:color w:val="0000EE"/>
                <w:w w:val="88"/>
              </w:rPr>
            </w:pPr>
            <w:hyperlink r:id="rId6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3"/>
              </w:rPr>
            </w:pPr>
            <w:hyperlink r:id="rId64">
              <w:r>
                <w:rPr>
                  <w:rFonts w:ascii="Arial" w:cs="Arial" w:eastAsia="Arial" w:hAnsi="Arial"/>
                  <w:sz w:val="18"/>
                  <w:szCs w:val="18"/>
                  <w:color w:val="0000EE"/>
                  <w:w w:val="93"/>
                </w:rPr>
                <w:t>Third Amendment to Credit Agreement dated as of May 14, 2018, by and between XpresSpa Holdings, LLC and B3D, LLC (incorporated</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by reference from Exhibit 10.4 to our Quarterly Report on Form 10-Q filed with the SEC on May 15, 2018).</w:t>
              </w:r>
            </w:hyperlink>
          </w:p>
        </w:tc>
        <w:tc>
          <w:tcPr>
            <w:tcW w:w="20" w:type="dxa"/>
            <w:vAlign w:val="bottom"/>
          </w:tcPr>
          <w:p>
            <w:pPr>
              <w:spacing w:after="0"/>
              <w:rPr>
                <w:sz w:val="17"/>
                <w:szCs w:val="17"/>
                <w:color w:val="auto"/>
              </w:rPr>
            </w:pPr>
          </w:p>
        </w:tc>
      </w:tr>
      <w:tr>
        <w:trPr>
          <w:trHeight w:val="20"/>
        </w:trPr>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65">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76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5"/>
              </w:rPr>
            </w:pPr>
            <w:hyperlink r:id="rId65">
              <w:r>
                <w:rPr>
                  <w:rFonts w:ascii="Arial" w:cs="Arial" w:eastAsia="Arial" w:hAnsi="Arial"/>
                  <w:sz w:val="18"/>
                  <w:szCs w:val="18"/>
                  <w:color w:val="0000EE"/>
                  <w:w w:val="95"/>
                </w:rPr>
                <w:t>Security Agreement dated as of April 22, 2015, by and between XpresSpa Holdings, LLC and Rockmore Investment Master Fund Ltd</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(incorporated by reference from Exhibit 10.5 to our Quarterly Report on Form 10-Q filed with the SEC on May 15, 2018).</w:t>
              </w:r>
            </w:hyperlink>
          </w:p>
        </w:tc>
        <w:tc>
          <w:tcPr>
            <w:tcW w:w="1340" w:type="dxa"/>
            <w:vAlign w:val="bottom"/>
            <w:tcBorders>
              <w:top w:val="single" w:sz="8" w:color="0000EE"/>
            </w:tcBorders>
            <w:gridSpan w:val="4"/>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66">
              <w:r>
                <w:rPr>
                  <w:rFonts w:ascii="Arial" w:cs="Arial" w:eastAsia="Arial" w:hAnsi="Arial"/>
                  <w:sz w:val="18"/>
                  <w:szCs w:val="18"/>
                  <w:color w:val="0000EE"/>
                </w:rPr>
                <w:t>10.</w:t>
              </w:r>
              <w:r>
                <w:rPr>
                  <w:rFonts w:ascii="Arial" w:cs="Arial" w:eastAsia="Arial" w:hAnsi="Arial"/>
                  <w:sz w:val="18"/>
                  <w:szCs w:val="18"/>
                  <w:u w:val="single" w:color="auto"/>
                  <w:color w:val="0000EE"/>
                </w:rPr>
                <w:t>22</w:t>
              </w:r>
            </w:hyperlink>
          </w:p>
        </w:tc>
        <w:tc>
          <w:tcPr>
            <w:tcW w:w="76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3"/>
              </w:rPr>
            </w:pPr>
            <w:hyperlink r:id="rId66">
              <w:r>
                <w:rPr>
                  <w:rFonts w:ascii="Arial" w:cs="Arial" w:eastAsia="Arial" w:hAnsi="Arial"/>
                  <w:sz w:val="18"/>
                  <w:szCs w:val="18"/>
                  <w:color w:val="0000EE"/>
                  <w:w w:val="93"/>
                </w:rPr>
                <w:t>Supplement No. 1 to Security Agreement dated as of May 18, 2015, by and between XpresSpa Holdings, LLC and Rockmore Investment</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Master Fund Ltd (incorporated by reference from Exhibit 10.6 to our Quarterly Report on Form 10-Q filed with the SEC on May 15, 2018).</w:t>
              </w:r>
            </w:hyperlink>
          </w:p>
        </w:tc>
        <w:tc>
          <w:tcPr>
            <w:tcW w:w="80" w:type="dxa"/>
            <w:vAlign w:val="bottom"/>
            <w:tcBorders>
              <w:top w:val="single" w:sz="8" w:color="0000EE"/>
            </w:tcBorders>
            <w:gridSpan w:val="2"/>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67">
              <w:r>
                <w:rPr>
                  <w:rFonts w:ascii="Arial" w:cs="Arial" w:eastAsia="Arial" w:hAnsi="Arial"/>
                  <w:sz w:val="18"/>
                  <w:szCs w:val="18"/>
                  <w:color w:val="0000EE"/>
                </w:rPr>
                <w:t>10.</w:t>
              </w:r>
              <w:r>
                <w:rPr>
                  <w:rFonts w:ascii="Arial" w:cs="Arial" w:eastAsia="Arial" w:hAnsi="Arial"/>
                  <w:sz w:val="18"/>
                  <w:szCs w:val="18"/>
                  <w:u w:val="single" w:color="auto"/>
                  <w:color w:val="0000EE"/>
                </w:rPr>
                <w:t>23</w:t>
              </w:r>
            </w:hyperlink>
          </w:p>
        </w:tc>
        <w:tc>
          <w:tcPr>
            <w:tcW w:w="76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6"/>
              </w:rPr>
            </w:pPr>
            <w:hyperlink r:id="rId67">
              <w:r>
                <w:rPr>
                  <w:rFonts w:ascii="Arial" w:cs="Arial" w:eastAsia="Arial" w:hAnsi="Arial"/>
                  <w:sz w:val="18"/>
                  <w:szCs w:val="18"/>
                  <w:color w:val="0000EE"/>
                  <w:w w:val="96"/>
                </w:rPr>
                <w:t>Supplement No. 2 to Security Agreement dated as of December 20, 2017, by and between XpresSpa Holdings, LLC and Rockmore</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Investment Master Fund Ltd (incorporated by reference from Exhibit 10.7 to our Quarterly Report on Form 10-Q filed with the SEC on May</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67">
              <w:r>
                <w:rPr>
                  <w:rFonts w:ascii="Arial" w:cs="Arial" w:eastAsia="Arial" w:hAnsi="Arial"/>
                  <w:sz w:val="18"/>
                  <w:szCs w:val="18"/>
                  <w:color w:val="0000EE"/>
                  <w:w w:val="88"/>
                </w:rPr>
                <w:t>15, 2018).</w:t>
              </w:r>
            </w:hyperlink>
          </w:p>
        </w:tc>
        <w:tc>
          <w:tcPr>
            <w:tcW w:w="5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68">
              <w:r>
                <w:rPr>
                  <w:rFonts w:ascii="Arial" w:cs="Arial" w:eastAsia="Arial" w:hAnsi="Arial"/>
                  <w:sz w:val="18"/>
                  <w:szCs w:val="18"/>
                  <w:color w:val="0000EE"/>
                </w:rPr>
                <w:t>10.</w:t>
              </w:r>
              <w:r>
                <w:rPr>
                  <w:rFonts w:ascii="Arial" w:cs="Arial" w:eastAsia="Arial" w:hAnsi="Arial"/>
                  <w:sz w:val="18"/>
                  <w:szCs w:val="18"/>
                  <w:u w:val="single" w:color="auto"/>
                  <w:color w:val="0000EE"/>
                </w:rPr>
                <w:t>24</w:t>
              </w:r>
            </w:hyperlink>
          </w:p>
        </w:tc>
        <w:tc>
          <w:tcPr>
            <w:tcW w:w="76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Form of Securities Purchase Agreement, dated May 15, 2018, by and among the Company and the Investors (incorporated by reference from</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Exhibit 10.8 to our Quarterly Report on Form 10-Q filed with the SEC on May 15, 2018).</w:t>
              </w:r>
            </w:hyperlink>
          </w:p>
        </w:tc>
      </w:tr>
      <w:tr>
        <w:trPr>
          <w:trHeight w:val="20"/>
        </w:trPr>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69">
              <w:r>
                <w:rPr>
                  <w:rFonts w:ascii="Arial" w:cs="Arial" w:eastAsia="Arial" w:hAnsi="Arial"/>
                  <w:sz w:val="18"/>
                  <w:szCs w:val="18"/>
                  <w:color w:val="0000EE"/>
                </w:rPr>
                <w:t>10.</w:t>
              </w:r>
              <w:r>
                <w:rPr>
                  <w:rFonts w:ascii="Arial" w:cs="Arial" w:eastAsia="Arial" w:hAnsi="Arial"/>
                  <w:sz w:val="18"/>
                  <w:szCs w:val="18"/>
                  <w:u w:val="single" w:color="auto"/>
                  <w:color w:val="0000EE"/>
                </w:rPr>
                <w:t>25</w:t>
              </w:r>
            </w:hyperlink>
          </w:p>
        </w:tc>
        <w:tc>
          <w:tcPr>
            <w:tcW w:w="76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Form of Registration Rights Agreement, dated May 15, 2018, by and among the Company and the Investors (incorporated by reference from</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Exhibit 10.9 to our Quarterly Report on Form 10-Q filed with the SEC on May 15, 2018).</w:t>
              </w:r>
            </w:hyperlink>
          </w:p>
        </w:tc>
      </w:tr>
      <w:tr>
        <w:trPr>
          <w:trHeight w:val="20"/>
        </w:trPr>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70">
              <w:r>
                <w:rPr>
                  <w:rFonts w:ascii="Arial" w:cs="Arial" w:eastAsia="Arial" w:hAnsi="Arial"/>
                  <w:sz w:val="18"/>
                  <w:szCs w:val="18"/>
                  <w:color w:val="0000EE"/>
                </w:rPr>
                <w:t>10.</w:t>
              </w:r>
              <w:r>
                <w:rPr>
                  <w:rFonts w:ascii="Arial" w:cs="Arial" w:eastAsia="Arial" w:hAnsi="Arial"/>
                  <w:sz w:val="18"/>
                  <w:szCs w:val="18"/>
                  <w:u w:val="single" w:color="auto"/>
                  <w:color w:val="0000EE"/>
                </w:rPr>
                <w:t>26</w:t>
              </w:r>
            </w:hyperlink>
          </w:p>
        </w:tc>
        <w:tc>
          <w:tcPr>
            <w:tcW w:w="76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3"/>
              </w:rPr>
            </w:pPr>
            <w:hyperlink r:id="rId70">
              <w:r>
                <w:rPr>
                  <w:rFonts w:ascii="Arial" w:cs="Arial" w:eastAsia="Arial" w:hAnsi="Arial"/>
                  <w:sz w:val="18"/>
                  <w:szCs w:val="18"/>
                  <w:color w:val="0000EE"/>
                  <w:w w:val="93"/>
                </w:rPr>
                <w:t>Form of Security Agreement, dated May 15, 2018, by and among the Company, the Subsidiaries, the Collateral Agent and the Investors</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(incorporated by reference from Exhibit 10.10 to our Quarterly Report on Form 10-Q filed with the SEC on May 15, 2018).</w:t>
              </w:r>
            </w:hyperlink>
          </w:p>
        </w:tc>
      </w:tr>
      <w:tr>
        <w:trPr>
          <w:trHeight w:val="20"/>
        </w:trPr>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71">
              <w:r>
                <w:rPr>
                  <w:rFonts w:ascii="Arial" w:cs="Arial" w:eastAsia="Arial" w:hAnsi="Arial"/>
                  <w:sz w:val="18"/>
                  <w:szCs w:val="18"/>
                  <w:color w:val="0000EE"/>
                </w:rPr>
                <w:t>10.</w:t>
              </w:r>
              <w:r>
                <w:rPr>
                  <w:rFonts w:ascii="Arial" w:cs="Arial" w:eastAsia="Arial" w:hAnsi="Arial"/>
                  <w:sz w:val="18"/>
                  <w:szCs w:val="18"/>
                  <w:u w:val="single" w:color="auto"/>
                  <w:color w:val="0000EE"/>
                </w:rPr>
                <w:t>27</w:t>
              </w:r>
            </w:hyperlink>
          </w:p>
        </w:tc>
        <w:tc>
          <w:tcPr>
            <w:tcW w:w="76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Form of Stock Purchase Agreement, dated November 12, 2018, by and among the Company and Calm.com, Inc. (incorporated by reference</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from Exhibit 10.1 to our Quarterly Report on Form 10-Q filed with the SEC on November 14, 2018).</w:t>
              </w:r>
            </w:hyperlink>
          </w:p>
        </w:tc>
        <w:tc>
          <w:tcPr>
            <w:tcW w:w="2860" w:type="dxa"/>
            <w:vAlign w:val="bottom"/>
            <w:tcBorders>
              <w:top w:val="single" w:sz="8" w:color="0000EE"/>
            </w:tcBorders>
            <w:gridSpan w:val="6"/>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72">
              <w:r>
                <w:rPr>
                  <w:rFonts w:ascii="Arial" w:cs="Arial" w:eastAsia="Arial" w:hAnsi="Arial"/>
                  <w:sz w:val="18"/>
                  <w:szCs w:val="18"/>
                  <w:color w:val="0000EE"/>
                </w:rPr>
                <w:t>10.</w:t>
              </w:r>
              <w:r>
                <w:rPr>
                  <w:rFonts w:ascii="Arial" w:cs="Arial" w:eastAsia="Arial" w:hAnsi="Arial"/>
                  <w:sz w:val="18"/>
                  <w:szCs w:val="18"/>
                  <w:u w:val="single" w:color="auto"/>
                  <w:color w:val="0000EE"/>
                </w:rPr>
                <w:t>28</w:t>
              </w:r>
            </w:hyperlink>
          </w:p>
        </w:tc>
        <w:tc>
          <w:tcPr>
            <w:tcW w:w="76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4"/>
              </w:rPr>
            </w:pPr>
            <w:hyperlink r:id="rId72">
              <w:r>
                <w:rPr>
                  <w:rFonts w:ascii="Arial" w:cs="Arial" w:eastAsia="Arial" w:hAnsi="Arial"/>
                  <w:sz w:val="18"/>
                  <w:szCs w:val="18"/>
                  <w:color w:val="0000EE"/>
                  <w:w w:val="94"/>
                </w:rPr>
                <w:t>Product Sale and Marketing Agreement, dated November 12, 2018, by and between the Company and Calm.com, Inc. (incorporated by</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reference to Exhibit 10.28 to our Annual Report on Form 10-K filed with the SEC on April 1, 2019).</w:t>
              </w:r>
            </w:hyperlink>
          </w:p>
        </w:tc>
        <w:tc>
          <w:tcPr>
            <w:tcW w:w="2900" w:type="dxa"/>
            <w:vAlign w:val="bottom"/>
            <w:tcBorders>
              <w:top w:val="single" w:sz="8" w:color="0000EE"/>
            </w:tcBorders>
            <w:gridSpan w:val="7"/>
          </w:tcPr>
          <w:p>
            <w:pPr>
              <w:spacing w:after="0"/>
              <w:rPr>
                <w:sz w:val="17"/>
                <w:szCs w:val="17"/>
                <w:color w:val="auto"/>
              </w:rPr>
            </w:pPr>
          </w:p>
        </w:tc>
      </w:tr>
      <w:tr>
        <w:trPr>
          <w:trHeight w:val="412"/>
        </w:trPr>
        <w:tc>
          <w:tcPr>
            <w:tcW w:w="1260" w:type="dxa"/>
            <w:vAlign w:val="bottom"/>
            <w:gridSpan w:val="3"/>
          </w:tcPr>
          <w:p>
            <w:pPr>
              <w:spacing w:after="0"/>
              <w:rPr>
                <w:rFonts w:ascii="Arial" w:cs="Arial" w:eastAsia="Arial" w:hAnsi="Arial"/>
                <w:sz w:val="18"/>
                <w:szCs w:val="18"/>
                <w:color w:val="0000EE"/>
              </w:rPr>
            </w:pPr>
            <w:hyperlink r:id="rId73">
              <w:r>
                <w:rPr>
                  <w:rFonts w:ascii="Arial" w:cs="Arial" w:eastAsia="Arial" w:hAnsi="Arial"/>
                  <w:sz w:val="18"/>
                  <w:szCs w:val="18"/>
                  <w:color w:val="0000EE"/>
                </w:rPr>
                <w:t>10.</w:t>
              </w:r>
              <w:r>
                <w:rPr>
                  <w:rFonts w:ascii="Arial" w:cs="Arial" w:eastAsia="Arial" w:hAnsi="Arial"/>
                  <w:sz w:val="18"/>
                  <w:szCs w:val="18"/>
                  <w:u w:val="single" w:color="auto"/>
                  <w:color w:val="0000EE"/>
                </w:rPr>
                <w:t>29†</w:t>
              </w:r>
            </w:hyperlink>
          </w:p>
        </w:tc>
        <w:tc>
          <w:tcPr>
            <w:tcW w:w="10160" w:type="dxa"/>
            <w:vAlign w:val="bottom"/>
            <w:gridSpan w:val="12"/>
          </w:tcPr>
          <w:p>
            <w:pPr>
              <w:spacing w:after="0"/>
              <w:rPr>
                <w:rFonts w:ascii="Arial" w:cs="Arial" w:eastAsia="Arial" w:hAnsi="Arial"/>
                <w:sz w:val="18"/>
                <w:szCs w:val="18"/>
                <w:color w:val="0000EE"/>
                <w:w w:val="93"/>
              </w:rPr>
            </w:pPr>
            <w:hyperlink r:id="rId73">
              <w:r>
                <w:rPr>
                  <w:rFonts w:ascii="Arial" w:cs="Arial" w:eastAsia="Arial" w:hAnsi="Arial"/>
                  <w:sz w:val="18"/>
                  <w:szCs w:val="18"/>
                  <w:color w:val="0000EE"/>
                  <w:w w:val="93"/>
                </w:rPr>
                <w:t>Separation Agreement between the Company and Mr. Edward Jankowski, dated March 14, 2019 (incorporated by reference from Exhibit</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our Current Report on Form 8-K filed with the SEC on March 15, 2019).</w:t>
              </w:r>
            </w:hyperlink>
          </w:p>
        </w:tc>
      </w:tr>
      <w:tr>
        <w:trPr>
          <w:trHeight w:val="20"/>
        </w:trPr>
        <w:tc>
          <w:tcPr>
            <w:tcW w:w="1260" w:type="dxa"/>
            <w:vAlign w:val="bottom"/>
            <w:gridSpan w:val="3"/>
          </w:tcPr>
          <w:p>
            <w:pPr>
              <w:spacing w:after="0" w:line="20" w:lineRule="exact"/>
              <w:rPr>
                <w:sz w:val="1"/>
                <w:szCs w:val="1"/>
                <w:color w:val="auto"/>
              </w:rPr>
            </w:pPr>
          </w:p>
        </w:tc>
        <w:tc>
          <w:tcPr>
            <w:tcW w:w="58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gridSpan w:val="3"/>
          </w:tcPr>
          <w:p>
            <w:pPr>
              <w:spacing w:after="0"/>
              <w:rPr>
                <w:rFonts w:ascii="Arial" w:cs="Arial" w:eastAsia="Arial" w:hAnsi="Arial"/>
                <w:sz w:val="18"/>
                <w:szCs w:val="18"/>
                <w:color w:val="0000EE"/>
              </w:rPr>
            </w:pPr>
            <w:hyperlink r:id="rId74">
              <w:r>
                <w:rPr>
                  <w:rFonts w:ascii="Arial" w:cs="Arial" w:eastAsia="Arial" w:hAnsi="Arial"/>
                  <w:sz w:val="18"/>
                  <w:szCs w:val="18"/>
                  <w:color w:val="0000EE"/>
                </w:rPr>
                <w:t>10.</w:t>
              </w:r>
              <w:r>
                <w:rPr>
                  <w:rFonts w:ascii="Arial" w:cs="Arial" w:eastAsia="Arial" w:hAnsi="Arial"/>
                  <w:sz w:val="18"/>
                  <w:szCs w:val="18"/>
                  <w:u w:val="single" w:color="auto"/>
                  <w:color w:val="0000EE"/>
                </w:rPr>
                <w:t>30†</w:t>
              </w:r>
            </w:hyperlink>
          </w:p>
        </w:tc>
        <w:tc>
          <w:tcPr>
            <w:tcW w:w="10160" w:type="dxa"/>
            <w:vAlign w:val="bottom"/>
            <w:gridSpan w:val="12"/>
          </w:tcPr>
          <w:p>
            <w:pPr>
              <w:spacing w:after="0"/>
              <w:rPr>
                <w:rFonts w:ascii="Arial" w:cs="Arial" w:eastAsia="Arial" w:hAnsi="Arial"/>
                <w:sz w:val="18"/>
                <w:szCs w:val="18"/>
                <w:color w:val="0000EE"/>
                <w:w w:val="95"/>
              </w:rPr>
            </w:pPr>
            <w:hyperlink r:id="rId74">
              <w:r>
                <w:rPr>
                  <w:rFonts w:ascii="Arial" w:cs="Arial" w:eastAsia="Arial" w:hAnsi="Arial"/>
                  <w:sz w:val="18"/>
                  <w:szCs w:val="18"/>
                  <w:color w:val="0000EE"/>
                  <w:w w:val="95"/>
                </w:rPr>
                <w:t>Non-Disclosure Agreement between the Company and Mr. Edward Jankowski, dated March 14, 2019 (incorporated by reference from</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Exhibit 10.2 to our Current Report on Form 8-K filed with the SEC on March 15, 2019).</w:t>
              </w:r>
            </w:hyperlink>
          </w:p>
        </w:tc>
        <w:tc>
          <w:tcPr>
            <w:tcW w:w="376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bl>
    <w:p>
      <w:pPr>
        <w:spacing w:after="0" w:line="229" w:lineRule="exact"/>
        <w:rPr>
          <w:sz w:val="20"/>
          <w:szCs w:val="20"/>
          <w:color w:val="auto"/>
        </w:rPr>
      </w:pPr>
    </w:p>
    <w:p>
      <w:pPr>
        <w:ind w:left="1260" w:right="20" w:hanging="1252"/>
        <w:spacing w:after="0" w:line="277" w:lineRule="auto"/>
        <w:tabs>
          <w:tab w:leader="none" w:pos="1260" w:val="left"/>
        </w:tabs>
        <w:numPr>
          <w:ilvl w:val="0"/>
          <w:numId w:val="16"/>
        </w:numPr>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Subsidiaries of XpresSpa Group, Inc. (incorporated by reference to Exhibit 21 to our Annual Report on Form 10-K filed with the SEC on</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April 1, 2019).</w:t>
        </w:r>
      </w:hyperlink>
    </w:p>
    <w:p>
      <w:pPr>
        <w:spacing w:after="0" w:line="153"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360" w:type="dxa"/>
            <w:vAlign w:val="bottom"/>
            <w:gridSpan w:val="2"/>
          </w:tcPr>
          <w:p>
            <w:pPr>
              <w:spacing w:after="0"/>
              <w:rPr>
                <w:rFonts w:ascii="Arial" w:cs="Arial" w:eastAsia="Arial" w:hAnsi="Arial"/>
                <w:sz w:val="18"/>
                <w:szCs w:val="18"/>
                <w:color w:val="0000EE"/>
                <w:w w:val="96"/>
              </w:rPr>
            </w:pPr>
            <w:hyperlink r:id="rId76">
              <w:r>
                <w:rPr>
                  <w:rFonts w:ascii="Arial" w:cs="Arial" w:eastAsia="Arial" w:hAnsi="Arial"/>
                  <w:sz w:val="18"/>
                  <w:szCs w:val="18"/>
                  <w:color w:val="0000EE"/>
                  <w:w w:val="96"/>
                </w:rPr>
                <w:t>23.</w:t>
              </w:r>
              <w:r>
                <w:rPr>
                  <w:rFonts w:ascii="Arial" w:cs="Arial" w:eastAsia="Arial" w:hAnsi="Arial"/>
                  <w:sz w:val="18"/>
                  <w:szCs w:val="18"/>
                  <w:u w:val="single" w:color="auto"/>
                  <w:color w:val="0000EE"/>
                  <w:w w:val="96"/>
                </w:rPr>
                <w:t>1</w:t>
              </w:r>
            </w:hyperlink>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160" w:type="dxa"/>
            <w:vAlign w:val="bottom"/>
            <w:gridSpan w:val="6"/>
          </w:tcPr>
          <w:p>
            <w:pPr>
              <w:spacing w:after="0"/>
              <w:rPr>
                <w:rFonts w:ascii="Arial" w:cs="Arial" w:eastAsia="Arial" w:hAnsi="Arial"/>
                <w:sz w:val="18"/>
                <w:szCs w:val="18"/>
                <w:color w:val="0000EE"/>
                <w:w w:val="95"/>
              </w:rPr>
            </w:pPr>
            <w:hyperlink r:id="rId76">
              <w:r>
                <w:rPr>
                  <w:rFonts w:ascii="Arial" w:cs="Arial" w:eastAsia="Arial" w:hAnsi="Arial"/>
                  <w:sz w:val="18"/>
                  <w:szCs w:val="18"/>
                  <w:color w:val="0000EE"/>
                  <w:w w:val="95"/>
                </w:rPr>
                <w:t>Consent of CohnReznick LLP, independent registered public accounting firm (incorporated by reference to Exhibit 23.1 to our Annual</w:t>
              </w:r>
            </w:hyperlink>
          </w:p>
        </w:tc>
      </w:tr>
      <w:tr>
        <w:trPr>
          <w:trHeight w:val="196"/>
        </w:trPr>
        <w:tc>
          <w:tcPr>
            <w:tcW w:w="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Report on Form 10-K filed with the SEC on April 1, 2019).</w:t>
              </w:r>
            </w:hyperlink>
          </w:p>
        </w:tc>
      </w:tr>
      <w:tr>
        <w:trPr>
          <w:trHeight w:val="20"/>
        </w:trPr>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gridSpan w:val="4"/>
          </w:tcPr>
          <w:p>
            <w:pPr>
              <w:spacing w:after="0"/>
              <w:rPr>
                <w:rFonts w:ascii="Arial" w:cs="Arial" w:eastAsia="Arial" w:hAnsi="Arial"/>
                <w:sz w:val="18"/>
                <w:szCs w:val="18"/>
                <w:color w:val="0000EE"/>
              </w:rPr>
            </w:pPr>
            <w:hyperlink r:id="rId7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160" w:type="dxa"/>
            <w:vAlign w:val="bottom"/>
            <w:gridSpan w:val="6"/>
          </w:tcPr>
          <w:p>
            <w:pPr>
              <w:spacing w:after="0"/>
              <w:rPr>
                <w:rFonts w:ascii="Arial" w:cs="Arial" w:eastAsia="Arial" w:hAnsi="Arial"/>
                <w:sz w:val="18"/>
                <w:szCs w:val="18"/>
                <w:color w:val="0000EE"/>
                <w:w w:val="99"/>
              </w:rPr>
            </w:pPr>
            <w:hyperlink r:id="rId77">
              <w:r>
                <w:rPr>
                  <w:rFonts w:ascii="Arial" w:cs="Arial" w:eastAsia="Arial" w:hAnsi="Arial"/>
                  <w:sz w:val="18"/>
                  <w:szCs w:val="18"/>
                  <w:color w:val="0000EE"/>
                  <w:w w:val="99"/>
                </w:rPr>
                <w:t>Certification of Principal Executive Officer pursuant to Exchange Act, Rules 13a – 14(a) and 15d – 14(a),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Section 302 of the Sarbanes-Oxley Act of 2002</w:t>
              </w:r>
            </w:hyperlink>
          </w:p>
        </w:tc>
        <w:tc>
          <w:tcPr>
            <w:tcW w:w="6720" w:type="dxa"/>
            <w:vAlign w:val="bottom"/>
            <w:tcBorders>
              <w:top w:val="single" w:sz="8" w:color="0000EE"/>
            </w:tcBorders>
            <w:gridSpan w:val="3"/>
          </w:tcPr>
          <w:p>
            <w:pPr>
              <w:spacing w:after="0"/>
              <w:rPr>
                <w:sz w:val="17"/>
                <w:szCs w:val="17"/>
                <w:color w:val="auto"/>
              </w:rPr>
            </w:pPr>
          </w:p>
        </w:tc>
      </w:tr>
      <w:tr>
        <w:trPr>
          <w:trHeight w:val="412"/>
        </w:trPr>
        <w:tc>
          <w:tcPr>
            <w:tcW w:w="420" w:type="dxa"/>
            <w:vAlign w:val="bottom"/>
            <w:gridSpan w:val="3"/>
          </w:tcPr>
          <w:p>
            <w:pPr>
              <w:spacing w:after="0"/>
              <w:rPr>
                <w:rFonts w:ascii="Arial" w:cs="Arial" w:eastAsia="Arial" w:hAnsi="Arial"/>
                <w:sz w:val="18"/>
                <w:szCs w:val="18"/>
                <w:color w:val="0000EE"/>
                <w:w w:val="95"/>
              </w:rPr>
            </w:pPr>
            <w:hyperlink r:id="rId78">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84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Certification of Principal Financial Officer pursuant to Exchange Act Rules 13a – 14(a) and 15d – 14(a), as adopted pursuant to Section 302</w:t>
              </w:r>
            </w:hyperlink>
          </w:p>
        </w:tc>
      </w:tr>
      <w:tr>
        <w:trPr>
          <w:trHeight w:val="196"/>
        </w:trPr>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2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of the Sarbanes-Oxley Act of 2002</w:t>
              </w:r>
            </w:hyperlink>
          </w:p>
        </w:tc>
        <w:tc>
          <w:tcPr>
            <w:tcW w:w="76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60" w:type="dxa"/>
            <w:vAlign w:val="bottom"/>
            <w:tcBorders>
              <w:bottom w:val="single" w:sz="8" w:color="0000EE"/>
            </w:tcBorders>
            <w:gridSpan w:val="2"/>
          </w:tcPr>
          <w:p>
            <w:pPr>
              <w:spacing w:after="0"/>
              <w:rPr>
                <w:rFonts w:ascii="Arial" w:cs="Arial" w:eastAsia="Arial" w:hAnsi="Arial"/>
                <w:sz w:val="18"/>
                <w:szCs w:val="18"/>
                <w:color w:val="0000EE"/>
                <w:w w:val="99"/>
              </w:rPr>
            </w:pPr>
            <w:hyperlink r:id="rId79">
              <w:r>
                <w:rPr>
                  <w:rFonts w:ascii="Arial" w:cs="Arial" w:eastAsia="Arial" w:hAnsi="Arial"/>
                  <w:sz w:val="18"/>
                  <w:szCs w:val="18"/>
                  <w:color w:val="0000EE"/>
                  <w:w w:val="99"/>
                </w:rPr>
                <w:t>32**</w:t>
              </w:r>
            </w:hyperlink>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60" w:type="dxa"/>
            <w:vAlign w:val="bottom"/>
            <w:tcBorders>
              <w:bottom w:val="single" w:sz="8" w:color="0000EE"/>
            </w:tcBorders>
            <w:gridSpan w:val="6"/>
          </w:tcPr>
          <w:p>
            <w:pPr>
              <w:spacing w:after="0"/>
              <w:rPr>
                <w:rFonts w:ascii="Arial" w:cs="Arial" w:eastAsia="Arial" w:hAnsi="Arial"/>
                <w:sz w:val="18"/>
                <w:szCs w:val="18"/>
                <w:color w:val="0000EE"/>
                <w:w w:val="94"/>
              </w:rPr>
            </w:pPr>
            <w:hyperlink r:id="rId79">
              <w:r>
                <w:rPr>
                  <w:rFonts w:ascii="Arial" w:cs="Arial" w:eastAsia="Arial" w:hAnsi="Arial"/>
                  <w:sz w:val="18"/>
                  <w:szCs w:val="18"/>
                  <w:color w:val="0000EE"/>
                  <w:w w:val="94"/>
                </w:rPr>
                <w:t>Certifications  of Principal Executive Officer and Principal Financial Officer Pursuant to 18 U.S.C. Section 1350, as adopted pursuant to</w:t>
              </w:r>
            </w:hyperlink>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Section 906 of the Sarbanes-Oxley Act of 2002</w:t>
              </w:r>
            </w:hyperlink>
          </w:p>
        </w:tc>
        <w:tc>
          <w:tcPr>
            <w:tcW w:w="6740" w:type="dxa"/>
            <w:vAlign w:val="bottom"/>
            <w:gridSpan w:val="4"/>
          </w:tcPr>
          <w:p>
            <w:pPr>
              <w:spacing w:after="0"/>
              <w:rPr>
                <w:sz w:val="17"/>
                <w:szCs w:val="17"/>
                <w:color w:val="auto"/>
              </w:rPr>
            </w:pPr>
          </w:p>
        </w:tc>
      </w:tr>
      <w:tr>
        <w:trPr>
          <w:trHeight w:val="453"/>
        </w:trPr>
        <w:tc>
          <w:tcPr>
            <w:tcW w:w="12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2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6"/>
          </w:tcPr>
          <w:p>
            <w:pPr>
              <w:spacing w:after="0"/>
              <w:rPr>
                <w:sz w:val="20"/>
                <w:szCs w:val="20"/>
                <w:color w:val="auto"/>
              </w:rPr>
            </w:pPr>
            <w:r>
              <w:rPr>
                <w:rFonts w:ascii="Arial" w:cs="Arial" w:eastAsia="Arial" w:hAnsi="Arial"/>
                <w:sz w:val="18"/>
                <w:szCs w:val="18"/>
                <w:color w:val="auto"/>
              </w:rPr>
              <w:t>XBLR Taxonomy Extension Schema Document</w:t>
            </w:r>
          </w:p>
        </w:tc>
      </w:tr>
      <w:tr>
        <w:trPr>
          <w:trHeight w:val="432"/>
        </w:trPr>
        <w:tc>
          <w:tcPr>
            <w:tcW w:w="12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6"/>
          </w:tcPr>
          <w:p>
            <w:pPr>
              <w:spacing w:after="0"/>
              <w:rPr>
                <w:sz w:val="20"/>
                <w:szCs w:val="20"/>
                <w:color w:val="auto"/>
              </w:rPr>
            </w:pPr>
            <w:r>
              <w:rPr>
                <w:rFonts w:ascii="Arial" w:cs="Arial" w:eastAsia="Arial" w:hAnsi="Arial"/>
                <w:sz w:val="18"/>
                <w:szCs w:val="18"/>
                <w:color w:val="auto"/>
              </w:rPr>
              <w:t>XBLR Taxonomy Extension Calculation Linkbase Document</w:t>
            </w:r>
          </w:p>
        </w:tc>
      </w:tr>
      <w:tr>
        <w:trPr>
          <w:trHeight w:val="432"/>
        </w:trPr>
        <w:tc>
          <w:tcPr>
            <w:tcW w:w="12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6"/>
          </w:tcPr>
          <w:p>
            <w:pPr>
              <w:spacing w:after="0"/>
              <w:rPr>
                <w:sz w:val="20"/>
                <w:szCs w:val="20"/>
                <w:color w:val="auto"/>
              </w:rPr>
            </w:pPr>
            <w:r>
              <w:rPr>
                <w:rFonts w:ascii="Arial" w:cs="Arial" w:eastAsia="Arial" w:hAnsi="Arial"/>
                <w:sz w:val="18"/>
                <w:szCs w:val="18"/>
                <w:color w:val="auto"/>
              </w:rPr>
              <w:t>XBLR Taxonomy Extension Definition Linkbase Document</w:t>
            </w:r>
          </w:p>
        </w:tc>
      </w:tr>
      <w:tr>
        <w:trPr>
          <w:trHeight w:val="432"/>
        </w:trPr>
        <w:tc>
          <w:tcPr>
            <w:tcW w:w="12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6"/>
          </w:tcPr>
          <w:p>
            <w:pPr>
              <w:spacing w:after="0"/>
              <w:rPr>
                <w:sz w:val="20"/>
                <w:szCs w:val="20"/>
                <w:color w:val="auto"/>
              </w:rPr>
            </w:pPr>
            <w:r>
              <w:rPr>
                <w:rFonts w:ascii="Arial" w:cs="Arial" w:eastAsia="Arial" w:hAnsi="Arial"/>
                <w:sz w:val="18"/>
                <w:szCs w:val="18"/>
                <w:color w:val="auto"/>
              </w:rPr>
              <w:t>XBLR Taxonomy Extension Label Linkbase Document</w:t>
            </w:r>
          </w:p>
        </w:tc>
      </w:tr>
      <w:tr>
        <w:trPr>
          <w:trHeight w:val="432"/>
        </w:trPr>
        <w:tc>
          <w:tcPr>
            <w:tcW w:w="12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6"/>
          </w:tcPr>
          <w:p>
            <w:pPr>
              <w:spacing w:after="0"/>
              <w:rPr>
                <w:sz w:val="20"/>
                <w:szCs w:val="20"/>
                <w:color w:val="auto"/>
              </w:rPr>
            </w:pPr>
            <w:r>
              <w:rPr>
                <w:rFonts w:ascii="Arial" w:cs="Arial" w:eastAsia="Arial" w:hAnsi="Arial"/>
                <w:sz w:val="18"/>
                <w:szCs w:val="18"/>
                <w:color w:val="auto"/>
              </w:rPr>
              <w:t>XBLR Taxonomy Extension Presentation Linkbase Document</w:t>
            </w:r>
          </w:p>
        </w:tc>
      </w:tr>
    </w:tbl>
    <w:p>
      <w:pPr>
        <w:spacing w:after="0" w:line="202" w:lineRule="exact"/>
        <w:rPr>
          <w:sz w:val="20"/>
          <w:szCs w:val="20"/>
          <w:color w:val="auto"/>
        </w:rPr>
      </w:pPr>
    </w:p>
    <w:p>
      <w:pPr>
        <w:ind w:left="1160" w:hanging="652"/>
        <w:spacing w:after="0"/>
        <w:tabs>
          <w:tab w:leader="none" w:pos="11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1040" w:hanging="654"/>
        <w:spacing w:after="0"/>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ind w:left="720" w:hanging="658"/>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ectPr>
          <w:pgSz w:w="11900" w:h="16838" w:orient="portrait"/>
          <w:cols w:equalWidth="0" w:num="1">
            <w:col w:w="11420"/>
          </w:cols>
          <w:pgMar w:left="240" w:top="891" w:right="239" w:bottom="44" w:gutter="0" w:footer="0" w:header="0"/>
        </w:sectPr>
      </w:pPr>
    </w:p>
    <w:bookmarkStart w:id="23" w:name="page24"/>
    <w:bookmarkEnd w:id="23"/>
    <w:p>
      <w:pPr>
        <w:jc w:val="center"/>
        <w:ind w:right="-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Satzman,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XpresSpa Group,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Douglas Satzman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Douglas Satzman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Satzman,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XpresSpa Group,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Douglas Satzman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Douglas Satzman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undersigned officer of XpresSpa Group, Inc., a Delaware corporation (the “Company”), does hereby certify, to such officer’s knowledge, that:</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Amendment No. 1 to Annual Report for the year ended December 31, 2018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Dated: April 30,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 Principal Financial Officer and Principal</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2"/>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7"/>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21"/>
    </w:lvl>
  </w:abstractNum>
  <w:abstractNum w:abstractNumId="16">
    <w:nsid w:val="3F2DBA3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80" Type="http://schemas.openxmlformats.org/officeDocument/2006/relationships/image" Target="media/image21.png"/><Relationship Id="rId81" Type="http://schemas.openxmlformats.org/officeDocument/2006/relationships/image" Target="media/image22.png"/><Relationship Id="rId82" Type="http://schemas.openxmlformats.org/officeDocument/2006/relationships/image" Target="media/image23.png"/><Relationship Id="rId28" Type="http://schemas.openxmlformats.org/officeDocument/2006/relationships/hyperlink" Target="http://www.sec.gov/Archives/edgar/data/1410428/000114420416117230/v446257_ex2-1.htm" TargetMode="External"/><Relationship Id="rId29" Type="http://schemas.openxmlformats.org/officeDocument/2006/relationships/hyperlink" Target="http://www.sec.gov/Archives/edgar/data/1410428/000114420416123414/v448507_ex2-1.htm" TargetMode="External"/><Relationship Id="rId30" Type="http://schemas.openxmlformats.org/officeDocument/2006/relationships/hyperlink" Target="http://www.sec.gov/Archives/edgar/data/1410428/000114420416129472/v451220_ex2-1.htm" TargetMode="External"/><Relationship Id="rId31" Type="http://schemas.openxmlformats.org/officeDocument/2006/relationships/hyperlink" Target="http://www.sec.gov/Archives/edgar/data/1410428/000114420419017496/tv516017_ex3-1.htm" TargetMode="External"/><Relationship Id="rId32" Type="http://schemas.openxmlformats.org/officeDocument/2006/relationships/hyperlink" Target="http://www.sec.gov/Archives/edgar/data/1410428/000114420419017496/tv516017_ex3-2.htm" TargetMode="External"/><Relationship Id="rId33" Type="http://schemas.openxmlformats.org/officeDocument/2006/relationships/hyperlink" Target="http://www.sec.gov/Archives/edgar/data/1410428/000114420416089189/v434655_ex3-1.htm" TargetMode="External"/><Relationship Id="rId34" Type="http://schemas.openxmlformats.org/officeDocument/2006/relationships/hyperlink" Target="http://www.sec.gov/Archives/edgar/data/1410428/000114420416141154/v455681_ex3-1.htm" TargetMode="External"/><Relationship Id="rId35" Type="http://schemas.openxmlformats.org/officeDocument/2006/relationships/hyperlink" Target="http://www.sec.gov/Archives/edgar/data/1410428/000114420418060039/tv506091_ex3-1.htm" TargetMode="External"/><Relationship Id="rId36" Type="http://schemas.openxmlformats.org/officeDocument/2006/relationships/hyperlink" Target="http://www.sec.gov/Archives/edgar/data/1410428/000119312510123446/dex42.htm" TargetMode="External"/><Relationship Id="rId37" Type="http://schemas.openxmlformats.org/officeDocument/2006/relationships/hyperlink" Target="http://www.sec.gov/Archives/edgar/data/1410428/000114420415059695/v422196_ex4-1.htm" TargetMode="External"/><Relationship Id="rId38" Type="http://schemas.openxmlformats.org/officeDocument/2006/relationships/hyperlink" Target="http://www.sec.gov/Archives/edgar/data/1410428/000114420415027143/v409292_ex10-3.htm" TargetMode="External"/><Relationship Id="rId39" Type="http://schemas.openxmlformats.org/officeDocument/2006/relationships/hyperlink" Target="http://www.sec.gov/Archives/edgar/data/1410428/000114420416089189/v434655_ex4-1.htm" TargetMode="External"/><Relationship Id="rId40" Type="http://schemas.openxmlformats.org/officeDocument/2006/relationships/hyperlink" Target="http://www.sec.gov/Archives/edgar/data/1410428/000114420419015650/tv516755_ex10-1.htm" TargetMode="External"/><Relationship Id="rId41" Type="http://schemas.openxmlformats.org/officeDocument/2006/relationships/hyperlink" Target="http://www.sec.gov/Archives/edgar/data/1410428/000114420416129474/v449051_s4a.htm" TargetMode="External"/><Relationship Id="rId42" Type="http://schemas.openxmlformats.org/officeDocument/2006/relationships/hyperlink" Target="http://www.sec.gov/Archives/edgar/data/1410428/000114420418028911/tv492938_ex4-1.htm" TargetMode="External"/><Relationship Id="rId43" Type="http://schemas.openxmlformats.org/officeDocument/2006/relationships/hyperlink" Target="http://www.sec.gov/Archives/edgar/data/1410428/000114420418028911/tv492938_ex4-2.htm" TargetMode="External"/><Relationship Id="rId44" Type="http://schemas.openxmlformats.org/officeDocument/2006/relationships/hyperlink" Target="http://www.sec.gov/Archives/edgar/data/1410428/000114420418028911/tv492938_ex4-3.htm" TargetMode="External"/><Relationship Id="rId45" Type="http://schemas.openxmlformats.org/officeDocument/2006/relationships/hyperlink" Target="http://www.sec.gov/Archives/edgar/data/1410428/000114420415056596/v420716_def14a.htm" TargetMode="External"/><Relationship Id="rId46" Type="http://schemas.openxmlformats.org/officeDocument/2006/relationships/hyperlink" Target="http://www.sec.gov/Archives/edgar/data/1410428/000119312510069268/dex45.htm" TargetMode="External"/><Relationship Id="rId47" Type="http://schemas.openxmlformats.org/officeDocument/2006/relationships/hyperlink" Target="http://www.sec.gov/Archives/edgar/data/1410428/000114420412041064/v319421_ex99-2.htm" TargetMode="External"/><Relationship Id="rId48" Type="http://schemas.openxmlformats.org/officeDocument/2006/relationships/hyperlink" Target="http://www.sec.gov/Archives/edgar/data/1410428/000114420412041064/v319421_ex99-3.htm" TargetMode="External"/><Relationship Id="rId49" Type="http://schemas.openxmlformats.org/officeDocument/2006/relationships/hyperlink" Target="http://www.sec.gov/Archives/edgar/data/1410428/000114420413016671/v333989_ex10-24.htm" TargetMode="External"/><Relationship Id="rId50" Type="http://schemas.openxmlformats.org/officeDocument/2006/relationships/hyperlink" Target="http://www.sec.gov/Archives/edgar/data/1410428/000114420416117230/v446257_ex10-1.htm" TargetMode="External"/><Relationship Id="rId51" Type="http://schemas.openxmlformats.org/officeDocument/2006/relationships/hyperlink" Target="http://www.sec.gov/Archives/edgar/data/1410428/000114420416117230/v446257_ex10-2.htm" TargetMode="External"/><Relationship Id="rId52" Type="http://schemas.openxmlformats.org/officeDocument/2006/relationships/hyperlink" Target="http://www.sec.gov/Archives/edgar/data/1410428/000114420416136736/v454026_ex10-1.htm" TargetMode="External"/><Relationship Id="rId53" Type="http://schemas.openxmlformats.org/officeDocument/2006/relationships/hyperlink" Target="http://www.sec.gov/Archives/edgar/data/1410428/000114420416141154/v455681_ex10-1.htm" TargetMode="External"/><Relationship Id="rId54" Type="http://schemas.openxmlformats.org/officeDocument/2006/relationships/hyperlink" Target="http://www.sec.gov/Archives/edgar/data/1410428/000114420417017688/v462079_10k.htm" TargetMode="External"/><Relationship Id="rId55" Type="http://schemas.openxmlformats.org/officeDocument/2006/relationships/hyperlink" Target="http://www.sec.gov/Archives/edgar/data/1410428/000114420417005775/v458330_ex10-1.htm" TargetMode="External"/><Relationship Id="rId56" Type="http://schemas.openxmlformats.org/officeDocument/2006/relationships/hyperlink" Target="http://www.sec.gov/Archives/edgar/data/1410428/000114420417027519/v466214_ex10-2.htm" TargetMode="External"/><Relationship Id="rId57" Type="http://schemas.openxmlformats.org/officeDocument/2006/relationships/hyperlink" Target="http://www.sec.gov/Archives/edgar/data/1410428/000114420417027519/v466214_ex10-3.htm" TargetMode="External"/><Relationship Id="rId58" Type="http://schemas.openxmlformats.org/officeDocument/2006/relationships/hyperlink" Target="http://www.sec.gov/Archives/edgar/data/1410428/000114420417027519/v466214_ex10-4.htm" TargetMode="External"/><Relationship Id="rId59" Type="http://schemas.openxmlformats.org/officeDocument/2006/relationships/hyperlink" Target="http://www.sec.gov/Archives/edgar/data/1410428/000114420417027519/v466214_ex10-5.htm" TargetMode="External"/><Relationship Id="rId60" Type="http://schemas.openxmlformats.org/officeDocument/2006/relationships/hyperlink" Target="http://www.sec.gov/Archives/edgar/data/1410428/000114420418016778/tv489440_ex2-1.htm" TargetMode="External"/><Relationship Id="rId61" Type="http://schemas.openxmlformats.org/officeDocument/2006/relationships/hyperlink" Target="http://www.sec.gov/Archives/edgar/data/1410428/000114420418028911/tv492938_ex10-1.htm" TargetMode="External"/><Relationship Id="rId62" Type="http://schemas.openxmlformats.org/officeDocument/2006/relationships/hyperlink" Target="http://www.sec.gov/Archives/edgar/data/1410428/000114420418028911/tv492938_ex10-2.htm" TargetMode="External"/><Relationship Id="rId63" Type="http://schemas.openxmlformats.org/officeDocument/2006/relationships/hyperlink" Target="http://www.sec.gov/Archives/edgar/data/1410428/000114420418028911/tv492938_ex10-3.htm" TargetMode="External"/><Relationship Id="rId64" Type="http://schemas.openxmlformats.org/officeDocument/2006/relationships/hyperlink" Target="http://www.sec.gov/Archives/edgar/data/1410428/000114420418028911/tv492938_ex10-4.htm" TargetMode="External"/><Relationship Id="rId65" Type="http://schemas.openxmlformats.org/officeDocument/2006/relationships/hyperlink" Target="http://www.sec.gov/Archives/edgar/data/1410428/000114420418028911/tv492938_ex10-5.htm" TargetMode="External"/><Relationship Id="rId66" Type="http://schemas.openxmlformats.org/officeDocument/2006/relationships/hyperlink" Target="http://www.sec.gov/Archives/edgar/data/1410428/000114420418028911/tv492938_ex10-6.htm" TargetMode="External"/><Relationship Id="rId67" Type="http://schemas.openxmlformats.org/officeDocument/2006/relationships/hyperlink" Target="http://www.sec.gov/Archives/edgar/data/1410428/000114420418028911/tv492938_ex10-7.htm" TargetMode="External"/><Relationship Id="rId68" Type="http://schemas.openxmlformats.org/officeDocument/2006/relationships/hyperlink" Target="http://www.sec.gov/Archives/edgar/data/1410428/000114420418028911/tv492938_ex10-8.htm" TargetMode="External"/><Relationship Id="rId69" Type="http://schemas.openxmlformats.org/officeDocument/2006/relationships/hyperlink" Target="http://www.sec.gov/Archives/edgar/data/1410428/000114420418028911/tv492938_ex10-9.htm" TargetMode="External"/><Relationship Id="rId70" Type="http://schemas.openxmlformats.org/officeDocument/2006/relationships/hyperlink" Target="http://www.sec.gov/Archives/edgar/data/1410428/000114420418028911/tv492938_ex10-10.htm" TargetMode="External"/><Relationship Id="rId71" Type="http://schemas.openxmlformats.org/officeDocument/2006/relationships/hyperlink" Target="http://www.sec.gov/Archives/edgar/data/1410428/000114420418060039/tv506091_ex10-1.htm" TargetMode="External"/><Relationship Id="rId72" Type="http://schemas.openxmlformats.org/officeDocument/2006/relationships/hyperlink" Target="http://www.sec.gov/Archives/edgar/data/1410428/000114420419017496/tv516017_ex10-28.htm" TargetMode="External"/><Relationship Id="rId73" Type="http://schemas.openxmlformats.org/officeDocument/2006/relationships/hyperlink" Target="http://www.sec.gov/Archives/edgar/data/1410428/000114420419014325/tv516349_ex10-1.htm" TargetMode="External"/><Relationship Id="rId74" Type="http://schemas.openxmlformats.org/officeDocument/2006/relationships/hyperlink" Target="http://www.sec.gov/Archives/edgar/data/1410428/000114420419014325/tv516349_ex10-2.htm" TargetMode="External"/><Relationship Id="rId75" Type="http://schemas.openxmlformats.org/officeDocument/2006/relationships/hyperlink" Target="http://www.sec.gov/Archives/edgar/data/1410428/000114420419017496/tv516017_ex21.htm" TargetMode="External"/><Relationship Id="rId76" Type="http://schemas.openxmlformats.org/officeDocument/2006/relationships/hyperlink" Target="http://www.sec.gov/Archives/edgar/data/1410428/000114420419017496/tv516017_ex23-1.htm" TargetMode="External"/><Relationship Id="rId77" Type="http://schemas.openxmlformats.org/officeDocument/2006/relationships/hyperlink" Target="http://www.sec.gov/Archives/edgar/data/1410428/000114420419017496/tv516017_ex31-1.htm" TargetMode="External"/><Relationship Id="rId78" Type="http://schemas.openxmlformats.org/officeDocument/2006/relationships/hyperlink" Target="http://www.sec.gov/Archives/edgar/data/1410428/000114420419017496/tv516017_ex31-2.htm" TargetMode="External"/><Relationship Id="rId79" Type="http://schemas.openxmlformats.org/officeDocument/2006/relationships/hyperlink" Target="http://www.sec.gov/Archives/edgar/data/1410428/000114420419017496/tv516017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2019-12-28T13:40:59Z</dcterms:created>
  <dcterms:modified xsi:type="dcterms:W3CDTF">2019-12-28T13:40:59Z</dcterms:modified>
</cp:coreProperties>
</file>