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09/30/2014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5,209</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20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0.9618</w:t>
            </w:r>
            <w:r>
              <w:rPr>
                <w:rFonts w:ascii="Arial" w:cs="Arial" w:eastAsia="Arial" w:hAnsi="Arial"/>
                <w:sz w:val="22"/>
                <w:szCs w:val="22"/>
                <w:color w:val="008000"/>
                <w:w w:val="99"/>
                <w:vertAlign w:val="superscript"/>
              </w:rPr>
              <w:t>(1)</w:t>
            </w:r>
            <w:r>
              <w:rPr>
                <w:rFonts w:ascii="Arial" w:cs="Arial" w:eastAsia="Arial" w:hAnsi="Arial"/>
                <w:sz w:val="18"/>
                <w:szCs w:val="18"/>
                <w:color w:val="auto"/>
                <w:w w:val="99"/>
              </w:rPr>
              <w:t xml:space="preserve">    </w:t>
            </w:r>
            <w:r>
              <w:rPr>
                <w:rFonts w:ascii="Arial" w:cs="Arial" w:eastAsia="Arial" w:hAnsi="Arial"/>
                <w:sz w:val="18"/>
                <w:szCs w:val="18"/>
                <w:color w:val="0000FF"/>
                <w:w w:val="99"/>
              </w:rPr>
              <w:t>2,753,577</w:t>
            </w:r>
            <w:r>
              <w:rPr>
                <w:rFonts w:ascii="Arial" w:cs="Arial" w:eastAsia="Arial" w:hAnsi="Arial"/>
                <w:sz w:val="22"/>
                <w:szCs w:val="22"/>
                <w:color w:val="008000"/>
                <w:w w:val="99"/>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2,344,509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40" w:type="dxa"/>
            <w:vAlign w:val="bottom"/>
            <w:gridSpan w:val="9"/>
          </w:tcPr>
          <w:p>
            <w:pPr>
              <w:ind w:left="1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75,522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8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333,333 vested and unvested options and 75,522 vested and unvested restricted stock units. In addition, the reporting person owns (either directly or indirectly) 5,022,564 shares of common stock and 2,052,419 warrants. The total number of securities listed is 7,483,838.</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2019-12-17T07:31:24Z</dcterms:created>
  <dcterms:modified xsi:type="dcterms:W3CDTF">2019-12-17T07:31:24Z</dcterms:modified>
</cp:coreProperties>
</file>