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Weinstein Cliff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6,658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2.23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46,668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Of which, 18,126 shares of common stock are represented by unvested restricted stock units.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EVP of Vringo, Inc. and President of FLI CHARGE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Cliff Weinstein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12/15/2015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0804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2019-12-08T20:30:17Z</dcterms:created>
  <dcterms:modified xsi:type="dcterms:W3CDTF">2019-12-08T20:30:17Z</dcterms:modified>
</cp:coreProperties>
</file>