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SCHEDULE 13G</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(Rule 13d-102)</w:t>
      </w:r>
    </w:p>
    <w:p>
      <w:pPr>
        <w:spacing w:after="0" w:line="252" w:lineRule="exact"/>
        <w:rPr>
          <w:sz w:val="24"/>
          <w:szCs w:val="24"/>
          <w:color w:val="auto"/>
        </w:rPr>
      </w:pPr>
    </w:p>
    <w:p>
      <w:pPr>
        <w:jc w:val="center"/>
        <w:ind w:left="300"/>
        <w:spacing w:after="0" w:line="277" w:lineRule="auto"/>
        <w:rPr>
          <w:sz w:val="20"/>
          <w:szCs w:val="20"/>
          <w:color w:val="auto"/>
        </w:rPr>
      </w:pPr>
      <w:r>
        <w:rPr>
          <w:rFonts w:ascii="Arial" w:cs="Arial" w:eastAsia="Arial" w:hAnsi="Arial"/>
          <w:sz w:val="18"/>
          <w:szCs w:val="18"/>
          <w:color w:val="auto"/>
        </w:rPr>
        <w:t>INFORMATION TO BE INCLUDED IN STATEMENTS FILED PURSUANT TO § 240.13d-1 (b), (c) AND (d) AND AMENDMENTS THERETO FILED PURSUANT TO § 240.13d-2</w:t>
      </w:r>
    </w:p>
    <w:p>
      <w:pPr>
        <w:spacing w:after="0" w:line="197"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(Amendment No. ______________)*</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Vringo,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92911N104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July 21,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 w:lineRule="exact"/>
        <w:rPr>
          <w:sz w:val="24"/>
          <w:szCs w:val="24"/>
          <w:color w:val="auto"/>
        </w:rPr>
      </w:pPr>
    </w:p>
    <w:p>
      <w:pPr>
        <w:ind w:right="200"/>
        <w:spacing w:after="0" w:line="25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ind w:right="6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(Continued on following pages)</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Page of 13 Pages</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Exhibit Index Contained on Page 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55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92911N104</w:t>
            </w:r>
          </w:p>
        </w:tc>
        <w:tc>
          <w:tcPr>
            <w:tcW w:w="19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13 G</w:t>
            </w:r>
          </w:p>
        </w:tc>
        <w:tc>
          <w:tcPr>
            <w:tcW w:w="3940" w:type="dxa"/>
            <w:vAlign w:val="bottom"/>
            <w:tcBorders>
              <w:top w:val="single" w:sz="8" w:color="auto"/>
              <w:bottom w:val="single" w:sz="8" w:color="auto"/>
              <w:right w:val="single" w:sz="8" w:color="auto"/>
            </w:tcBorders>
          </w:tcPr>
          <w:p>
            <w:pPr>
              <w:ind w:left="2560"/>
              <w:spacing w:after="0"/>
              <w:rPr>
                <w:sz w:val="20"/>
                <w:szCs w:val="20"/>
                <w:color w:val="auto"/>
              </w:rPr>
            </w:pPr>
            <w:r>
              <w:rPr>
                <w:rFonts w:ascii="Arial" w:cs="Arial" w:eastAsia="Arial" w:hAnsi="Arial"/>
                <w:sz w:val="18"/>
                <w:szCs w:val="18"/>
                <w:color w:val="auto"/>
                <w:w w:val="84"/>
              </w:rPr>
              <w:t>Page 2 of 13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8525" cy="422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8525" cy="4221480"/>
                    </a:xfrm>
                    <a:prstGeom prst="rect">
                      <a:avLst/>
                    </a:prstGeom>
                    <a:noFill/>
                  </pic:spPr>
                </pic:pic>
              </a:graphicData>
            </a:graphic>
          </wp:anchor>
        </w:drawing>
      </w:r>
    </w:p>
    <w:p>
      <w:pPr>
        <w:spacing w:after="0" w:line="219" w:lineRule="exact"/>
        <w:rPr>
          <w:sz w:val="20"/>
          <w:szCs w:val="20"/>
          <w:color w:val="auto"/>
        </w:rPr>
      </w:pPr>
    </w:p>
    <w:p>
      <w:pPr>
        <w:ind w:left="1060" w:right="7580" w:hanging="1038"/>
        <w:spacing w:after="0" w:line="291"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Benchmark Israel II, L.P. (“BI”)</w:t>
      </w:r>
    </w:p>
    <w:p>
      <w:pPr>
        <w:ind w:left="1060" w:hanging="1038"/>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0"/>
        <w:spacing w:after="0" w:line="207" w:lineRule="exact"/>
        <w:tabs>
          <w:tab w:leader="none" w:pos="7640" w:val="left"/>
          <w:tab w:leader="none" w:pos="8340" w:val="left"/>
          <w:tab w:leader="none" w:pos="9000" w:val="left"/>
          <w:tab w:leader="none" w:pos="9700" w:val="left"/>
        </w:tabs>
        <w:rPr>
          <w:sz w:val="20"/>
          <w:szCs w:val="20"/>
          <w:color w:val="auto"/>
        </w:rPr>
      </w:pPr>
      <w:r>
        <w:rPr>
          <w:rFonts w:ascii="Arial" w:cs="Arial" w:eastAsia="Arial" w:hAnsi="Arial"/>
          <w:sz w:val="18"/>
          <w:szCs w:val="18"/>
          <w:color w:val="auto"/>
        </w:rPr>
        <w:t>(SEE INSTRUCTIONS)</w:t>
      </w:r>
      <w:r>
        <w:rPr>
          <w:sz w:val="20"/>
          <w:szCs w:val="20"/>
          <w:color w:val="auto"/>
        </w:rPr>
        <w:tab/>
      </w: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x</w:t>
      </w:r>
    </w:p>
    <w:p>
      <w:pPr>
        <w:spacing w:after="0" w:line="29" w:lineRule="exact"/>
        <w:rPr>
          <w:sz w:val="20"/>
          <w:szCs w:val="20"/>
          <w:color w:val="auto"/>
        </w:rPr>
      </w:pPr>
    </w:p>
    <w:p>
      <w:pPr>
        <w:ind w:left="1060" w:hanging="1038"/>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1060" w:right="6680" w:hanging="1038"/>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79"/>
        </w:trPr>
        <w:tc>
          <w:tcPr>
            <w:tcW w:w="5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300" w:type="dxa"/>
            <w:vAlign w:val="bottom"/>
            <w:tcBorders>
              <w:top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5</w:t>
            </w:r>
          </w:p>
        </w:tc>
        <w:tc>
          <w:tcPr>
            <w:tcW w:w="4860" w:type="dxa"/>
            <w:vAlign w:val="bottom"/>
            <w:tcBorders>
              <w:top w:val="single" w:sz="8" w:color="auto"/>
            </w:tcBorders>
          </w:tcPr>
          <w:p>
            <w:pPr>
              <w:spacing w:after="0" w:line="179" w:lineRule="exact"/>
              <w:rPr>
                <w:sz w:val="20"/>
                <w:szCs w:val="20"/>
                <w:color w:val="auto"/>
              </w:rPr>
            </w:pPr>
            <w:r>
              <w:rPr>
                <w:rFonts w:ascii="Arial" w:cs="Arial" w:eastAsia="Arial" w:hAnsi="Arial"/>
                <w:sz w:val="18"/>
                <w:szCs w:val="18"/>
                <w:color w:val="auto"/>
              </w:rPr>
              <w:t>SOLE VOTING POWER</w:t>
            </w:r>
          </w:p>
        </w:tc>
        <w:tc>
          <w:tcPr>
            <w:tcW w:w="25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652,173*shares of common stock issuable upon the optional conversion of that certain 1.25% secured</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convertible promissory note of the Issuer (the “Note”), except that BCPI Partners II, L.P. (“BCPI-P”),</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50"/>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the general partner of BI, may be deemed to have sole power to vote these shares, BCPI Corporation</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80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II (“BCPI-C”), the general partner of BCPI-P, may be deemed to have sole power to vote these shares</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and Michael A. Eisenberg (“Eisenberg”), Arad Naveh (“Naveh”) and Elie Wurtman (“Wurtman”), the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directors of BCPI-C, may be deemed to have shared power to vote these shares.</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right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6</w:t>
            </w:r>
          </w:p>
        </w:tc>
        <w:tc>
          <w:tcPr>
            <w:tcW w:w="4860" w:type="dxa"/>
            <w:vAlign w:val="bottom"/>
          </w:tcPr>
          <w:p>
            <w:pPr>
              <w:spacing w:after="0" w:line="178" w:lineRule="exact"/>
              <w:rPr>
                <w:sz w:val="20"/>
                <w:szCs w:val="20"/>
                <w:color w:val="auto"/>
              </w:rPr>
            </w:pPr>
            <w:r>
              <w:rPr>
                <w:rFonts w:ascii="Arial" w:cs="Arial" w:eastAsia="Arial" w:hAnsi="Arial"/>
                <w:sz w:val="18"/>
                <w:szCs w:val="18"/>
                <w:color w:val="auto"/>
              </w:rPr>
              <w:t>SHARED VOTING POWER</w:t>
            </w: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response to row 5.</w:t>
            </w: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7</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2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652,173* shares of common stock issuable upon the optional conversion of the Note, except that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BCPI-P, the general partner of BI, may be deemed to have sole power to dispose of these shares,</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BCPI-C, the general partner of BCPI-P, may be deemed to have sole power to dispose of these shares</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and Eisenberg, Naveh and Wurtman, the directors of BCPI-C, may be deemed to have shared power</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 dispose of these shares.</w:t>
            </w: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8</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c>
          <w:tcPr>
            <w:tcW w:w="2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response to row 7.</w:t>
            </w: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652,173</w:t>
            </w:r>
          </w:p>
        </w:tc>
        <w:tc>
          <w:tcPr>
            <w:tcW w:w="0" w:type="dxa"/>
            <w:vAlign w:val="bottom"/>
          </w:tcPr>
          <w:p>
            <w:pPr>
              <w:spacing w:after="0"/>
              <w:rPr>
                <w:sz w:val="1"/>
                <w:szCs w:val="1"/>
                <w:color w:val="auto"/>
              </w:rPr>
            </w:pPr>
          </w:p>
        </w:tc>
      </w:tr>
      <w:tr>
        <w:trPr>
          <w:trHeight w:val="195"/>
        </w:trPr>
        <w:tc>
          <w:tcPr>
            <w:tcW w:w="560" w:type="dxa"/>
            <w:vAlign w:val="bottom"/>
          </w:tcPr>
          <w:p>
            <w:pPr>
              <w:ind w:left="20"/>
              <w:spacing w:after="0" w:line="195" w:lineRule="exact"/>
              <w:rPr>
                <w:sz w:val="20"/>
                <w:szCs w:val="20"/>
                <w:color w:val="auto"/>
              </w:rPr>
            </w:pPr>
            <w:r>
              <w:rPr>
                <w:rFonts w:ascii="Arial" w:cs="Arial" w:eastAsia="Arial" w:hAnsi="Arial"/>
                <w:sz w:val="18"/>
                <w:szCs w:val="18"/>
                <w:color w:val="auto"/>
              </w:rPr>
              <w:t>10</w:t>
            </w:r>
          </w:p>
        </w:tc>
        <w:tc>
          <w:tcPr>
            <w:tcW w:w="500" w:type="dxa"/>
            <w:vAlign w:val="bottom"/>
            <w:tcBorders>
              <w:right w:val="single" w:sz="8" w:color="auto"/>
            </w:tcBorders>
          </w:tcPr>
          <w:p>
            <w:pPr>
              <w:spacing w:after="0"/>
              <w:rPr>
                <w:sz w:val="16"/>
                <w:szCs w:val="16"/>
                <w:color w:val="auto"/>
              </w:rPr>
            </w:pPr>
          </w:p>
        </w:tc>
        <w:tc>
          <w:tcPr>
            <w:tcW w:w="7840" w:type="dxa"/>
            <w:vAlign w:val="bottom"/>
            <w:gridSpan w:val="3"/>
          </w:tcPr>
          <w:p>
            <w:pPr>
              <w:spacing w:after="0" w:line="195" w:lineRule="exact"/>
              <w:rPr>
                <w:sz w:val="20"/>
                <w:szCs w:val="20"/>
                <w:color w:val="auto"/>
              </w:rPr>
            </w:pPr>
            <w:r>
              <w:rPr>
                <w:rFonts w:ascii="Arial" w:cs="Arial" w:eastAsia="Arial" w:hAnsi="Arial"/>
                <w:sz w:val="18"/>
                <w:szCs w:val="18"/>
                <w:color w:val="auto"/>
              </w:rPr>
              <w:t>CHECK BOX IF THE AGGREGATE AMOUNT IN ROW (9) EXCLUDES CERTAIN SHARES (SEE</w:t>
            </w:r>
          </w:p>
        </w:tc>
        <w:tc>
          <w:tcPr>
            <w:tcW w:w="2540" w:type="dxa"/>
            <w:vAlign w:val="bottom"/>
            <w:tcBorders>
              <w:right w:val="single" w:sz="8" w:color="auto"/>
            </w:tcBorders>
            <w:vMerge w:val="restart"/>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INSTRUCTIONS)</w:t>
            </w:r>
          </w:p>
        </w:tc>
        <w:tc>
          <w:tcPr>
            <w:tcW w:w="4860" w:type="dxa"/>
            <w:vAlign w:val="bottom"/>
            <w:tcBorders>
              <w:bottom w:val="single" w:sz="8" w:color="auto"/>
            </w:tcBorders>
          </w:tcPr>
          <w:p>
            <w:pPr>
              <w:spacing w:after="0"/>
              <w:rPr>
                <w:sz w:val="20"/>
                <w:szCs w:val="20"/>
                <w:color w:val="auto"/>
              </w:rPr>
            </w:pPr>
          </w:p>
        </w:tc>
        <w:tc>
          <w:tcPr>
            <w:tcW w:w="25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Note is convertible into the Issuer's common stock at a price of $1.38 or, if lower, 90% of the price at which securities are sold upon the consummation of the Issuer's immediate subsequent financing, but in no event shall the Issuer issue common stock upon conversion of the Note and the series of notes issued by the Issuer in excess of 19.99% of the total shares outstanding of the Issuer on the date of closing of the issuance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55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92911N104</w:t>
            </w:r>
          </w:p>
        </w:tc>
        <w:tc>
          <w:tcPr>
            <w:tcW w:w="19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13 G</w:t>
            </w:r>
          </w:p>
        </w:tc>
        <w:tc>
          <w:tcPr>
            <w:tcW w:w="3940" w:type="dxa"/>
            <w:vAlign w:val="bottom"/>
            <w:tcBorders>
              <w:top w:val="single" w:sz="8" w:color="auto"/>
              <w:bottom w:val="single" w:sz="8" w:color="auto"/>
              <w:right w:val="single" w:sz="8" w:color="auto"/>
            </w:tcBorders>
          </w:tcPr>
          <w:p>
            <w:pPr>
              <w:ind w:left="2560"/>
              <w:spacing w:after="0"/>
              <w:rPr>
                <w:sz w:val="20"/>
                <w:szCs w:val="20"/>
                <w:color w:val="auto"/>
              </w:rPr>
            </w:pPr>
            <w:r>
              <w:rPr>
                <w:rFonts w:ascii="Arial" w:cs="Arial" w:eastAsia="Arial" w:hAnsi="Arial"/>
                <w:sz w:val="18"/>
                <w:szCs w:val="18"/>
                <w:color w:val="auto"/>
                <w:w w:val="84"/>
              </w:rPr>
              <w:t>Page 3 of 13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8525" cy="408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8525" cy="4084320"/>
                    </a:xfrm>
                    <a:prstGeom prst="rect">
                      <a:avLst/>
                    </a:prstGeom>
                    <a:noFill/>
                  </pic:spPr>
                </pic:pic>
              </a:graphicData>
            </a:graphic>
          </wp:anchor>
        </w:drawing>
      </w:r>
    </w:p>
    <w:p>
      <w:pPr>
        <w:spacing w:after="0" w:line="219" w:lineRule="exact"/>
        <w:rPr>
          <w:sz w:val="20"/>
          <w:szCs w:val="20"/>
          <w:color w:val="auto"/>
        </w:rPr>
      </w:pPr>
    </w:p>
    <w:p>
      <w:pPr>
        <w:ind w:left="1700" w:right="7580" w:hanging="1678"/>
        <w:spacing w:after="0" w:line="291" w:lineRule="auto"/>
        <w:tabs>
          <w:tab w:leader="none" w:pos="1052"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BCPI Partners II, L.P.</w:t>
      </w:r>
    </w:p>
    <w:p>
      <w:pPr>
        <w:ind w:left="1060" w:hanging="1038"/>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0"/>
        <w:spacing w:after="0" w:line="207" w:lineRule="exact"/>
        <w:tabs>
          <w:tab w:leader="none" w:pos="7640" w:val="left"/>
          <w:tab w:leader="none" w:pos="8340" w:val="left"/>
          <w:tab w:leader="none" w:pos="9000" w:val="left"/>
          <w:tab w:leader="none" w:pos="9700" w:val="left"/>
        </w:tabs>
        <w:rPr>
          <w:sz w:val="20"/>
          <w:szCs w:val="20"/>
          <w:color w:val="auto"/>
        </w:rPr>
      </w:pPr>
      <w:r>
        <w:rPr>
          <w:rFonts w:ascii="Arial" w:cs="Arial" w:eastAsia="Arial" w:hAnsi="Arial"/>
          <w:sz w:val="18"/>
          <w:szCs w:val="18"/>
          <w:color w:val="auto"/>
        </w:rPr>
        <w:t>(SEE INSTRUCTIONS)</w:t>
      </w:r>
      <w:r>
        <w:rPr>
          <w:sz w:val="20"/>
          <w:szCs w:val="20"/>
          <w:color w:val="auto"/>
        </w:rPr>
        <w:tab/>
      </w: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x</w:t>
      </w:r>
    </w:p>
    <w:p>
      <w:pPr>
        <w:spacing w:after="0" w:line="29" w:lineRule="exact"/>
        <w:rPr>
          <w:sz w:val="20"/>
          <w:szCs w:val="20"/>
          <w:color w:val="auto"/>
        </w:rPr>
      </w:pPr>
    </w:p>
    <w:p>
      <w:pPr>
        <w:ind w:left="1060" w:hanging="1038"/>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1060" w:right="6680" w:hanging="1038"/>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79"/>
        </w:trPr>
        <w:tc>
          <w:tcPr>
            <w:tcW w:w="5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300" w:type="dxa"/>
            <w:vAlign w:val="bottom"/>
            <w:tcBorders>
              <w:top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5</w:t>
            </w:r>
          </w:p>
        </w:tc>
        <w:tc>
          <w:tcPr>
            <w:tcW w:w="4920" w:type="dxa"/>
            <w:vAlign w:val="bottom"/>
            <w:tcBorders>
              <w:top w:val="single" w:sz="8" w:color="auto"/>
            </w:tcBorders>
          </w:tcPr>
          <w:p>
            <w:pPr>
              <w:spacing w:after="0" w:line="179" w:lineRule="exact"/>
              <w:rPr>
                <w:sz w:val="20"/>
                <w:szCs w:val="20"/>
                <w:color w:val="auto"/>
              </w:rPr>
            </w:pPr>
            <w:r>
              <w:rPr>
                <w:rFonts w:ascii="Arial" w:cs="Arial" w:eastAsia="Arial" w:hAnsi="Arial"/>
                <w:sz w:val="18"/>
                <w:szCs w:val="18"/>
                <w:color w:val="auto"/>
              </w:rPr>
              <w:t>SOLE VOTING POWER</w:t>
            </w:r>
          </w:p>
        </w:tc>
        <w:tc>
          <w:tcPr>
            <w:tcW w:w="24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652,173* shares of common stock issuable upon the optional conversion of the Note, all of which are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directly owned by BI. BCPI-P, the general partner of BI may be deemed to have sole power to vote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50"/>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these shares, except that BCPI-C, the general partner of BCPI-P may be deemed to have sole power to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80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vote these shares and Eisenberg, Naveh and Wurtman, the directors of BCPI-C, may be deemed to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have shared power to vote these shares.</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89"/>
              </w:rPr>
              <w:t>PERSON</w:t>
            </w:r>
          </w:p>
        </w:tc>
        <w:tc>
          <w:tcPr>
            <w:tcW w:w="68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00" w:type="dxa"/>
            <w:vAlign w:val="bottom"/>
            <w:tcBorders>
              <w:right w:val="single" w:sz="8" w:color="auto"/>
            </w:tcBorders>
          </w:tcPr>
          <w:p>
            <w:pPr>
              <w:jc w:val="center"/>
              <w:ind w:right="970"/>
              <w:spacing w:after="0" w:line="178" w:lineRule="exact"/>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6</w:t>
            </w:r>
          </w:p>
        </w:tc>
        <w:tc>
          <w:tcPr>
            <w:tcW w:w="4920" w:type="dxa"/>
            <w:vAlign w:val="bottom"/>
          </w:tcPr>
          <w:p>
            <w:pPr>
              <w:spacing w:after="0" w:line="178" w:lineRule="exact"/>
              <w:rPr>
                <w:sz w:val="20"/>
                <w:szCs w:val="20"/>
                <w:color w:val="auto"/>
              </w:rPr>
            </w:pPr>
            <w:r>
              <w:rPr>
                <w:rFonts w:ascii="Arial" w:cs="Arial" w:eastAsia="Arial" w:hAnsi="Arial"/>
                <w:sz w:val="18"/>
                <w:szCs w:val="18"/>
                <w:color w:val="auto"/>
              </w:rPr>
              <w:t>SHARED VOTING POWER</w:t>
            </w:r>
          </w:p>
        </w:tc>
        <w:tc>
          <w:tcPr>
            <w:tcW w:w="2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response to row 5.</w:t>
            </w: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7</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2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652,173* shares of common stock issuable upon the optional conversion of the Note, all of which are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directly owned by BI. BCPI-P, the general partner of BI may be deemed to have sole power to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dispose of these shares, except that BCPI-C, the general partner of BCPI-P may be deemed to have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sole power to dispose of these shares and Eisenberg, Naveh and Wurtman, the directors of BCPI-C,</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may be deemed to have shared power to dispose of these shares.</w:t>
            </w: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8</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c>
          <w:tcPr>
            <w:tcW w:w="2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response to row 7.</w:t>
            </w: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right w:val="single" w:sz="8" w:color="auto"/>
            </w:tcBorders>
          </w:tcPr>
          <w:p>
            <w:pPr>
              <w:spacing w:after="0"/>
              <w:rPr>
                <w:sz w:val="18"/>
                <w:szCs w:val="18"/>
                <w:color w:val="auto"/>
              </w:rPr>
            </w:pPr>
          </w:p>
        </w:tc>
        <w:tc>
          <w:tcPr>
            <w:tcW w:w="7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4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652,173</w:t>
            </w:r>
          </w:p>
        </w:tc>
        <w:tc>
          <w:tcPr>
            <w:tcW w:w="0" w:type="dxa"/>
            <w:vAlign w:val="bottom"/>
          </w:tcPr>
          <w:p>
            <w:pPr>
              <w:spacing w:after="0"/>
              <w:rPr>
                <w:sz w:val="1"/>
                <w:szCs w:val="1"/>
                <w:color w:val="auto"/>
              </w:rPr>
            </w:pPr>
          </w:p>
        </w:tc>
      </w:tr>
      <w:tr>
        <w:trPr>
          <w:trHeight w:val="195"/>
        </w:trPr>
        <w:tc>
          <w:tcPr>
            <w:tcW w:w="560" w:type="dxa"/>
            <w:vAlign w:val="bottom"/>
          </w:tcPr>
          <w:p>
            <w:pPr>
              <w:ind w:left="20"/>
              <w:spacing w:after="0" w:line="195" w:lineRule="exact"/>
              <w:rPr>
                <w:sz w:val="20"/>
                <w:szCs w:val="20"/>
                <w:color w:val="auto"/>
              </w:rPr>
            </w:pPr>
            <w:r>
              <w:rPr>
                <w:rFonts w:ascii="Arial" w:cs="Arial" w:eastAsia="Arial" w:hAnsi="Arial"/>
                <w:sz w:val="18"/>
                <w:szCs w:val="18"/>
                <w:color w:val="auto"/>
              </w:rPr>
              <w:t>10</w:t>
            </w:r>
          </w:p>
        </w:tc>
        <w:tc>
          <w:tcPr>
            <w:tcW w:w="500" w:type="dxa"/>
            <w:vAlign w:val="bottom"/>
            <w:tcBorders>
              <w:right w:val="single" w:sz="8" w:color="auto"/>
            </w:tcBorders>
          </w:tcPr>
          <w:p>
            <w:pPr>
              <w:spacing w:after="0"/>
              <w:rPr>
                <w:sz w:val="16"/>
                <w:szCs w:val="16"/>
                <w:color w:val="auto"/>
              </w:rPr>
            </w:pPr>
          </w:p>
        </w:tc>
        <w:tc>
          <w:tcPr>
            <w:tcW w:w="7900" w:type="dxa"/>
            <w:vAlign w:val="bottom"/>
            <w:gridSpan w:val="3"/>
          </w:tcPr>
          <w:p>
            <w:pPr>
              <w:spacing w:after="0" w:line="195" w:lineRule="exact"/>
              <w:rPr>
                <w:sz w:val="20"/>
                <w:szCs w:val="20"/>
                <w:color w:val="auto"/>
              </w:rPr>
            </w:pPr>
            <w:r>
              <w:rPr>
                <w:rFonts w:ascii="Arial" w:cs="Arial" w:eastAsia="Arial" w:hAnsi="Arial"/>
                <w:sz w:val="18"/>
                <w:szCs w:val="18"/>
                <w:color w:val="auto"/>
              </w:rPr>
              <w:t>CHECK BOX IF THE AGGREGATE AMOUNT IN ROW (9) EXCLUDES CERTAIN SHARES (SEE</w:t>
            </w:r>
          </w:p>
        </w:tc>
        <w:tc>
          <w:tcPr>
            <w:tcW w:w="2480" w:type="dxa"/>
            <w:vAlign w:val="bottom"/>
            <w:tcBorders>
              <w:right w:val="single" w:sz="8" w:color="auto"/>
            </w:tcBorders>
            <w:vMerge w:val="restart"/>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INSTRUCTIONS)</w:t>
            </w:r>
          </w:p>
        </w:tc>
        <w:tc>
          <w:tcPr>
            <w:tcW w:w="68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auto"/>
              <w:right w:val="single" w:sz="8" w:color="auto"/>
            </w:tcBorders>
          </w:tcPr>
          <w:p>
            <w:pPr>
              <w:spacing w:after="0"/>
              <w:rPr>
                <w:sz w:val="18"/>
                <w:szCs w:val="18"/>
                <w:color w:val="auto"/>
              </w:rPr>
            </w:pPr>
          </w:p>
        </w:tc>
        <w:tc>
          <w:tcPr>
            <w:tcW w:w="7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4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auto"/>
              <w:right w:val="single" w:sz="8" w:color="auto"/>
            </w:tcBorders>
          </w:tcPr>
          <w:p>
            <w:pPr>
              <w:spacing w:after="0"/>
              <w:rPr>
                <w:sz w:val="18"/>
                <w:szCs w:val="18"/>
                <w:color w:val="auto"/>
              </w:rPr>
            </w:pPr>
          </w:p>
        </w:tc>
        <w:tc>
          <w:tcPr>
            <w:tcW w:w="7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4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Note is convertible into the Issuer's common stock at a price of $1.38 or, if lower, 90% of the price at which securities are sold upon the consummation of the Issuer's immediate subsequent financing, but in no event shall the Issuer issue common stock upon conversion of the Note and the series of notes issued by the Issuer in excess of 19.99% of the total shares outstanding of the Issuer on the date of closing of the issuance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55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92911N104</w:t>
            </w:r>
          </w:p>
        </w:tc>
        <w:tc>
          <w:tcPr>
            <w:tcW w:w="19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13 G</w:t>
            </w:r>
          </w:p>
        </w:tc>
        <w:tc>
          <w:tcPr>
            <w:tcW w:w="3940" w:type="dxa"/>
            <w:vAlign w:val="bottom"/>
            <w:tcBorders>
              <w:top w:val="single" w:sz="8" w:color="auto"/>
              <w:bottom w:val="single" w:sz="8" w:color="auto"/>
              <w:right w:val="single" w:sz="8" w:color="auto"/>
            </w:tcBorders>
          </w:tcPr>
          <w:p>
            <w:pPr>
              <w:ind w:left="2560"/>
              <w:spacing w:after="0"/>
              <w:rPr>
                <w:sz w:val="20"/>
                <w:szCs w:val="20"/>
                <w:color w:val="auto"/>
              </w:rPr>
            </w:pPr>
            <w:r>
              <w:rPr>
                <w:rFonts w:ascii="Arial" w:cs="Arial" w:eastAsia="Arial" w:hAnsi="Arial"/>
                <w:sz w:val="18"/>
                <w:szCs w:val="18"/>
                <w:color w:val="auto"/>
                <w:w w:val="84"/>
              </w:rPr>
              <w:t>Page 4 of 13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8525" cy="408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8525" cy="4084320"/>
                    </a:xfrm>
                    <a:prstGeom prst="rect">
                      <a:avLst/>
                    </a:prstGeom>
                    <a:noFill/>
                  </pic:spPr>
                </pic:pic>
              </a:graphicData>
            </a:graphic>
          </wp:anchor>
        </w:drawing>
      </w:r>
    </w:p>
    <w:p>
      <w:pPr>
        <w:spacing w:after="0" w:line="219" w:lineRule="exact"/>
        <w:rPr>
          <w:sz w:val="20"/>
          <w:szCs w:val="20"/>
          <w:color w:val="auto"/>
        </w:rPr>
      </w:pPr>
    </w:p>
    <w:p>
      <w:pPr>
        <w:ind w:left="1060" w:hanging="1038"/>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BCPI Corporation II</w:t>
      </w:r>
    </w:p>
    <w:p>
      <w:pPr>
        <w:spacing w:after="0" w:line="9" w:lineRule="exact"/>
        <w:rPr>
          <w:sz w:val="20"/>
          <w:szCs w:val="20"/>
          <w:color w:val="auto"/>
        </w:rPr>
      </w:pPr>
    </w:p>
    <w:p>
      <w:pPr>
        <w:ind w:left="1060" w:hanging="1038"/>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0"/>
        <w:spacing w:after="0" w:line="207" w:lineRule="exact"/>
        <w:tabs>
          <w:tab w:leader="none" w:pos="7640" w:val="left"/>
          <w:tab w:leader="none" w:pos="8340" w:val="left"/>
          <w:tab w:leader="none" w:pos="9000" w:val="left"/>
          <w:tab w:leader="none" w:pos="9700" w:val="left"/>
        </w:tabs>
        <w:rPr>
          <w:sz w:val="20"/>
          <w:szCs w:val="20"/>
          <w:color w:val="auto"/>
        </w:rPr>
      </w:pPr>
      <w:r>
        <w:rPr>
          <w:rFonts w:ascii="Arial" w:cs="Arial" w:eastAsia="Arial" w:hAnsi="Arial"/>
          <w:sz w:val="18"/>
          <w:szCs w:val="18"/>
          <w:color w:val="auto"/>
        </w:rPr>
        <w:t>(SEE INSTRUCTIONS)</w:t>
      </w:r>
      <w:r>
        <w:rPr>
          <w:sz w:val="20"/>
          <w:szCs w:val="20"/>
          <w:color w:val="auto"/>
        </w:rPr>
        <w:tab/>
      </w: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x</w:t>
      </w:r>
    </w:p>
    <w:p>
      <w:pPr>
        <w:spacing w:after="0" w:line="29" w:lineRule="exact"/>
        <w:rPr>
          <w:sz w:val="20"/>
          <w:szCs w:val="20"/>
          <w:color w:val="auto"/>
        </w:rPr>
      </w:pPr>
    </w:p>
    <w:p>
      <w:pPr>
        <w:ind w:left="1060" w:hanging="1038"/>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1060" w:right="6680" w:hanging="1038"/>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79"/>
        </w:trPr>
        <w:tc>
          <w:tcPr>
            <w:tcW w:w="5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300" w:type="dxa"/>
            <w:vAlign w:val="bottom"/>
            <w:tcBorders>
              <w:top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5</w:t>
            </w:r>
          </w:p>
        </w:tc>
        <w:tc>
          <w:tcPr>
            <w:tcW w:w="4920" w:type="dxa"/>
            <w:vAlign w:val="bottom"/>
            <w:tcBorders>
              <w:top w:val="single" w:sz="8" w:color="auto"/>
            </w:tcBorders>
          </w:tcPr>
          <w:p>
            <w:pPr>
              <w:spacing w:after="0" w:line="179" w:lineRule="exact"/>
              <w:rPr>
                <w:sz w:val="20"/>
                <w:szCs w:val="20"/>
                <w:color w:val="auto"/>
              </w:rPr>
            </w:pPr>
            <w:r>
              <w:rPr>
                <w:rFonts w:ascii="Arial" w:cs="Arial" w:eastAsia="Arial" w:hAnsi="Arial"/>
                <w:sz w:val="18"/>
                <w:szCs w:val="18"/>
                <w:color w:val="auto"/>
              </w:rPr>
              <w:t>SOLE VOTING POWER</w:t>
            </w:r>
          </w:p>
        </w:tc>
        <w:tc>
          <w:tcPr>
            <w:tcW w:w="24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652,173* shares of common stock issuable upon the optional conversion of the Note, all of which are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directly owned by BI. BCPI-P, the general partner of BI may be deemed to have sole power to vote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50"/>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these shares, except that BCPI-C, the general partner of BCPI-P may be deemed to have sole power to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80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vote these shares and Eisenberg, Naveh and Wurtman, the directors of BCPI-C, may be deemed to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have shared power to vote these shares.</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89"/>
              </w:rPr>
              <w:t>PERSON</w:t>
            </w:r>
          </w:p>
        </w:tc>
        <w:tc>
          <w:tcPr>
            <w:tcW w:w="68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00" w:type="dxa"/>
            <w:vAlign w:val="bottom"/>
            <w:tcBorders>
              <w:right w:val="single" w:sz="8" w:color="auto"/>
            </w:tcBorders>
          </w:tcPr>
          <w:p>
            <w:pPr>
              <w:jc w:val="center"/>
              <w:ind w:right="970"/>
              <w:spacing w:after="0" w:line="178" w:lineRule="exact"/>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6</w:t>
            </w:r>
          </w:p>
        </w:tc>
        <w:tc>
          <w:tcPr>
            <w:tcW w:w="4920" w:type="dxa"/>
            <w:vAlign w:val="bottom"/>
          </w:tcPr>
          <w:p>
            <w:pPr>
              <w:spacing w:after="0" w:line="178" w:lineRule="exact"/>
              <w:rPr>
                <w:sz w:val="20"/>
                <w:szCs w:val="20"/>
                <w:color w:val="auto"/>
              </w:rPr>
            </w:pPr>
            <w:r>
              <w:rPr>
                <w:rFonts w:ascii="Arial" w:cs="Arial" w:eastAsia="Arial" w:hAnsi="Arial"/>
                <w:sz w:val="18"/>
                <w:szCs w:val="18"/>
                <w:color w:val="auto"/>
              </w:rPr>
              <w:t>SHARED VOTING POWER</w:t>
            </w:r>
          </w:p>
        </w:tc>
        <w:tc>
          <w:tcPr>
            <w:tcW w:w="2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response to row 5.</w:t>
            </w: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7</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2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652,173* shares of common stock issuable upon the optional conversion of the Note, all of which are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directly owned by BI. BCPI-P, the general partner of BI may be deemed to have sole power to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dispose of these shares, except that BCPI-C, the general partner of BCPI-P may be deemed to have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sole power to dispose of these shares and Eisenberg, Naveh and Wurtman, the directors of BCPI-C,</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may be deemed to have shared power to dispose of these shares.</w:t>
            </w: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8</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c>
          <w:tcPr>
            <w:tcW w:w="2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response to row 7.</w:t>
            </w: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right w:val="single" w:sz="8" w:color="auto"/>
            </w:tcBorders>
          </w:tcPr>
          <w:p>
            <w:pPr>
              <w:spacing w:after="0"/>
              <w:rPr>
                <w:sz w:val="18"/>
                <w:szCs w:val="18"/>
                <w:color w:val="auto"/>
              </w:rPr>
            </w:pPr>
          </w:p>
        </w:tc>
        <w:tc>
          <w:tcPr>
            <w:tcW w:w="7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4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652,173</w:t>
            </w:r>
          </w:p>
        </w:tc>
        <w:tc>
          <w:tcPr>
            <w:tcW w:w="0" w:type="dxa"/>
            <w:vAlign w:val="bottom"/>
          </w:tcPr>
          <w:p>
            <w:pPr>
              <w:spacing w:after="0"/>
              <w:rPr>
                <w:sz w:val="1"/>
                <w:szCs w:val="1"/>
                <w:color w:val="auto"/>
              </w:rPr>
            </w:pPr>
          </w:p>
        </w:tc>
      </w:tr>
      <w:tr>
        <w:trPr>
          <w:trHeight w:val="195"/>
        </w:trPr>
        <w:tc>
          <w:tcPr>
            <w:tcW w:w="560" w:type="dxa"/>
            <w:vAlign w:val="bottom"/>
          </w:tcPr>
          <w:p>
            <w:pPr>
              <w:ind w:left="20"/>
              <w:spacing w:after="0" w:line="195" w:lineRule="exact"/>
              <w:rPr>
                <w:sz w:val="20"/>
                <w:szCs w:val="20"/>
                <w:color w:val="auto"/>
              </w:rPr>
            </w:pPr>
            <w:r>
              <w:rPr>
                <w:rFonts w:ascii="Arial" w:cs="Arial" w:eastAsia="Arial" w:hAnsi="Arial"/>
                <w:sz w:val="18"/>
                <w:szCs w:val="18"/>
                <w:color w:val="auto"/>
              </w:rPr>
              <w:t>10</w:t>
            </w:r>
          </w:p>
        </w:tc>
        <w:tc>
          <w:tcPr>
            <w:tcW w:w="500" w:type="dxa"/>
            <w:vAlign w:val="bottom"/>
            <w:tcBorders>
              <w:right w:val="single" w:sz="8" w:color="auto"/>
            </w:tcBorders>
          </w:tcPr>
          <w:p>
            <w:pPr>
              <w:spacing w:after="0"/>
              <w:rPr>
                <w:sz w:val="16"/>
                <w:szCs w:val="16"/>
                <w:color w:val="auto"/>
              </w:rPr>
            </w:pPr>
          </w:p>
        </w:tc>
        <w:tc>
          <w:tcPr>
            <w:tcW w:w="7900" w:type="dxa"/>
            <w:vAlign w:val="bottom"/>
            <w:gridSpan w:val="3"/>
          </w:tcPr>
          <w:p>
            <w:pPr>
              <w:spacing w:after="0" w:line="195" w:lineRule="exact"/>
              <w:rPr>
                <w:sz w:val="20"/>
                <w:szCs w:val="20"/>
                <w:color w:val="auto"/>
              </w:rPr>
            </w:pPr>
            <w:r>
              <w:rPr>
                <w:rFonts w:ascii="Arial" w:cs="Arial" w:eastAsia="Arial" w:hAnsi="Arial"/>
                <w:sz w:val="18"/>
                <w:szCs w:val="18"/>
                <w:color w:val="auto"/>
              </w:rPr>
              <w:t>CHECK BOX IF THE AGGREGATE AMOUNT IN ROW (9) EXCLUDES CERTAIN SHARES (SEE</w:t>
            </w:r>
          </w:p>
        </w:tc>
        <w:tc>
          <w:tcPr>
            <w:tcW w:w="2480" w:type="dxa"/>
            <w:vAlign w:val="bottom"/>
            <w:tcBorders>
              <w:right w:val="single" w:sz="8" w:color="auto"/>
            </w:tcBorders>
            <w:vMerge w:val="restart"/>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INSTRUCTIONS)</w:t>
            </w:r>
          </w:p>
        </w:tc>
        <w:tc>
          <w:tcPr>
            <w:tcW w:w="68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auto"/>
              <w:right w:val="single" w:sz="8" w:color="auto"/>
            </w:tcBorders>
          </w:tcPr>
          <w:p>
            <w:pPr>
              <w:spacing w:after="0"/>
              <w:rPr>
                <w:sz w:val="18"/>
                <w:szCs w:val="18"/>
                <w:color w:val="auto"/>
              </w:rPr>
            </w:pPr>
          </w:p>
        </w:tc>
        <w:tc>
          <w:tcPr>
            <w:tcW w:w="7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4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auto"/>
              <w:right w:val="single" w:sz="8" w:color="auto"/>
            </w:tcBorders>
          </w:tcPr>
          <w:p>
            <w:pPr>
              <w:spacing w:after="0"/>
              <w:rPr>
                <w:sz w:val="18"/>
                <w:szCs w:val="18"/>
                <w:color w:val="auto"/>
              </w:rPr>
            </w:pPr>
          </w:p>
        </w:tc>
        <w:tc>
          <w:tcPr>
            <w:tcW w:w="7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4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Note is convertible into the Issuer's common stock at a price of $1.38 or, if lower, 90% of the price at which securities are sold upon the consummation of the Issuer's immediate subsequent financing, but in no event shall the Issuer issue common stock upon conversion of the Note and the series of notes issued by the Issuer in excess of 19.99% of the total shares outstanding of the Issuer on the date of closing of the issuance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3880" w:type="dxa"/>
            <w:vAlign w:val="bottom"/>
            <w:tcBorders>
              <w:top w:val="single" w:sz="8" w:color="auto"/>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CUSIP NO. 92911N104</w:t>
            </w:r>
          </w:p>
        </w:tc>
        <w:tc>
          <w:tcPr>
            <w:tcW w:w="1700" w:type="dxa"/>
            <w:vAlign w:val="bottom"/>
            <w:tcBorders>
              <w:top w:val="single" w:sz="8" w:color="auto"/>
              <w:bottom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13 G</w:t>
            </w:r>
          </w:p>
        </w:tc>
        <w:tc>
          <w:tcPr>
            <w:tcW w:w="6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w w:val="84"/>
              </w:rPr>
              <w:t>Page 5 of 13 Pages</w:t>
            </w:r>
          </w:p>
        </w:tc>
        <w:tc>
          <w:tcPr>
            <w:tcW w:w="0" w:type="dxa"/>
            <w:vAlign w:val="bottom"/>
          </w:tcPr>
          <w:p>
            <w:pPr>
              <w:spacing w:after="0"/>
              <w:rPr>
                <w:sz w:val="1"/>
                <w:szCs w:val="1"/>
                <w:color w:val="auto"/>
              </w:rPr>
            </w:pPr>
          </w:p>
        </w:tc>
      </w:tr>
      <w:tr>
        <w:trPr>
          <w:trHeight w:val="257"/>
        </w:trPr>
        <w:tc>
          <w:tcPr>
            <w:tcW w:w="106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tcPr>
          <w:p>
            <w:pPr>
              <w:spacing w:after="0"/>
              <w:rPr>
                <w:sz w:val="22"/>
                <w:szCs w:val="22"/>
                <w:color w:val="auto"/>
              </w:rPr>
            </w:pPr>
          </w:p>
        </w:tc>
        <w:tc>
          <w:tcPr>
            <w:tcW w:w="4240" w:type="dxa"/>
            <w:vAlign w:val="bottom"/>
            <w:tcBorders>
              <w:bottom w:val="single" w:sz="8" w:color="auto"/>
            </w:tcBorders>
            <w:gridSpan w:val="3"/>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60" w:type="dxa"/>
            <w:vAlign w:val="bottom"/>
            <w:tcBorders>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1</w:t>
            </w:r>
          </w:p>
        </w:tc>
        <w:tc>
          <w:tcPr>
            <w:tcW w:w="282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w w:val="97"/>
              </w:rPr>
              <w:t>NAMES OF REPORTING PERSON</w:t>
            </w:r>
          </w:p>
        </w:tc>
        <w:tc>
          <w:tcPr>
            <w:tcW w:w="4240" w:type="dxa"/>
            <w:vAlign w:val="bottom"/>
            <w:tcBorders>
              <w:bottom w:val="single" w:sz="8" w:color="auto"/>
            </w:tcBorders>
            <w:gridSpan w:val="3"/>
          </w:tcPr>
          <w:p>
            <w:pPr>
              <w:ind w:left="140"/>
              <w:spacing w:after="0" w:line="189" w:lineRule="exact"/>
              <w:rPr>
                <w:sz w:val="20"/>
                <w:szCs w:val="20"/>
                <w:color w:val="auto"/>
              </w:rPr>
            </w:pPr>
            <w:r>
              <w:rPr>
                <w:rFonts w:ascii="Arial" w:cs="Arial" w:eastAsia="Arial" w:hAnsi="Arial"/>
                <w:sz w:val="18"/>
                <w:szCs w:val="18"/>
                <w:color w:val="auto"/>
              </w:rPr>
              <w:t>Michael A. Eisenberg</w:t>
            </w: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060" w:type="dxa"/>
            <w:vAlign w:val="bottom"/>
          </w:tcPr>
          <w:p>
            <w:pPr>
              <w:ind w:left="20"/>
              <w:spacing w:after="0" w:line="178" w:lineRule="exact"/>
              <w:rPr>
                <w:sz w:val="20"/>
                <w:szCs w:val="20"/>
                <w:color w:val="auto"/>
              </w:rPr>
            </w:pPr>
            <w:r>
              <w:rPr>
                <w:rFonts w:ascii="Arial" w:cs="Arial" w:eastAsia="Arial" w:hAnsi="Arial"/>
                <w:sz w:val="18"/>
                <w:szCs w:val="18"/>
                <w:color w:val="auto"/>
              </w:rPr>
              <w:t>2</w:t>
            </w:r>
          </w:p>
        </w:tc>
        <w:tc>
          <w:tcPr>
            <w:tcW w:w="7060" w:type="dxa"/>
            <w:vAlign w:val="bottom"/>
            <w:gridSpan w:val="4"/>
          </w:tcPr>
          <w:p>
            <w:pPr>
              <w:spacing w:after="0" w:line="178" w:lineRule="exact"/>
              <w:rPr>
                <w:sz w:val="20"/>
                <w:szCs w:val="20"/>
                <w:color w:val="auto"/>
              </w:rPr>
            </w:pPr>
            <w:r>
              <w:rPr>
                <w:rFonts w:ascii="Arial" w:cs="Arial" w:eastAsia="Arial" w:hAnsi="Arial"/>
                <w:sz w:val="18"/>
                <w:szCs w:val="18"/>
                <w:color w:val="auto"/>
              </w:rPr>
              <w:t>CHECK THE APPROPRIATE BOX IF A MEMBER OF A GROUP</w:t>
            </w:r>
          </w:p>
        </w:tc>
        <w:tc>
          <w:tcPr>
            <w:tcW w:w="64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1060" w:type="dxa"/>
            <w:vAlign w:val="bottom"/>
          </w:tcPr>
          <w:p>
            <w:pPr>
              <w:spacing w:after="0"/>
              <w:rPr>
                <w:sz w:val="21"/>
                <w:szCs w:val="21"/>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(SEE INSTRUCTIONS)</w:t>
            </w:r>
          </w:p>
        </w:tc>
        <w:tc>
          <w:tcPr>
            <w:tcW w:w="17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(a)</w:t>
            </w:r>
          </w:p>
        </w:tc>
        <w:tc>
          <w:tcPr>
            <w:tcW w:w="640" w:type="dxa"/>
            <w:vAlign w:val="bottom"/>
            <w:vMerge w:val="continue"/>
          </w:tcPr>
          <w:p>
            <w:pPr>
              <w:spacing w:after="0"/>
              <w:rPr>
                <w:sz w:val="21"/>
                <w:szCs w:val="21"/>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(b)</w:t>
            </w:r>
          </w:p>
        </w:tc>
        <w:tc>
          <w:tcPr>
            <w:tcW w:w="1940" w:type="dxa"/>
            <w:vAlign w:val="bottom"/>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381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816350"/>
                    </a:xfrm>
                    <a:prstGeom prst="rect">
                      <a:avLst/>
                    </a:prstGeom>
                    <a:noFill/>
                  </pic:spPr>
                </pic:pic>
              </a:graphicData>
            </a:graphic>
          </wp:anchor>
        </w:drawing>
      </w:r>
    </w:p>
    <w:p>
      <w:pPr>
        <w:ind w:left="1060" w:hanging="1038"/>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1060" w:right="6680" w:hanging="1038"/>
        <w:spacing w:after="0" w:line="268"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179"/>
        </w:trPr>
        <w:tc>
          <w:tcPr>
            <w:tcW w:w="5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300" w:type="dxa"/>
            <w:vAlign w:val="bottom"/>
            <w:tcBorders>
              <w:top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5</w:t>
            </w:r>
          </w:p>
        </w:tc>
        <w:tc>
          <w:tcPr>
            <w:tcW w:w="4860" w:type="dxa"/>
            <w:vAlign w:val="bottom"/>
            <w:tcBorders>
              <w:top w:val="single" w:sz="8" w:color="auto"/>
            </w:tcBorders>
          </w:tcPr>
          <w:p>
            <w:pPr>
              <w:spacing w:after="0" w:line="179" w:lineRule="exact"/>
              <w:rPr>
                <w:sz w:val="20"/>
                <w:szCs w:val="20"/>
                <w:color w:val="auto"/>
              </w:rPr>
            </w:pPr>
            <w:r>
              <w:rPr>
                <w:rFonts w:ascii="Arial" w:cs="Arial" w:eastAsia="Arial" w:hAnsi="Arial"/>
                <w:sz w:val="18"/>
                <w:szCs w:val="18"/>
                <w:color w:val="auto"/>
              </w:rPr>
              <w:t>SOLE VOTING POWER</w:t>
            </w:r>
          </w:p>
        </w:tc>
        <w:tc>
          <w:tcPr>
            <w:tcW w:w="25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right w:val="single" w:sz="8" w:color="auto"/>
            </w:tcBorders>
          </w:tcPr>
          <w:p>
            <w:pPr>
              <w:spacing w:after="0"/>
              <w:rPr>
                <w:sz w:val="21"/>
                <w:szCs w:val="21"/>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responses to row 6.</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00" w:type="dxa"/>
            <w:vAlign w:val="bottom"/>
            <w:tcBorders>
              <w:right w:val="single" w:sz="8" w:color="auto"/>
            </w:tcBorders>
          </w:tcPr>
          <w:p>
            <w:pPr>
              <w:jc w:val="center"/>
              <w:ind w:right="970"/>
              <w:spacing w:after="0" w:line="178" w:lineRule="exact"/>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6</w:t>
            </w:r>
          </w:p>
        </w:tc>
        <w:tc>
          <w:tcPr>
            <w:tcW w:w="4860" w:type="dxa"/>
            <w:vAlign w:val="bottom"/>
          </w:tcPr>
          <w:p>
            <w:pPr>
              <w:spacing w:after="0" w:line="178" w:lineRule="exact"/>
              <w:rPr>
                <w:sz w:val="20"/>
                <w:szCs w:val="20"/>
                <w:color w:val="auto"/>
              </w:rPr>
            </w:pPr>
            <w:r>
              <w:rPr>
                <w:rFonts w:ascii="Arial" w:cs="Arial" w:eastAsia="Arial" w:hAnsi="Arial"/>
                <w:sz w:val="18"/>
                <w:szCs w:val="18"/>
                <w:color w:val="auto"/>
              </w:rPr>
              <w:t>SHARED VOTING POWER</w:t>
            </w: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50"/>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652,173* shares of common stock issuable upon the optional conversion of the Note, all of which are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80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directly owned by BI. BCPI-P, the general partner of BI may be deemed to have sole power to vote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these shares, except that BCPI-C, the general partner of BCPI-P may be deemed to have sole power to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vote these shares and Eisenberg, a director of BCPI-C, may be deemed to have shared power to vote</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right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these shares.</w:t>
            </w: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7</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2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responses to row 8.</w:t>
            </w: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8</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c>
          <w:tcPr>
            <w:tcW w:w="2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652,173*shares of common stock issuable upon the optional conversion of the Note, all of which are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directly owned by BI. BCPI-P, the general partner of BI may be deemed to have sole power to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dispose of these shares, except that BCPI-C, the general partner of BCPI-P may be deemed to have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sole power to dispose of these shares and Eisenberg, a director of BCPI-C, may be deemed to have</w:t>
            </w: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shared power to dispose of these shares.</w:t>
            </w: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652,173</w:t>
            </w:r>
          </w:p>
        </w:tc>
        <w:tc>
          <w:tcPr>
            <w:tcW w:w="0" w:type="dxa"/>
            <w:vAlign w:val="bottom"/>
          </w:tcPr>
          <w:p>
            <w:pPr>
              <w:spacing w:after="0"/>
              <w:rPr>
                <w:sz w:val="1"/>
                <w:szCs w:val="1"/>
                <w:color w:val="auto"/>
              </w:rPr>
            </w:pPr>
          </w:p>
        </w:tc>
      </w:tr>
      <w:tr>
        <w:trPr>
          <w:trHeight w:val="195"/>
        </w:trPr>
        <w:tc>
          <w:tcPr>
            <w:tcW w:w="560" w:type="dxa"/>
            <w:vAlign w:val="bottom"/>
          </w:tcPr>
          <w:p>
            <w:pPr>
              <w:ind w:left="20"/>
              <w:spacing w:after="0" w:line="195" w:lineRule="exact"/>
              <w:rPr>
                <w:sz w:val="20"/>
                <w:szCs w:val="20"/>
                <w:color w:val="auto"/>
              </w:rPr>
            </w:pPr>
            <w:r>
              <w:rPr>
                <w:rFonts w:ascii="Arial" w:cs="Arial" w:eastAsia="Arial" w:hAnsi="Arial"/>
                <w:sz w:val="18"/>
                <w:szCs w:val="18"/>
                <w:color w:val="auto"/>
              </w:rPr>
              <w:t>10</w:t>
            </w:r>
          </w:p>
        </w:tc>
        <w:tc>
          <w:tcPr>
            <w:tcW w:w="500" w:type="dxa"/>
            <w:vAlign w:val="bottom"/>
            <w:tcBorders>
              <w:right w:val="single" w:sz="8" w:color="auto"/>
            </w:tcBorders>
          </w:tcPr>
          <w:p>
            <w:pPr>
              <w:spacing w:after="0"/>
              <w:rPr>
                <w:sz w:val="16"/>
                <w:szCs w:val="16"/>
                <w:color w:val="auto"/>
              </w:rPr>
            </w:pPr>
          </w:p>
        </w:tc>
        <w:tc>
          <w:tcPr>
            <w:tcW w:w="7840" w:type="dxa"/>
            <w:vAlign w:val="bottom"/>
            <w:gridSpan w:val="3"/>
          </w:tcPr>
          <w:p>
            <w:pPr>
              <w:spacing w:after="0" w:line="195" w:lineRule="exact"/>
              <w:rPr>
                <w:sz w:val="20"/>
                <w:szCs w:val="20"/>
                <w:color w:val="auto"/>
              </w:rPr>
            </w:pPr>
            <w:r>
              <w:rPr>
                <w:rFonts w:ascii="Arial" w:cs="Arial" w:eastAsia="Arial" w:hAnsi="Arial"/>
                <w:sz w:val="18"/>
                <w:szCs w:val="18"/>
                <w:color w:val="auto"/>
              </w:rPr>
              <w:t>CHECK BOX IF THE AGGREGATE AMOUNT IN ROW (9) EXCLUDES CERTAIN SHARES (SEE</w:t>
            </w:r>
          </w:p>
        </w:tc>
        <w:tc>
          <w:tcPr>
            <w:tcW w:w="2540" w:type="dxa"/>
            <w:vAlign w:val="bottom"/>
            <w:tcBorders>
              <w:right w:val="single" w:sz="8" w:color="auto"/>
            </w:tcBorders>
            <w:vMerge w:val="restart"/>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INSTRUCTIONS)</w:t>
            </w:r>
          </w:p>
        </w:tc>
        <w:tc>
          <w:tcPr>
            <w:tcW w:w="68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25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Note is convertible into the Issuer's common stock at a price of $1.38 or, if lower, 90% of the price at which securities are sold upon the consummation of the Issuer's immediate subsequent financing, but in no event shall the Issuer issue common stock upon conversion of the Note and the series of notes issued by the Issuer in excess of 19.99% of the total shares outstanding of the Issuer on the date of closing of the issuance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3880" w:type="dxa"/>
            <w:vAlign w:val="bottom"/>
            <w:tcBorders>
              <w:top w:val="single" w:sz="8" w:color="auto"/>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CUSIP NO. 92911N104</w:t>
            </w:r>
          </w:p>
        </w:tc>
        <w:tc>
          <w:tcPr>
            <w:tcW w:w="1700" w:type="dxa"/>
            <w:vAlign w:val="bottom"/>
            <w:tcBorders>
              <w:top w:val="single" w:sz="8" w:color="auto"/>
              <w:bottom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13 G</w:t>
            </w:r>
          </w:p>
        </w:tc>
        <w:tc>
          <w:tcPr>
            <w:tcW w:w="6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w w:val="84"/>
              </w:rPr>
              <w:t>Page 6 of 13 Pages</w:t>
            </w:r>
          </w:p>
        </w:tc>
        <w:tc>
          <w:tcPr>
            <w:tcW w:w="0" w:type="dxa"/>
            <w:vAlign w:val="bottom"/>
          </w:tcPr>
          <w:p>
            <w:pPr>
              <w:spacing w:after="0"/>
              <w:rPr>
                <w:sz w:val="1"/>
                <w:szCs w:val="1"/>
                <w:color w:val="auto"/>
              </w:rPr>
            </w:pPr>
          </w:p>
        </w:tc>
      </w:tr>
      <w:tr>
        <w:trPr>
          <w:trHeight w:val="257"/>
        </w:trPr>
        <w:tc>
          <w:tcPr>
            <w:tcW w:w="106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tcPr>
          <w:p>
            <w:pPr>
              <w:spacing w:after="0"/>
              <w:rPr>
                <w:sz w:val="22"/>
                <w:szCs w:val="22"/>
                <w:color w:val="auto"/>
              </w:rPr>
            </w:pPr>
          </w:p>
        </w:tc>
        <w:tc>
          <w:tcPr>
            <w:tcW w:w="4240" w:type="dxa"/>
            <w:vAlign w:val="bottom"/>
            <w:tcBorders>
              <w:bottom w:val="single" w:sz="8" w:color="auto"/>
            </w:tcBorders>
            <w:gridSpan w:val="3"/>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60" w:type="dxa"/>
            <w:vAlign w:val="bottom"/>
            <w:tcBorders>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1</w:t>
            </w:r>
          </w:p>
        </w:tc>
        <w:tc>
          <w:tcPr>
            <w:tcW w:w="282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w w:val="97"/>
              </w:rPr>
              <w:t>NAMES OF REPORTING PERSON</w:t>
            </w:r>
          </w:p>
        </w:tc>
        <w:tc>
          <w:tcPr>
            <w:tcW w:w="4240" w:type="dxa"/>
            <w:vAlign w:val="bottom"/>
            <w:tcBorders>
              <w:bottom w:val="single" w:sz="8" w:color="auto"/>
            </w:tcBorders>
            <w:gridSpan w:val="3"/>
          </w:tcPr>
          <w:p>
            <w:pPr>
              <w:ind w:left="140"/>
              <w:spacing w:after="0" w:line="189" w:lineRule="exact"/>
              <w:rPr>
                <w:sz w:val="20"/>
                <w:szCs w:val="20"/>
                <w:color w:val="auto"/>
              </w:rPr>
            </w:pPr>
            <w:r>
              <w:rPr>
                <w:rFonts w:ascii="Arial" w:cs="Arial" w:eastAsia="Arial" w:hAnsi="Arial"/>
                <w:sz w:val="18"/>
                <w:szCs w:val="18"/>
                <w:color w:val="auto"/>
              </w:rPr>
              <w:t>Arad Naveh</w:t>
            </w: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060" w:type="dxa"/>
            <w:vAlign w:val="bottom"/>
          </w:tcPr>
          <w:p>
            <w:pPr>
              <w:ind w:left="20"/>
              <w:spacing w:after="0" w:line="178" w:lineRule="exact"/>
              <w:rPr>
                <w:sz w:val="20"/>
                <w:szCs w:val="20"/>
                <w:color w:val="auto"/>
              </w:rPr>
            </w:pPr>
            <w:r>
              <w:rPr>
                <w:rFonts w:ascii="Arial" w:cs="Arial" w:eastAsia="Arial" w:hAnsi="Arial"/>
                <w:sz w:val="18"/>
                <w:szCs w:val="18"/>
                <w:color w:val="auto"/>
              </w:rPr>
              <w:t>2</w:t>
            </w:r>
          </w:p>
        </w:tc>
        <w:tc>
          <w:tcPr>
            <w:tcW w:w="7060" w:type="dxa"/>
            <w:vAlign w:val="bottom"/>
            <w:gridSpan w:val="4"/>
          </w:tcPr>
          <w:p>
            <w:pPr>
              <w:spacing w:after="0" w:line="178" w:lineRule="exact"/>
              <w:rPr>
                <w:sz w:val="20"/>
                <w:szCs w:val="20"/>
                <w:color w:val="auto"/>
              </w:rPr>
            </w:pPr>
            <w:r>
              <w:rPr>
                <w:rFonts w:ascii="Arial" w:cs="Arial" w:eastAsia="Arial" w:hAnsi="Arial"/>
                <w:sz w:val="18"/>
                <w:szCs w:val="18"/>
                <w:color w:val="auto"/>
              </w:rPr>
              <w:t>CHECK THE APPROPRIATE BOX IF A MEMBER OF A GROUP</w:t>
            </w:r>
          </w:p>
        </w:tc>
        <w:tc>
          <w:tcPr>
            <w:tcW w:w="64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1060" w:type="dxa"/>
            <w:vAlign w:val="bottom"/>
          </w:tcPr>
          <w:p>
            <w:pPr>
              <w:spacing w:after="0"/>
              <w:rPr>
                <w:sz w:val="21"/>
                <w:szCs w:val="21"/>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(SEE INSTRUCTIONS)</w:t>
            </w:r>
          </w:p>
        </w:tc>
        <w:tc>
          <w:tcPr>
            <w:tcW w:w="17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(a)</w:t>
            </w:r>
          </w:p>
        </w:tc>
        <w:tc>
          <w:tcPr>
            <w:tcW w:w="640" w:type="dxa"/>
            <w:vAlign w:val="bottom"/>
            <w:vMerge w:val="continue"/>
          </w:tcPr>
          <w:p>
            <w:pPr>
              <w:spacing w:after="0"/>
              <w:rPr>
                <w:sz w:val="21"/>
                <w:szCs w:val="21"/>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(b)</w:t>
            </w:r>
          </w:p>
        </w:tc>
        <w:tc>
          <w:tcPr>
            <w:tcW w:w="1940" w:type="dxa"/>
            <w:vAlign w:val="bottom"/>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381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816350"/>
                    </a:xfrm>
                    <a:prstGeom prst="rect">
                      <a:avLst/>
                    </a:prstGeom>
                    <a:noFill/>
                  </pic:spPr>
                </pic:pic>
              </a:graphicData>
            </a:graphic>
          </wp:anchor>
        </w:drawing>
      </w:r>
    </w:p>
    <w:p>
      <w:pPr>
        <w:ind w:left="1060" w:hanging="1038"/>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1060" w:right="6680" w:hanging="1038"/>
        <w:spacing w:after="0" w:line="268"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179"/>
        </w:trPr>
        <w:tc>
          <w:tcPr>
            <w:tcW w:w="5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300" w:type="dxa"/>
            <w:vAlign w:val="bottom"/>
            <w:tcBorders>
              <w:top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5</w:t>
            </w:r>
          </w:p>
        </w:tc>
        <w:tc>
          <w:tcPr>
            <w:tcW w:w="4860" w:type="dxa"/>
            <w:vAlign w:val="bottom"/>
            <w:tcBorders>
              <w:top w:val="single" w:sz="8" w:color="auto"/>
            </w:tcBorders>
          </w:tcPr>
          <w:p>
            <w:pPr>
              <w:spacing w:after="0" w:line="179" w:lineRule="exact"/>
              <w:rPr>
                <w:sz w:val="20"/>
                <w:szCs w:val="20"/>
                <w:color w:val="auto"/>
              </w:rPr>
            </w:pPr>
            <w:r>
              <w:rPr>
                <w:rFonts w:ascii="Arial" w:cs="Arial" w:eastAsia="Arial" w:hAnsi="Arial"/>
                <w:sz w:val="18"/>
                <w:szCs w:val="18"/>
                <w:color w:val="auto"/>
              </w:rPr>
              <w:t>SOLE VOTING POWER</w:t>
            </w:r>
          </w:p>
        </w:tc>
        <w:tc>
          <w:tcPr>
            <w:tcW w:w="25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right w:val="single" w:sz="8" w:color="auto"/>
            </w:tcBorders>
          </w:tcPr>
          <w:p>
            <w:pPr>
              <w:spacing w:after="0"/>
              <w:rPr>
                <w:sz w:val="21"/>
                <w:szCs w:val="21"/>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responses to row 6.</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00" w:type="dxa"/>
            <w:vAlign w:val="bottom"/>
            <w:tcBorders>
              <w:right w:val="single" w:sz="8" w:color="auto"/>
            </w:tcBorders>
          </w:tcPr>
          <w:p>
            <w:pPr>
              <w:jc w:val="center"/>
              <w:ind w:right="970"/>
              <w:spacing w:after="0" w:line="178" w:lineRule="exact"/>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6</w:t>
            </w:r>
          </w:p>
        </w:tc>
        <w:tc>
          <w:tcPr>
            <w:tcW w:w="4860" w:type="dxa"/>
            <w:vAlign w:val="bottom"/>
          </w:tcPr>
          <w:p>
            <w:pPr>
              <w:spacing w:after="0" w:line="178" w:lineRule="exact"/>
              <w:rPr>
                <w:sz w:val="20"/>
                <w:szCs w:val="20"/>
                <w:color w:val="auto"/>
              </w:rPr>
            </w:pPr>
            <w:r>
              <w:rPr>
                <w:rFonts w:ascii="Arial" w:cs="Arial" w:eastAsia="Arial" w:hAnsi="Arial"/>
                <w:sz w:val="18"/>
                <w:szCs w:val="18"/>
                <w:color w:val="auto"/>
              </w:rPr>
              <w:t>SHARED VOTING POWER</w:t>
            </w: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50"/>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652,173* shares of common stock issuable upon the optional conversion of the Note, all of which are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80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directly owned by BI. BCPI-P, the general partner of BI may be deemed to have sole power to vote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these shares, except that BCPI-C, the general partner of BCPI-P may be deemed to have sole power to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8"/>
              </w:rPr>
              <w:t>vote these shares and Naveh, a director of BCPI-C, may be deemed to have shared power to vote these</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right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shares.</w:t>
            </w: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7</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2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responses to row 8.</w:t>
            </w: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8</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c>
          <w:tcPr>
            <w:tcW w:w="2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652,173*shares of common stock issuable upon the optional conversion of the Note, all of which are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directly owned by BI. BCPI-P, the general partner of BI may be deemed to have sole power to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dispose of these shares, except that BCPI-C, the general partner of BCPI-P may be deemed to have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8"/>
              </w:rPr>
              <w:t>sole power to dispose of these shares and Naveh, a director of BCPI-C, may be deemed to have shared</w:t>
            </w: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power to dispose of these shares.</w:t>
            </w: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652,173</w:t>
            </w:r>
          </w:p>
        </w:tc>
        <w:tc>
          <w:tcPr>
            <w:tcW w:w="0" w:type="dxa"/>
            <w:vAlign w:val="bottom"/>
          </w:tcPr>
          <w:p>
            <w:pPr>
              <w:spacing w:after="0"/>
              <w:rPr>
                <w:sz w:val="1"/>
                <w:szCs w:val="1"/>
                <w:color w:val="auto"/>
              </w:rPr>
            </w:pPr>
          </w:p>
        </w:tc>
      </w:tr>
      <w:tr>
        <w:trPr>
          <w:trHeight w:val="195"/>
        </w:trPr>
        <w:tc>
          <w:tcPr>
            <w:tcW w:w="560" w:type="dxa"/>
            <w:vAlign w:val="bottom"/>
          </w:tcPr>
          <w:p>
            <w:pPr>
              <w:ind w:left="20"/>
              <w:spacing w:after="0" w:line="195" w:lineRule="exact"/>
              <w:rPr>
                <w:sz w:val="20"/>
                <w:szCs w:val="20"/>
                <w:color w:val="auto"/>
              </w:rPr>
            </w:pPr>
            <w:r>
              <w:rPr>
                <w:rFonts w:ascii="Arial" w:cs="Arial" w:eastAsia="Arial" w:hAnsi="Arial"/>
                <w:sz w:val="18"/>
                <w:szCs w:val="18"/>
                <w:color w:val="auto"/>
              </w:rPr>
              <w:t>10</w:t>
            </w:r>
          </w:p>
        </w:tc>
        <w:tc>
          <w:tcPr>
            <w:tcW w:w="500" w:type="dxa"/>
            <w:vAlign w:val="bottom"/>
            <w:tcBorders>
              <w:right w:val="single" w:sz="8" w:color="auto"/>
            </w:tcBorders>
          </w:tcPr>
          <w:p>
            <w:pPr>
              <w:spacing w:after="0"/>
              <w:rPr>
                <w:sz w:val="16"/>
                <w:szCs w:val="16"/>
                <w:color w:val="auto"/>
              </w:rPr>
            </w:pPr>
          </w:p>
        </w:tc>
        <w:tc>
          <w:tcPr>
            <w:tcW w:w="7840" w:type="dxa"/>
            <w:vAlign w:val="bottom"/>
            <w:gridSpan w:val="3"/>
          </w:tcPr>
          <w:p>
            <w:pPr>
              <w:spacing w:after="0" w:line="195" w:lineRule="exact"/>
              <w:rPr>
                <w:sz w:val="20"/>
                <w:szCs w:val="20"/>
                <w:color w:val="auto"/>
              </w:rPr>
            </w:pPr>
            <w:r>
              <w:rPr>
                <w:rFonts w:ascii="Arial" w:cs="Arial" w:eastAsia="Arial" w:hAnsi="Arial"/>
                <w:sz w:val="18"/>
                <w:szCs w:val="18"/>
                <w:color w:val="auto"/>
              </w:rPr>
              <w:t>CHECK BOX IF THE AGGREGATE AMOUNT IN ROW (9) EXCLUDES CERTAIN SHARES (SEE</w:t>
            </w:r>
          </w:p>
        </w:tc>
        <w:tc>
          <w:tcPr>
            <w:tcW w:w="2540" w:type="dxa"/>
            <w:vAlign w:val="bottom"/>
            <w:tcBorders>
              <w:right w:val="single" w:sz="8" w:color="auto"/>
            </w:tcBorders>
            <w:vMerge w:val="restart"/>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INSTRUCTIONS)</w:t>
            </w:r>
          </w:p>
        </w:tc>
        <w:tc>
          <w:tcPr>
            <w:tcW w:w="68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25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Note is convertible into the Issuer's common stock at a price of $1.38 or, if lower, 90% of the price at which securities are sold upon the consummation of the Issuer's immediate subsequent financing, but in no event shall the Issuer issue common stock upon conversion of the Note and the series of notes issued by the Issuer in excess of 19.99% of the total shares outstanding of the Issuer on the date of closing of the issuance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0"/>
        </w:trPr>
        <w:tc>
          <w:tcPr>
            <w:tcW w:w="3880" w:type="dxa"/>
            <w:vAlign w:val="bottom"/>
            <w:tcBorders>
              <w:top w:val="single" w:sz="8" w:color="auto"/>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CUSIP NO. 92911N104</w:t>
            </w:r>
          </w:p>
        </w:tc>
        <w:tc>
          <w:tcPr>
            <w:tcW w:w="1700" w:type="dxa"/>
            <w:vAlign w:val="bottom"/>
            <w:tcBorders>
              <w:top w:val="single" w:sz="8" w:color="auto"/>
              <w:bottom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13 G</w:t>
            </w:r>
          </w:p>
        </w:tc>
        <w:tc>
          <w:tcPr>
            <w:tcW w:w="6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w w:val="84"/>
              </w:rPr>
              <w:t>Page 7 of 13 Pages</w:t>
            </w:r>
          </w:p>
        </w:tc>
        <w:tc>
          <w:tcPr>
            <w:tcW w:w="0" w:type="dxa"/>
            <w:vAlign w:val="bottom"/>
          </w:tcPr>
          <w:p>
            <w:pPr>
              <w:spacing w:after="0"/>
              <w:rPr>
                <w:sz w:val="1"/>
                <w:szCs w:val="1"/>
                <w:color w:val="auto"/>
              </w:rPr>
            </w:pPr>
          </w:p>
        </w:tc>
      </w:tr>
      <w:tr>
        <w:trPr>
          <w:trHeight w:val="257"/>
        </w:trPr>
        <w:tc>
          <w:tcPr>
            <w:tcW w:w="106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tcPr>
          <w:p>
            <w:pPr>
              <w:spacing w:after="0"/>
              <w:rPr>
                <w:sz w:val="22"/>
                <w:szCs w:val="22"/>
                <w:color w:val="auto"/>
              </w:rPr>
            </w:pPr>
          </w:p>
        </w:tc>
        <w:tc>
          <w:tcPr>
            <w:tcW w:w="4240" w:type="dxa"/>
            <w:vAlign w:val="bottom"/>
            <w:tcBorders>
              <w:bottom w:val="single" w:sz="8" w:color="auto"/>
            </w:tcBorders>
            <w:gridSpan w:val="3"/>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60" w:type="dxa"/>
            <w:vAlign w:val="bottom"/>
            <w:tcBorders>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1</w:t>
            </w:r>
          </w:p>
        </w:tc>
        <w:tc>
          <w:tcPr>
            <w:tcW w:w="282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w w:val="97"/>
              </w:rPr>
              <w:t>NAMES OF REPORTING PERSON</w:t>
            </w:r>
          </w:p>
        </w:tc>
        <w:tc>
          <w:tcPr>
            <w:tcW w:w="4240" w:type="dxa"/>
            <w:vAlign w:val="bottom"/>
            <w:tcBorders>
              <w:bottom w:val="single" w:sz="8" w:color="auto"/>
            </w:tcBorders>
            <w:gridSpan w:val="3"/>
          </w:tcPr>
          <w:p>
            <w:pPr>
              <w:ind w:left="140"/>
              <w:spacing w:after="0" w:line="189" w:lineRule="exact"/>
              <w:rPr>
                <w:sz w:val="20"/>
                <w:szCs w:val="20"/>
                <w:color w:val="auto"/>
              </w:rPr>
            </w:pPr>
            <w:r>
              <w:rPr>
                <w:rFonts w:ascii="Arial" w:cs="Arial" w:eastAsia="Arial" w:hAnsi="Arial"/>
                <w:sz w:val="18"/>
                <w:szCs w:val="18"/>
                <w:color w:val="auto"/>
              </w:rPr>
              <w:t>Elie Wurtman</w:t>
            </w: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060" w:type="dxa"/>
            <w:vAlign w:val="bottom"/>
          </w:tcPr>
          <w:p>
            <w:pPr>
              <w:ind w:left="20"/>
              <w:spacing w:after="0" w:line="178" w:lineRule="exact"/>
              <w:rPr>
                <w:sz w:val="20"/>
                <w:szCs w:val="20"/>
                <w:color w:val="auto"/>
              </w:rPr>
            </w:pPr>
            <w:r>
              <w:rPr>
                <w:rFonts w:ascii="Arial" w:cs="Arial" w:eastAsia="Arial" w:hAnsi="Arial"/>
                <w:sz w:val="18"/>
                <w:szCs w:val="18"/>
                <w:color w:val="auto"/>
              </w:rPr>
              <w:t>2</w:t>
            </w:r>
          </w:p>
        </w:tc>
        <w:tc>
          <w:tcPr>
            <w:tcW w:w="7060" w:type="dxa"/>
            <w:vAlign w:val="bottom"/>
            <w:gridSpan w:val="4"/>
          </w:tcPr>
          <w:p>
            <w:pPr>
              <w:spacing w:after="0" w:line="178" w:lineRule="exact"/>
              <w:rPr>
                <w:sz w:val="20"/>
                <w:szCs w:val="20"/>
                <w:color w:val="auto"/>
              </w:rPr>
            </w:pPr>
            <w:r>
              <w:rPr>
                <w:rFonts w:ascii="Arial" w:cs="Arial" w:eastAsia="Arial" w:hAnsi="Arial"/>
                <w:sz w:val="18"/>
                <w:szCs w:val="18"/>
                <w:color w:val="auto"/>
              </w:rPr>
              <w:t>CHECK THE APPROPRIATE BOX IF A MEMBER OF A GROUP</w:t>
            </w:r>
          </w:p>
        </w:tc>
        <w:tc>
          <w:tcPr>
            <w:tcW w:w="64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1060" w:type="dxa"/>
            <w:vAlign w:val="bottom"/>
          </w:tcPr>
          <w:p>
            <w:pPr>
              <w:spacing w:after="0"/>
              <w:rPr>
                <w:sz w:val="21"/>
                <w:szCs w:val="21"/>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(SEE INSTRUCTIONS)</w:t>
            </w:r>
          </w:p>
        </w:tc>
        <w:tc>
          <w:tcPr>
            <w:tcW w:w="17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(a)</w:t>
            </w:r>
          </w:p>
        </w:tc>
        <w:tc>
          <w:tcPr>
            <w:tcW w:w="640" w:type="dxa"/>
            <w:vAlign w:val="bottom"/>
            <w:vMerge w:val="continue"/>
          </w:tcPr>
          <w:p>
            <w:pPr>
              <w:spacing w:after="0"/>
              <w:rPr>
                <w:sz w:val="21"/>
                <w:szCs w:val="21"/>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(b)</w:t>
            </w:r>
          </w:p>
        </w:tc>
        <w:tc>
          <w:tcPr>
            <w:tcW w:w="1940" w:type="dxa"/>
            <w:vAlign w:val="bottom"/>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381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816350"/>
                    </a:xfrm>
                    <a:prstGeom prst="rect">
                      <a:avLst/>
                    </a:prstGeom>
                    <a:noFill/>
                  </pic:spPr>
                </pic:pic>
              </a:graphicData>
            </a:graphic>
          </wp:anchor>
        </w:drawing>
      </w:r>
    </w:p>
    <w:p>
      <w:pPr>
        <w:ind w:left="1060" w:hanging="1038"/>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1060" w:right="6680" w:hanging="1038"/>
        <w:spacing w:after="0" w:line="26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179"/>
        </w:trPr>
        <w:tc>
          <w:tcPr>
            <w:tcW w:w="5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300" w:type="dxa"/>
            <w:vAlign w:val="bottom"/>
            <w:tcBorders>
              <w:top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5</w:t>
            </w:r>
          </w:p>
        </w:tc>
        <w:tc>
          <w:tcPr>
            <w:tcW w:w="4860" w:type="dxa"/>
            <w:vAlign w:val="bottom"/>
            <w:tcBorders>
              <w:top w:val="single" w:sz="8" w:color="auto"/>
            </w:tcBorders>
          </w:tcPr>
          <w:p>
            <w:pPr>
              <w:spacing w:after="0" w:line="179" w:lineRule="exact"/>
              <w:rPr>
                <w:sz w:val="20"/>
                <w:szCs w:val="20"/>
                <w:color w:val="auto"/>
              </w:rPr>
            </w:pPr>
            <w:r>
              <w:rPr>
                <w:rFonts w:ascii="Arial" w:cs="Arial" w:eastAsia="Arial" w:hAnsi="Arial"/>
                <w:sz w:val="18"/>
                <w:szCs w:val="18"/>
                <w:color w:val="auto"/>
              </w:rPr>
              <w:t>SOLE VOTING POWER</w:t>
            </w:r>
          </w:p>
        </w:tc>
        <w:tc>
          <w:tcPr>
            <w:tcW w:w="25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right w:val="single" w:sz="8" w:color="auto"/>
            </w:tcBorders>
          </w:tcPr>
          <w:p>
            <w:pPr>
              <w:spacing w:after="0"/>
              <w:rPr>
                <w:sz w:val="21"/>
                <w:szCs w:val="21"/>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responses to row 6.</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00" w:type="dxa"/>
            <w:vAlign w:val="bottom"/>
            <w:tcBorders>
              <w:right w:val="single" w:sz="8" w:color="auto"/>
            </w:tcBorders>
          </w:tcPr>
          <w:p>
            <w:pPr>
              <w:jc w:val="center"/>
              <w:ind w:right="970"/>
              <w:spacing w:after="0" w:line="178" w:lineRule="exact"/>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6</w:t>
            </w:r>
          </w:p>
        </w:tc>
        <w:tc>
          <w:tcPr>
            <w:tcW w:w="4860" w:type="dxa"/>
            <w:vAlign w:val="bottom"/>
          </w:tcPr>
          <w:p>
            <w:pPr>
              <w:spacing w:after="0" w:line="178" w:lineRule="exact"/>
              <w:rPr>
                <w:sz w:val="20"/>
                <w:szCs w:val="20"/>
                <w:color w:val="auto"/>
              </w:rPr>
            </w:pPr>
            <w:r>
              <w:rPr>
                <w:rFonts w:ascii="Arial" w:cs="Arial" w:eastAsia="Arial" w:hAnsi="Arial"/>
                <w:sz w:val="18"/>
                <w:szCs w:val="18"/>
                <w:color w:val="auto"/>
              </w:rPr>
              <w:t>SHARED VOTING POWER</w:t>
            </w: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50"/>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652,173*shares of common stock issuable upon the optional conversion of the Note, all of which are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80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directly owned by BI. BCPI-P, the general partner of BI may be deemed to have sole power to vote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these shares, except that BCPI-C, the general partner of BCPI-P may be deemed to have sole power to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vote these shares and Wurtman, a director of BCPI-C, may be deemed to have shared power to vote</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right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these shares.</w:t>
            </w: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7</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2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responses to row 8.</w:t>
            </w: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jc w:val="right"/>
              <w:ind w:right="525"/>
              <w:spacing w:after="0"/>
              <w:rPr>
                <w:sz w:val="20"/>
                <w:szCs w:val="20"/>
                <w:color w:val="auto"/>
              </w:rPr>
            </w:pPr>
            <w:r>
              <w:rPr>
                <w:rFonts w:ascii="Arial" w:cs="Arial" w:eastAsia="Arial" w:hAnsi="Arial"/>
                <w:sz w:val="15"/>
                <w:szCs w:val="15"/>
                <w:color w:val="auto"/>
                <w:w w:val="71"/>
              </w:rPr>
              <w:t>8</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c>
          <w:tcPr>
            <w:tcW w:w="2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652,173*shares of common stock issuable upon the optional conversion of the Note, all of which are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directly owned by BI. BCPI-P, the general partner of BI may be deemed to have sole power to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dispose of these shares, except that BCPI-C, the general partner of BCPI-P may be deemed to have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sole power to dispose of these shares and Wurtman, a director of BCPI-C, may be deemed to have</w:t>
            </w: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shared power to dispose of these shares.</w:t>
            </w: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652,173</w:t>
            </w:r>
          </w:p>
        </w:tc>
        <w:tc>
          <w:tcPr>
            <w:tcW w:w="0" w:type="dxa"/>
            <w:vAlign w:val="bottom"/>
          </w:tcPr>
          <w:p>
            <w:pPr>
              <w:spacing w:after="0"/>
              <w:rPr>
                <w:sz w:val="1"/>
                <w:szCs w:val="1"/>
                <w:color w:val="auto"/>
              </w:rPr>
            </w:pPr>
          </w:p>
        </w:tc>
      </w:tr>
      <w:tr>
        <w:trPr>
          <w:trHeight w:val="195"/>
        </w:trPr>
        <w:tc>
          <w:tcPr>
            <w:tcW w:w="560" w:type="dxa"/>
            <w:vAlign w:val="bottom"/>
          </w:tcPr>
          <w:p>
            <w:pPr>
              <w:ind w:left="20"/>
              <w:spacing w:after="0" w:line="195" w:lineRule="exact"/>
              <w:rPr>
                <w:sz w:val="20"/>
                <w:szCs w:val="20"/>
                <w:color w:val="auto"/>
              </w:rPr>
            </w:pPr>
            <w:r>
              <w:rPr>
                <w:rFonts w:ascii="Arial" w:cs="Arial" w:eastAsia="Arial" w:hAnsi="Arial"/>
                <w:sz w:val="18"/>
                <w:szCs w:val="18"/>
                <w:color w:val="auto"/>
              </w:rPr>
              <w:t>10</w:t>
            </w:r>
          </w:p>
        </w:tc>
        <w:tc>
          <w:tcPr>
            <w:tcW w:w="500" w:type="dxa"/>
            <w:vAlign w:val="bottom"/>
            <w:tcBorders>
              <w:right w:val="single" w:sz="8" w:color="auto"/>
            </w:tcBorders>
          </w:tcPr>
          <w:p>
            <w:pPr>
              <w:spacing w:after="0"/>
              <w:rPr>
                <w:sz w:val="16"/>
                <w:szCs w:val="16"/>
                <w:color w:val="auto"/>
              </w:rPr>
            </w:pPr>
          </w:p>
        </w:tc>
        <w:tc>
          <w:tcPr>
            <w:tcW w:w="7840" w:type="dxa"/>
            <w:vAlign w:val="bottom"/>
            <w:gridSpan w:val="3"/>
          </w:tcPr>
          <w:p>
            <w:pPr>
              <w:spacing w:after="0" w:line="195" w:lineRule="exact"/>
              <w:rPr>
                <w:sz w:val="20"/>
                <w:szCs w:val="20"/>
                <w:color w:val="auto"/>
              </w:rPr>
            </w:pPr>
            <w:r>
              <w:rPr>
                <w:rFonts w:ascii="Arial" w:cs="Arial" w:eastAsia="Arial" w:hAnsi="Arial"/>
                <w:sz w:val="18"/>
                <w:szCs w:val="18"/>
                <w:color w:val="auto"/>
              </w:rPr>
              <w:t>CHECK BOX IF THE AGGREGATE AMOUNT IN ROW (9) EXCLUDES CERTAIN SHARES (SEE</w:t>
            </w:r>
          </w:p>
        </w:tc>
        <w:tc>
          <w:tcPr>
            <w:tcW w:w="2540" w:type="dxa"/>
            <w:vAlign w:val="bottom"/>
            <w:tcBorders>
              <w:right w:val="single" w:sz="8" w:color="auto"/>
            </w:tcBorders>
            <w:vMerge w:val="restart"/>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INSTRUCTIONS)</w:t>
            </w:r>
          </w:p>
        </w:tc>
        <w:tc>
          <w:tcPr>
            <w:tcW w:w="68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25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auto"/>
              <w:right w:val="single" w:sz="8" w:color="auto"/>
            </w:tcBorders>
          </w:tcPr>
          <w:p>
            <w:pPr>
              <w:spacing w:after="0"/>
              <w:rPr>
                <w:sz w:val="18"/>
                <w:szCs w:val="18"/>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Note is convertible into the Issuer's common stock at a price of $1.38 or, if lower, 90% of the price at which securities are sold upon the consummation of the Issuer's immediate subsequent financing, but in no event shall the Issuer issue common stock upon conversion of the Note and the series of notes issued by the Issuer in excess of 19.99% of the total shares outstanding of the Issuer on the date of closing of the issuance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558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CUSIP NO. 92911N104</w:t>
            </w:r>
          </w:p>
        </w:tc>
        <w:tc>
          <w:tcPr>
            <w:tcW w:w="19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13 G</w:t>
            </w:r>
          </w:p>
        </w:tc>
        <w:tc>
          <w:tcPr>
            <w:tcW w:w="3940" w:type="dxa"/>
            <w:vAlign w:val="bottom"/>
            <w:tcBorders>
              <w:top w:val="single" w:sz="8" w:color="auto"/>
              <w:bottom w:val="single" w:sz="8" w:color="auto"/>
              <w:right w:val="single" w:sz="8" w:color="auto"/>
            </w:tcBorders>
          </w:tcPr>
          <w:p>
            <w:pPr>
              <w:ind w:left="2560"/>
              <w:spacing w:after="0"/>
              <w:rPr>
                <w:sz w:val="20"/>
                <w:szCs w:val="20"/>
                <w:color w:val="auto"/>
              </w:rPr>
            </w:pPr>
            <w:r>
              <w:rPr>
                <w:rFonts w:ascii="Arial" w:cs="Arial" w:eastAsia="Arial" w:hAnsi="Arial"/>
                <w:sz w:val="18"/>
                <w:szCs w:val="18"/>
                <w:color w:val="auto"/>
                <w:w w:val="84"/>
              </w:rPr>
              <w:t>Page 8 of 13 Pages</w:t>
            </w:r>
          </w:p>
        </w:tc>
      </w:tr>
      <w:tr>
        <w:trPr>
          <w:trHeight w:val="456"/>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560" w:type="dxa"/>
            <w:vAlign w:val="bottom"/>
          </w:tcPr>
          <w:p>
            <w:pPr>
              <w:ind w:left="280"/>
              <w:spacing w:after="0"/>
              <w:rPr>
                <w:sz w:val="20"/>
                <w:szCs w:val="20"/>
                <w:color w:val="auto"/>
              </w:rPr>
            </w:pPr>
            <w:r>
              <w:rPr>
                <w:rFonts w:ascii="Arial" w:cs="Arial" w:eastAsia="Arial" w:hAnsi="Arial"/>
                <w:sz w:val="18"/>
                <w:szCs w:val="18"/>
                <w:b w:val="1"/>
                <w:bCs w:val="1"/>
                <w:color w:val="auto"/>
              </w:rPr>
              <w:t>Name of Issuer:</w:t>
            </w:r>
          </w:p>
        </w:tc>
        <w:tc>
          <w:tcPr>
            <w:tcW w:w="19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59"/>
        </w:trPr>
        <w:tc>
          <w:tcPr>
            <w:tcW w:w="1020" w:type="dxa"/>
            <w:vAlign w:val="bottom"/>
          </w:tcPr>
          <w:p>
            <w:pPr>
              <w:spacing w:after="0"/>
              <w:rPr>
                <w:sz w:val="24"/>
                <w:szCs w:val="24"/>
                <w:color w:val="auto"/>
              </w:rPr>
            </w:pPr>
          </w:p>
        </w:tc>
        <w:tc>
          <w:tcPr>
            <w:tcW w:w="4560" w:type="dxa"/>
            <w:vAlign w:val="bottom"/>
          </w:tcPr>
          <w:p>
            <w:pPr>
              <w:ind w:left="280"/>
              <w:spacing w:after="0"/>
              <w:rPr>
                <w:sz w:val="20"/>
                <w:szCs w:val="20"/>
                <w:color w:val="auto"/>
              </w:rPr>
            </w:pPr>
            <w:r>
              <w:rPr>
                <w:rFonts w:ascii="Arial" w:cs="Arial" w:eastAsia="Arial" w:hAnsi="Arial"/>
                <w:sz w:val="18"/>
                <w:szCs w:val="18"/>
                <w:color w:val="auto"/>
              </w:rPr>
              <w:t>Vringo, Inc. (the “Issuer”)</w:t>
            </w:r>
          </w:p>
        </w:tc>
        <w:tc>
          <w:tcPr>
            <w:tcW w:w="19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59"/>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4560" w:type="dxa"/>
            <w:vAlign w:val="bottom"/>
          </w:tcPr>
          <w:p>
            <w:pPr>
              <w:ind w:left="280"/>
              <w:spacing w:after="0"/>
              <w:rPr>
                <w:sz w:val="20"/>
                <w:szCs w:val="20"/>
                <w:color w:val="auto"/>
              </w:rPr>
            </w:pPr>
            <w:r>
              <w:rPr>
                <w:rFonts w:ascii="Arial" w:cs="Arial" w:eastAsia="Arial" w:hAnsi="Arial"/>
                <w:sz w:val="18"/>
                <w:szCs w:val="18"/>
                <w:b w:val="1"/>
                <w:bCs w:val="1"/>
                <w:color w:val="auto"/>
              </w:rPr>
              <w:t>Address of issuer's principal executive offices:</w:t>
            </w:r>
          </w:p>
        </w:tc>
        <w:tc>
          <w:tcPr>
            <w:tcW w:w="19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45"/>
        </w:trPr>
        <w:tc>
          <w:tcPr>
            <w:tcW w:w="1020" w:type="dxa"/>
            <w:vAlign w:val="bottom"/>
          </w:tcPr>
          <w:p>
            <w:pPr>
              <w:spacing w:after="0"/>
              <w:rPr>
                <w:sz w:val="24"/>
                <w:szCs w:val="24"/>
                <w:color w:val="auto"/>
              </w:rPr>
            </w:pPr>
          </w:p>
        </w:tc>
        <w:tc>
          <w:tcPr>
            <w:tcW w:w="4560" w:type="dxa"/>
            <w:vAlign w:val="bottom"/>
          </w:tcPr>
          <w:p>
            <w:pPr>
              <w:ind w:left="280"/>
              <w:spacing w:after="0"/>
              <w:rPr>
                <w:sz w:val="20"/>
                <w:szCs w:val="20"/>
                <w:color w:val="auto"/>
              </w:rPr>
            </w:pPr>
            <w:r>
              <w:rPr>
                <w:rFonts w:ascii="Arial" w:cs="Arial" w:eastAsia="Arial" w:hAnsi="Arial"/>
                <w:sz w:val="18"/>
                <w:szCs w:val="18"/>
                <w:color w:val="auto"/>
              </w:rPr>
              <w:t>799 Market Street, 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c>
          <w:tcPr>
            <w:tcW w:w="19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4560" w:type="dxa"/>
            <w:vAlign w:val="bottom"/>
          </w:tcPr>
          <w:p>
            <w:pPr>
              <w:ind w:left="280"/>
              <w:spacing w:after="0"/>
              <w:rPr>
                <w:sz w:val="20"/>
                <w:szCs w:val="20"/>
                <w:color w:val="auto"/>
              </w:rPr>
            </w:pPr>
            <w:r>
              <w:rPr>
                <w:rFonts w:ascii="Arial" w:cs="Arial" w:eastAsia="Arial" w:hAnsi="Arial"/>
                <w:sz w:val="18"/>
                <w:szCs w:val="18"/>
                <w:color w:val="auto"/>
              </w:rPr>
              <w:t>San Francisco, CA 94103</w:t>
            </w:r>
          </w:p>
        </w:tc>
        <w:tc>
          <w:tcPr>
            <w:tcW w:w="1900" w:type="dxa"/>
            <w:vAlign w:val="bottom"/>
          </w:tcPr>
          <w:p>
            <w:pPr>
              <w:spacing w:after="0"/>
              <w:rPr>
                <w:sz w:val="20"/>
                <w:szCs w:val="20"/>
                <w:color w:val="auto"/>
              </w:rPr>
            </w:pPr>
          </w:p>
        </w:tc>
        <w:tc>
          <w:tcPr>
            <w:tcW w:w="3940" w:type="dxa"/>
            <w:vAlign w:val="bottom"/>
          </w:tcPr>
          <w:p>
            <w:pPr>
              <w:spacing w:after="0"/>
              <w:rPr>
                <w:sz w:val="20"/>
                <w:szCs w:val="20"/>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Items 2(a)</w:t>
      </w:r>
      <w:r>
        <w:rPr>
          <w:sz w:val="20"/>
          <w:szCs w:val="20"/>
          <w:color w:val="auto"/>
        </w:rPr>
        <w:tab/>
      </w:r>
      <w:r>
        <w:rPr>
          <w:rFonts w:ascii="Arial" w:cs="Arial" w:eastAsia="Arial" w:hAnsi="Arial"/>
          <w:sz w:val="16"/>
          <w:szCs w:val="16"/>
          <w:b w:val="1"/>
          <w:bCs w:val="1"/>
          <w:color w:val="auto"/>
        </w:rPr>
        <w:t>Name of person filing:</w:t>
      </w:r>
    </w:p>
    <w:p>
      <w:pPr>
        <w:spacing w:after="0" w:line="256" w:lineRule="exact"/>
        <w:rPr>
          <w:sz w:val="20"/>
          <w:szCs w:val="20"/>
          <w:color w:val="auto"/>
        </w:rPr>
      </w:pPr>
    </w:p>
    <w:p>
      <w:pPr>
        <w:ind w:left="1300" w:right="160"/>
        <w:spacing w:after="0" w:line="312" w:lineRule="auto"/>
        <w:rPr>
          <w:sz w:val="20"/>
          <w:szCs w:val="20"/>
          <w:color w:val="auto"/>
        </w:rPr>
      </w:pPr>
      <w:r>
        <w:rPr>
          <w:rFonts w:ascii="Arial" w:cs="Arial" w:eastAsia="Arial" w:hAnsi="Arial"/>
          <w:sz w:val="16"/>
          <w:szCs w:val="16"/>
          <w:color w:val="auto"/>
        </w:rPr>
        <w:t>This Statement is filed by Benchmark Israel II, L.P., a Delaware limited partnership (“BI”), BCPI Partners II, L.P., a Delaware limited partnership (“BCPI-P”), BCPI Corporation II, a Delaware corporation (“BCPI-C”), and Michael A. Eisenberg (“Eisenberg”), Arad Naveh (“Naveh”) and Elie Wurtman (“Wurtman”). The foregoing entities and individuals are collectively referred to as the “Reporting Persons.”</w:t>
      </w:r>
    </w:p>
    <w:p>
      <w:pPr>
        <w:spacing w:after="0" w:line="174" w:lineRule="exact"/>
        <w:rPr>
          <w:sz w:val="20"/>
          <w:szCs w:val="20"/>
          <w:color w:val="auto"/>
        </w:rPr>
      </w:pPr>
    </w:p>
    <w:p>
      <w:pPr>
        <w:ind w:left="1300" w:right="60"/>
        <w:spacing w:after="0" w:line="259" w:lineRule="auto"/>
        <w:rPr>
          <w:sz w:val="20"/>
          <w:szCs w:val="20"/>
          <w:color w:val="auto"/>
        </w:rPr>
      </w:pPr>
      <w:r>
        <w:rPr>
          <w:rFonts w:ascii="Arial" w:cs="Arial" w:eastAsia="Arial" w:hAnsi="Arial"/>
          <w:sz w:val="18"/>
          <w:szCs w:val="18"/>
          <w:color w:val="auto"/>
        </w:rPr>
        <w:t>BCPI-P, the general partner of BI, may be deemed to have sole power to vote and sole power to dispose of shares of the Issuer directly owned by BI. BCPI-C, the general partner BCPI-P, may be deemed to have sole power to vote and sole power to dispose of shares of the Issuer directly owned by BI. Eisenberg, Naveh and Wurtman are the directors of BCPI-C and may be deemed to have shared power to vote and shared power to dispose of shares of the Issuer directly owned by BI.</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or principal business office or, if none, residence: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address for each of the Reporting Persons 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Benchmark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2480 Sand Hill Road, Suite 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Menlo Park, California 94025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3"/>
              </w:rPr>
              <w:t>BI and BCPI-P are Delaware limited partnerships. BCPI-C is a Delaware corporation. Eisenberg, Naveh and Wurtman are United States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w:t>
            </w:r>
          </w:p>
        </w:tc>
      </w:tr>
      <w:tr>
        <w:trPr>
          <w:trHeight w:val="459"/>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459"/>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Common Stock</w:t>
            </w:r>
          </w:p>
        </w:tc>
      </w:tr>
      <w:tr>
        <w:trPr>
          <w:trHeight w:val="459"/>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CUSIP No.:</w:t>
            </w:r>
          </w:p>
        </w:tc>
      </w:tr>
      <w:tr>
        <w:trPr>
          <w:trHeight w:val="459"/>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92911N104</w:t>
            </w:r>
          </w:p>
        </w:tc>
      </w:tr>
      <w:tr>
        <w:trPr>
          <w:trHeight w:val="659"/>
        </w:trPr>
        <w:tc>
          <w:tcPr>
            <w:tcW w:w="1020" w:type="dxa"/>
            <w:vAlign w:val="bottom"/>
            <w:tcBorders>
              <w:bottom w:val="single" w:sz="8" w:color="808080"/>
            </w:tcBorders>
          </w:tcPr>
          <w:p>
            <w:pPr>
              <w:spacing w:after="0"/>
              <w:rPr>
                <w:sz w:val="24"/>
                <w:szCs w:val="24"/>
                <w:color w:val="auto"/>
              </w:rPr>
            </w:pPr>
          </w:p>
        </w:tc>
        <w:tc>
          <w:tcPr>
            <w:tcW w:w="10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0"/>
        </w:trPr>
        <w:tc>
          <w:tcPr>
            <w:tcW w:w="558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CUSIP NO. 92911N104</w:t>
            </w:r>
          </w:p>
        </w:tc>
        <w:tc>
          <w:tcPr>
            <w:tcW w:w="19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13 G</w:t>
            </w:r>
          </w:p>
        </w:tc>
        <w:tc>
          <w:tcPr>
            <w:tcW w:w="25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84"/>
              </w:rPr>
              <w:t>Page 9 of 13 Pages</w:t>
            </w:r>
          </w:p>
        </w:tc>
      </w:tr>
      <w:tr>
        <w:trPr>
          <w:trHeight w:val="456"/>
        </w:trPr>
        <w:tc>
          <w:tcPr>
            <w:tcW w:w="9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080" w:type="dxa"/>
            <w:vAlign w:val="bottom"/>
            <w:gridSpan w:val="3"/>
          </w:tcPr>
          <w:p>
            <w:pPr>
              <w:ind w:left="400"/>
              <w:spacing w:after="0"/>
              <w:rPr>
                <w:sz w:val="20"/>
                <w:szCs w:val="20"/>
                <w:color w:val="auto"/>
              </w:rPr>
            </w:pPr>
            <w:r>
              <w:rPr>
                <w:rFonts w:ascii="Arial" w:cs="Arial" w:eastAsia="Arial" w:hAnsi="Arial"/>
                <w:sz w:val="18"/>
                <w:szCs w:val="18"/>
                <w:b w:val="1"/>
                <w:bCs w:val="1"/>
                <w:color w:val="auto"/>
                <w:w w:val="90"/>
              </w:rPr>
              <w:t>If this statement is filed pursuant to §§ 240.13d-1(b), or 240.13d-2(b) or (c), check whether the person filings is a:</w:t>
            </w:r>
          </w:p>
        </w:tc>
        <w:tc>
          <w:tcPr>
            <w:tcW w:w="1440" w:type="dxa"/>
            <w:vAlign w:val="bottom"/>
          </w:tcPr>
          <w:p>
            <w:pPr>
              <w:spacing w:after="0"/>
              <w:rPr>
                <w:sz w:val="24"/>
                <w:szCs w:val="24"/>
                <w:color w:val="auto"/>
              </w:rPr>
            </w:pPr>
          </w:p>
        </w:tc>
      </w:tr>
      <w:tr>
        <w:trPr>
          <w:trHeight w:val="459"/>
        </w:trPr>
        <w:tc>
          <w:tcPr>
            <w:tcW w:w="900" w:type="dxa"/>
            <w:vAlign w:val="bottom"/>
          </w:tcPr>
          <w:p>
            <w:pPr>
              <w:spacing w:after="0"/>
              <w:rPr>
                <w:sz w:val="24"/>
                <w:szCs w:val="24"/>
                <w:color w:val="auto"/>
              </w:rPr>
            </w:pPr>
          </w:p>
        </w:tc>
        <w:tc>
          <w:tcPr>
            <w:tcW w:w="4680" w:type="dxa"/>
            <w:vAlign w:val="bottom"/>
          </w:tcPr>
          <w:p>
            <w:pPr>
              <w:ind w:left="400"/>
              <w:spacing w:after="0"/>
              <w:rPr>
                <w:sz w:val="20"/>
                <w:szCs w:val="20"/>
                <w:color w:val="auto"/>
              </w:rPr>
            </w:pPr>
            <w:r>
              <w:rPr>
                <w:rFonts w:ascii="Arial" w:cs="Arial" w:eastAsia="Arial" w:hAnsi="Arial"/>
                <w:sz w:val="18"/>
                <w:szCs w:val="18"/>
                <w:color w:val="auto"/>
              </w:rPr>
              <w:t>Not applicable.</w:t>
            </w:r>
          </w:p>
        </w:tc>
        <w:tc>
          <w:tcPr>
            <w:tcW w:w="1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80" w:type="dxa"/>
            <w:vAlign w:val="bottom"/>
          </w:tcPr>
          <w:p>
            <w:pPr>
              <w:ind w:left="400"/>
              <w:spacing w:after="0"/>
              <w:rPr>
                <w:sz w:val="20"/>
                <w:szCs w:val="20"/>
                <w:color w:val="auto"/>
              </w:rPr>
            </w:pPr>
            <w:r>
              <w:rPr>
                <w:rFonts w:ascii="Arial" w:cs="Arial" w:eastAsia="Arial" w:hAnsi="Arial"/>
                <w:sz w:val="18"/>
                <w:szCs w:val="18"/>
                <w:b w:val="1"/>
                <w:bCs w:val="1"/>
                <w:color w:val="auto"/>
              </w:rPr>
              <w:t>Ownership</w:t>
            </w:r>
          </w:p>
        </w:tc>
        <w:tc>
          <w:tcPr>
            <w:tcW w:w="1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2600" w:hanging="647"/>
        <w:spacing w:after="0"/>
        <w:tabs>
          <w:tab w:leader="none" w:pos="26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9 of cover page for each Reporting Person.</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11 of cover page for each Reporting Person.</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900" w:hanging="651"/>
        <w:spacing w:after="0"/>
        <w:tabs>
          <w:tab w:leader="none" w:pos="390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Sole power to vote or to direct the vote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252" w:lineRule="exact"/>
        <w:rPr>
          <w:rFonts w:ascii="Arial" w:cs="Arial" w:eastAsia="Arial" w:hAnsi="Arial"/>
          <w:sz w:val="18"/>
          <w:szCs w:val="18"/>
          <w:color w:val="auto"/>
        </w:rPr>
      </w:pPr>
    </w:p>
    <w:p>
      <w:pPr>
        <w:ind w:left="3900" w:hanging="651"/>
        <w:spacing w:after="0"/>
        <w:tabs>
          <w:tab w:leader="none" w:pos="390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Shared power to vote or to direct the vote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252" w:lineRule="exact"/>
        <w:rPr>
          <w:rFonts w:ascii="Arial" w:cs="Arial" w:eastAsia="Arial" w:hAnsi="Arial"/>
          <w:sz w:val="18"/>
          <w:szCs w:val="18"/>
          <w:color w:val="auto"/>
        </w:rPr>
      </w:pPr>
    </w:p>
    <w:p>
      <w:pPr>
        <w:jc w:val="both"/>
        <w:ind w:left="3900" w:right="3740" w:hanging="651"/>
        <w:spacing w:after="0" w:line="598" w:lineRule="auto"/>
        <w:tabs>
          <w:tab w:leader="none" w:pos="3900"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Sole power to dispose or to direct the disposition of</w:t>
      </w:r>
      <w:r>
        <w:rPr>
          <w:rFonts w:ascii="Arial" w:cs="Arial" w:eastAsia="Arial" w:hAnsi="Arial"/>
          <w:sz w:val="16"/>
          <w:szCs w:val="16"/>
          <w:color w:val="auto"/>
        </w:rPr>
        <w:t>: See Row 7 of cover page for each Reporting Person.</w:t>
      </w:r>
    </w:p>
    <w:p>
      <w:pPr>
        <w:spacing w:after="0" w:line="1" w:lineRule="exact"/>
        <w:rPr>
          <w:rFonts w:ascii="Arial" w:cs="Arial" w:eastAsia="Arial" w:hAnsi="Arial"/>
          <w:sz w:val="16"/>
          <w:szCs w:val="16"/>
          <w:color w:val="auto"/>
        </w:rPr>
      </w:pPr>
    </w:p>
    <w:p>
      <w:pPr>
        <w:ind w:left="3900" w:hanging="651"/>
        <w:spacing w:after="0"/>
        <w:tabs>
          <w:tab w:leader="none" w:pos="390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Shared power to dispose or to direct the disposition of</w:t>
      </w:r>
      <w:r>
        <w:rPr>
          <w:rFonts w:ascii="Arial" w:cs="Arial" w:eastAsia="Arial" w:hAnsi="Arial"/>
          <w:sz w:val="18"/>
          <w:szCs w:val="18"/>
          <w:color w:val="auto"/>
        </w:rPr>
        <w:t>:</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See Row 8 of cover page for each Reporting Person.</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0"/>
        </w:trPr>
        <w:tc>
          <w:tcPr>
            <w:tcW w:w="558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CUSIP NO. 92911N104</w:t>
            </w:r>
          </w:p>
        </w:tc>
        <w:tc>
          <w:tcPr>
            <w:tcW w:w="700" w:type="dxa"/>
            <w:vAlign w:val="bottom"/>
          </w:tcPr>
          <w:p>
            <w:pPr>
              <w:spacing w:after="0"/>
              <w:rPr>
                <w:sz w:val="19"/>
                <w:szCs w:val="19"/>
                <w:color w:val="auto"/>
              </w:rPr>
            </w:pP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 G</w:t>
            </w:r>
          </w:p>
        </w:tc>
        <w:tc>
          <w:tcPr>
            <w:tcW w:w="3940" w:type="dxa"/>
            <w:vAlign w:val="bottom"/>
            <w:tcBorders>
              <w:top w:val="single" w:sz="8" w:color="auto"/>
              <w:bottom w:val="single" w:sz="8" w:color="auto"/>
              <w:right w:val="single" w:sz="8" w:color="auto"/>
            </w:tcBorders>
          </w:tcPr>
          <w:p>
            <w:pPr>
              <w:ind w:left="2460"/>
              <w:spacing w:after="0"/>
              <w:rPr>
                <w:sz w:val="20"/>
                <w:szCs w:val="20"/>
                <w:color w:val="auto"/>
              </w:rPr>
            </w:pPr>
            <w:r>
              <w:rPr>
                <w:rFonts w:ascii="Arial" w:cs="Arial" w:eastAsia="Arial" w:hAnsi="Arial"/>
                <w:sz w:val="18"/>
                <w:szCs w:val="18"/>
                <w:color w:val="auto"/>
                <w:w w:val="85"/>
              </w:rPr>
              <w:t>Page 10 of 13 Pages</w:t>
            </w:r>
          </w:p>
        </w:tc>
      </w:tr>
      <w:tr>
        <w:trPr>
          <w:trHeight w:val="456"/>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340" w:type="dxa"/>
            <w:vAlign w:val="bottom"/>
            <w:gridSpan w:val="2"/>
          </w:tcPr>
          <w:p>
            <w:pPr>
              <w:ind w:left="360"/>
              <w:spacing w:after="0"/>
              <w:rPr>
                <w:sz w:val="20"/>
                <w:szCs w:val="20"/>
                <w:color w:val="auto"/>
              </w:rPr>
            </w:pPr>
            <w:r>
              <w:rPr>
                <w:rFonts w:ascii="Arial" w:cs="Arial" w:eastAsia="Arial" w:hAnsi="Arial"/>
                <w:sz w:val="18"/>
                <w:szCs w:val="18"/>
                <w:b w:val="1"/>
                <w:bCs w:val="1"/>
                <w:color w:val="auto"/>
                <w:w w:val="91"/>
              </w:rPr>
              <w:t>Ownership of More than 5 Percent on Behalf of Another Person</w:t>
            </w:r>
          </w:p>
        </w:tc>
        <w:tc>
          <w:tcPr>
            <w:tcW w:w="12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45"/>
        </w:trPr>
        <w:tc>
          <w:tcPr>
            <w:tcW w:w="940" w:type="dxa"/>
            <w:vAlign w:val="bottom"/>
          </w:tcPr>
          <w:p>
            <w:pPr>
              <w:spacing w:after="0"/>
              <w:rPr>
                <w:sz w:val="24"/>
                <w:szCs w:val="24"/>
                <w:color w:val="auto"/>
              </w:rPr>
            </w:pPr>
          </w:p>
        </w:tc>
        <w:tc>
          <w:tcPr>
            <w:tcW w:w="10480" w:type="dxa"/>
            <w:vAlign w:val="bottom"/>
            <w:gridSpan w:val="4"/>
          </w:tcPr>
          <w:p>
            <w:pPr>
              <w:ind w:left="360"/>
              <w:spacing w:after="0"/>
              <w:rPr>
                <w:sz w:val="20"/>
                <w:szCs w:val="20"/>
                <w:color w:val="auto"/>
              </w:rPr>
            </w:pPr>
            <w:r>
              <w:rPr>
                <w:rFonts w:ascii="Arial" w:cs="Arial" w:eastAsia="Arial" w:hAnsi="Arial"/>
                <w:sz w:val="18"/>
                <w:szCs w:val="18"/>
                <w:color w:val="auto"/>
                <w:w w:val="92"/>
              </w:rPr>
              <w:t>Under certain circumstances set forth in the limited partnership agreements of BI and BCPI-P, and the certificate of incorporation of BCPI-</w:t>
            </w:r>
          </w:p>
        </w:tc>
      </w:tr>
      <w:tr>
        <w:trPr>
          <w:trHeight w:val="216"/>
        </w:trPr>
        <w:tc>
          <w:tcPr>
            <w:tcW w:w="940" w:type="dxa"/>
            <w:vAlign w:val="bottom"/>
          </w:tcPr>
          <w:p>
            <w:pPr>
              <w:spacing w:after="0"/>
              <w:rPr>
                <w:sz w:val="18"/>
                <w:szCs w:val="18"/>
                <w:color w:val="auto"/>
              </w:rPr>
            </w:pPr>
          </w:p>
        </w:tc>
        <w:tc>
          <w:tcPr>
            <w:tcW w:w="10480" w:type="dxa"/>
            <w:vAlign w:val="bottom"/>
            <w:gridSpan w:val="4"/>
          </w:tcPr>
          <w:p>
            <w:pPr>
              <w:ind w:left="360"/>
              <w:spacing w:after="0"/>
              <w:rPr>
                <w:sz w:val="20"/>
                <w:szCs w:val="20"/>
                <w:color w:val="auto"/>
              </w:rPr>
            </w:pPr>
            <w:r>
              <w:rPr>
                <w:rFonts w:ascii="Arial" w:cs="Arial" w:eastAsia="Arial" w:hAnsi="Arial"/>
                <w:sz w:val="18"/>
                <w:szCs w:val="18"/>
                <w:color w:val="auto"/>
                <w:w w:val="90"/>
              </w:rPr>
              <w:t>C, the general and limited partners or shareholders, as the case may be, of each of such entities may be deemed to have the right to receive</w:t>
            </w:r>
          </w:p>
        </w:tc>
      </w:tr>
      <w:tr>
        <w:trPr>
          <w:trHeight w:val="230"/>
        </w:trPr>
        <w:tc>
          <w:tcPr>
            <w:tcW w:w="940" w:type="dxa"/>
            <w:vAlign w:val="bottom"/>
          </w:tcPr>
          <w:p>
            <w:pPr>
              <w:spacing w:after="0"/>
              <w:rPr>
                <w:sz w:val="20"/>
                <w:szCs w:val="20"/>
                <w:color w:val="auto"/>
              </w:rPr>
            </w:pPr>
          </w:p>
        </w:tc>
        <w:tc>
          <w:tcPr>
            <w:tcW w:w="10480" w:type="dxa"/>
            <w:vAlign w:val="bottom"/>
            <w:gridSpan w:val="4"/>
          </w:tcPr>
          <w:p>
            <w:pPr>
              <w:ind w:left="360"/>
              <w:spacing w:after="0"/>
              <w:rPr>
                <w:sz w:val="20"/>
                <w:szCs w:val="20"/>
                <w:color w:val="auto"/>
              </w:rPr>
            </w:pPr>
            <w:r>
              <w:rPr>
                <w:rFonts w:ascii="Arial" w:cs="Arial" w:eastAsia="Arial" w:hAnsi="Arial"/>
                <w:sz w:val="18"/>
                <w:szCs w:val="18"/>
                <w:color w:val="auto"/>
                <w:w w:val="90"/>
              </w:rPr>
              <w:t>dividends from, or the proceeds from, the sale of shares of the issuer owned by each such entity of which they are a partner or shareholder.</w:t>
            </w:r>
          </w:p>
        </w:tc>
      </w:tr>
      <w:tr>
        <w:trPr>
          <w:trHeight w:val="441"/>
        </w:trPr>
        <w:tc>
          <w:tcPr>
            <w:tcW w:w="9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80" w:type="dxa"/>
            <w:vAlign w:val="bottom"/>
            <w:gridSpan w:val="4"/>
          </w:tcPr>
          <w:p>
            <w:pPr>
              <w:ind w:left="36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940" w:type="dxa"/>
            <w:vAlign w:val="bottom"/>
          </w:tcPr>
          <w:p>
            <w:pPr>
              <w:spacing w:after="0"/>
              <w:rPr>
                <w:sz w:val="20"/>
                <w:szCs w:val="20"/>
                <w:color w:val="auto"/>
              </w:rPr>
            </w:pPr>
          </w:p>
        </w:tc>
        <w:tc>
          <w:tcPr>
            <w:tcW w:w="5340" w:type="dxa"/>
            <w:vAlign w:val="bottom"/>
            <w:gridSpan w:val="2"/>
          </w:tcPr>
          <w:p>
            <w:pPr>
              <w:ind w:left="360"/>
              <w:spacing w:after="0"/>
              <w:rPr>
                <w:sz w:val="20"/>
                <w:szCs w:val="20"/>
                <w:color w:val="auto"/>
              </w:rPr>
            </w:pPr>
            <w:r>
              <w:rPr>
                <w:rFonts w:ascii="Arial" w:cs="Arial" w:eastAsia="Arial" w:hAnsi="Arial"/>
                <w:sz w:val="18"/>
                <w:szCs w:val="18"/>
                <w:b w:val="1"/>
                <w:bCs w:val="1"/>
                <w:color w:val="auto"/>
              </w:rPr>
              <w:t>Company or Control Person</w:t>
            </w:r>
          </w:p>
        </w:tc>
        <w:tc>
          <w:tcPr>
            <w:tcW w:w="120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459"/>
        </w:trPr>
        <w:tc>
          <w:tcPr>
            <w:tcW w:w="940" w:type="dxa"/>
            <w:vAlign w:val="bottom"/>
          </w:tcPr>
          <w:p>
            <w:pPr>
              <w:spacing w:after="0"/>
              <w:rPr>
                <w:sz w:val="24"/>
                <w:szCs w:val="24"/>
                <w:color w:val="auto"/>
              </w:rPr>
            </w:pPr>
          </w:p>
        </w:tc>
        <w:tc>
          <w:tcPr>
            <w:tcW w:w="534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c>
          <w:tcPr>
            <w:tcW w:w="12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5340" w:type="dxa"/>
            <w:vAlign w:val="bottom"/>
            <w:gridSpan w:val="2"/>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12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59"/>
        </w:trPr>
        <w:tc>
          <w:tcPr>
            <w:tcW w:w="940" w:type="dxa"/>
            <w:vAlign w:val="bottom"/>
          </w:tcPr>
          <w:p>
            <w:pPr>
              <w:spacing w:after="0"/>
              <w:rPr>
                <w:sz w:val="24"/>
                <w:szCs w:val="24"/>
                <w:color w:val="auto"/>
              </w:rPr>
            </w:pPr>
          </w:p>
        </w:tc>
        <w:tc>
          <w:tcPr>
            <w:tcW w:w="534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c>
          <w:tcPr>
            <w:tcW w:w="12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5340" w:type="dxa"/>
            <w:vAlign w:val="bottom"/>
            <w:gridSpan w:val="2"/>
          </w:tcPr>
          <w:p>
            <w:pPr>
              <w:ind w:left="360"/>
              <w:spacing w:after="0"/>
              <w:rPr>
                <w:sz w:val="20"/>
                <w:szCs w:val="20"/>
                <w:color w:val="auto"/>
              </w:rPr>
            </w:pPr>
            <w:r>
              <w:rPr>
                <w:rFonts w:ascii="Arial" w:cs="Arial" w:eastAsia="Arial" w:hAnsi="Arial"/>
                <w:sz w:val="18"/>
                <w:szCs w:val="18"/>
                <w:b w:val="1"/>
                <w:bCs w:val="1"/>
                <w:color w:val="auto"/>
              </w:rPr>
              <w:t>Notice of Dissolution of Group</w:t>
            </w:r>
          </w:p>
        </w:tc>
        <w:tc>
          <w:tcPr>
            <w:tcW w:w="12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59"/>
        </w:trPr>
        <w:tc>
          <w:tcPr>
            <w:tcW w:w="940" w:type="dxa"/>
            <w:vAlign w:val="bottom"/>
          </w:tcPr>
          <w:p>
            <w:pPr>
              <w:spacing w:after="0"/>
              <w:rPr>
                <w:sz w:val="24"/>
                <w:szCs w:val="24"/>
                <w:color w:val="auto"/>
              </w:rPr>
            </w:pPr>
          </w:p>
        </w:tc>
        <w:tc>
          <w:tcPr>
            <w:tcW w:w="534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c>
          <w:tcPr>
            <w:tcW w:w="12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5340" w:type="dxa"/>
            <w:vAlign w:val="bottom"/>
            <w:gridSpan w:val="2"/>
          </w:tcPr>
          <w:p>
            <w:pPr>
              <w:ind w:left="360"/>
              <w:spacing w:after="0"/>
              <w:rPr>
                <w:sz w:val="20"/>
                <w:szCs w:val="20"/>
                <w:color w:val="auto"/>
              </w:rPr>
            </w:pPr>
            <w:r>
              <w:rPr>
                <w:rFonts w:ascii="Arial" w:cs="Arial" w:eastAsia="Arial" w:hAnsi="Arial"/>
                <w:sz w:val="18"/>
                <w:szCs w:val="18"/>
                <w:b w:val="1"/>
                <w:bCs w:val="1"/>
                <w:color w:val="auto"/>
              </w:rPr>
              <w:t>Certifications</w:t>
            </w:r>
          </w:p>
        </w:tc>
        <w:tc>
          <w:tcPr>
            <w:tcW w:w="12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59"/>
        </w:trPr>
        <w:tc>
          <w:tcPr>
            <w:tcW w:w="940" w:type="dxa"/>
            <w:vAlign w:val="bottom"/>
          </w:tcPr>
          <w:p>
            <w:pPr>
              <w:spacing w:after="0"/>
              <w:rPr>
                <w:sz w:val="24"/>
                <w:szCs w:val="24"/>
                <w:color w:val="auto"/>
              </w:rPr>
            </w:pPr>
          </w:p>
        </w:tc>
        <w:tc>
          <w:tcPr>
            <w:tcW w:w="10480" w:type="dxa"/>
            <w:vAlign w:val="bottom"/>
            <w:gridSpan w:val="4"/>
          </w:tcPr>
          <w:p>
            <w:pPr>
              <w:ind w:left="360"/>
              <w:spacing w:after="0"/>
              <w:rPr>
                <w:sz w:val="20"/>
                <w:szCs w:val="20"/>
                <w:color w:val="auto"/>
              </w:rPr>
            </w:pPr>
            <w:r>
              <w:rPr>
                <w:rFonts w:ascii="Arial" w:cs="Arial" w:eastAsia="Arial" w:hAnsi="Arial"/>
                <w:sz w:val="18"/>
                <w:szCs w:val="18"/>
                <w:color w:val="auto"/>
                <w:w w:val="92"/>
              </w:rPr>
              <w:t>By signing below I certify that, to the best of my knowledge and belief, the securities referred to above were not acquired and are not held</w:t>
            </w:r>
          </w:p>
        </w:tc>
      </w:tr>
    </w:tbl>
    <w:p>
      <w:pPr>
        <w:ind w:left="1300" w:right="180"/>
        <w:spacing w:after="0" w:line="261" w:lineRule="auto"/>
        <w:rPr>
          <w:sz w:val="20"/>
          <w:szCs w:val="20"/>
          <w:color w:val="auto"/>
        </w:rPr>
      </w:pPr>
      <w:r>
        <w:rPr>
          <w:rFonts w:ascii="Arial" w:cs="Arial" w:eastAsia="Arial" w:hAnsi="Arial"/>
          <w:sz w:val="18"/>
          <w:szCs w:val="18"/>
          <w:color w:val="auto"/>
        </w:rPr>
        <w:t>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30"/>
        </w:trPr>
        <w:tc>
          <w:tcPr>
            <w:tcW w:w="55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92911N104</w:t>
            </w:r>
          </w:p>
        </w:tc>
        <w:tc>
          <w:tcPr>
            <w:tcW w:w="19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13 G</w:t>
            </w:r>
          </w:p>
        </w:tc>
        <w:tc>
          <w:tcPr>
            <w:tcW w:w="3940" w:type="dxa"/>
            <w:vAlign w:val="bottom"/>
            <w:tcBorders>
              <w:top w:val="single" w:sz="8" w:color="auto"/>
              <w:bottom w:val="single" w:sz="8" w:color="auto"/>
              <w:right w:val="single" w:sz="8" w:color="auto"/>
            </w:tcBorders>
          </w:tcPr>
          <w:p>
            <w:pPr>
              <w:ind w:left="2480"/>
              <w:spacing w:after="0"/>
              <w:rPr>
                <w:sz w:val="20"/>
                <w:szCs w:val="20"/>
                <w:color w:val="auto"/>
              </w:rPr>
            </w:pPr>
            <w:r>
              <w:rPr>
                <w:rFonts w:ascii="Arial" w:cs="Arial" w:eastAsia="Arial" w:hAnsi="Arial"/>
                <w:sz w:val="18"/>
                <w:szCs w:val="18"/>
                <w:color w:val="auto"/>
                <w:w w:val="84"/>
              </w:rPr>
              <w:t>Page 11 of 13 Pages</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BENCHMARK ISRAEL II, L.P., a Delaware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Limited Partnership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BCPI PARTNERS II, L.P., a Delaware Limited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BCPI CORPORATION II, a Delaware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Spurlock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M. Spurlock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A. EISENBERG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ARAD NAVEH</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ELIE WURTMAN</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Spurlock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M. Spurlock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Authorized Signatory</w:t>
      </w:r>
    </w:p>
    <w:p>
      <w:pPr>
        <w:spacing w:after="0" w:line="23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for whom copies are to be sent.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CUSIP NO. 92911N104</w:t>
            </w:r>
          </w:p>
        </w:tc>
        <w:tc>
          <w:tcPr>
            <w:tcW w:w="16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right w:val="single" w:sz="8" w:color="auto"/>
            </w:tcBorders>
          </w:tcPr>
          <w:p>
            <w:pPr>
              <w:spacing w:after="0"/>
              <w:rPr>
                <w:sz w:val="19"/>
                <w:szCs w:val="19"/>
                <w:color w:val="auto"/>
              </w:rPr>
            </w:pPr>
          </w:p>
        </w:tc>
        <w:tc>
          <w:tcPr>
            <w:tcW w:w="190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rPr>
              <w:t>13 G</w:t>
            </w:r>
          </w:p>
        </w:tc>
        <w:tc>
          <w:tcPr>
            <w:tcW w:w="2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85"/>
              </w:rPr>
              <w:t>Page 12 of 13 Pages</w:t>
            </w:r>
          </w:p>
        </w:tc>
      </w:tr>
      <w:tr>
        <w:trPr>
          <w:trHeight w:val="415"/>
        </w:trPr>
        <w:tc>
          <w:tcPr>
            <w:tcW w:w="3420" w:type="dxa"/>
            <w:vAlign w:val="bottom"/>
          </w:tcPr>
          <w:p>
            <w:pPr>
              <w:spacing w:after="0"/>
              <w:rPr>
                <w:sz w:val="24"/>
                <w:szCs w:val="24"/>
                <w:color w:val="auto"/>
              </w:rPr>
            </w:pPr>
          </w:p>
        </w:tc>
        <w:tc>
          <w:tcPr>
            <w:tcW w:w="6300" w:type="dxa"/>
            <w:vAlign w:val="bottom"/>
            <w:gridSpan w:val="5"/>
          </w:tcPr>
          <w:p>
            <w:pPr>
              <w:ind w:left="1640"/>
              <w:spacing w:after="0"/>
              <w:rPr>
                <w:sz w:val="20"/>
                <w:szCs w:val="20"/>
                <w:color w:val="auto"/>
              </w:rPr>
            </w:pPr>
            <w:r>
              <w:rPr>
                <w:rFonts w:ascii="Arial" w:cs="Arial" w:eastAsia="Arial" w:hAnsi="Arial"/>
                <w:sz w:val="18"/>
                <w:szCs w:val="18"/>
                <w:color w:val="auto"/>
              </w:rPr>
              <w:t>EXHIBIT INDEX</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65"/>
        </w:trPr>
        <w:tc>
          <w:tcPr>
            <w:tcW w:w="3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Found on</w:t>
            </w:r>
          </w:p>
        </w:tc>
      </w:tr>
      <w:tr>
        <w:trPr>
          <w:trHeight w:val="216"/>
        </w:trPr>
        <w:tc>
          <w:tcPr>
            <w:tcW w:w="3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Sequentially</w:t>
            </w:r>
          </w:p>
        </w:tc>
      </w:tr>
      <w:tr>
        <w:trPr>
          <w:trHeight w:val="237"/>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6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Numbered Page</w:t>
            </w:r>
          </w:p>
        </w:tc>
      </w:tr>
      <w:tr>
        <w:trPr>
          <w:trHeight w:val="432"/>
        </w:trPr>
        <w:tc>
          <w:tcPr>
            <w:tcW w:w="9720" w:type="dxa"/>
            <w:vAlign w:val="bottom"/>
            <w:gridSpan w:val="6"/>
          </w:tcPr>
          <w:p>
            <w:pPr>
              <w:spacing w:after="0"/>
              <w:rPr>
                <w:sz w:val="20"/>
                <w:szCs w:val="20"/>
                <w:color w:val="auto"/>
              </w:rPr>
            </w:pPr>
            <w:r>
              <w:rPr>
                <w:rFonts w:ascii="Arial" w:cs="Arial" w:eastAsia="Arial" w:hAnsi="Arial"/>
                <w:sz w:val="18"/>
                <w:szCs w:val="18"/>
                <w:color w:val="auto"/>
              </w:rPr>
              <w:t>Exhibit A: Agreement to File Jointly and Statement Appointing Designated Filed and Authorized Signatory</w:t>
            </w:r>
          </w:p>
        </w:tc>
        <w:tc>
          <w:tcPr>
            <w:tcW w:w="17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13</w:t>
            </w:r>
          </w:p>
        </w:tc>
      </w:tr>
      <w:tr>
        <w:trPr>
          <w:trHeight w:val="659"/>
        </w:trPr>
        <w:tc>
          <w:tcPr>
            <w:tcW w:w="34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30"/>
        </w:trPr>
        <w:tc>
          <w:tcPr>
            <w:tcW w:w="55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92911N104</w:t>
            </w:r>
          </w:p>
        </w:tc>
        <w:tc>
          <w:tcPr>
            <w:tcW w:w="19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13 G</w:t>
            </w:r>
          </w:p>
        </w:tc>
        <w:tc>
          <w:tcPr>
            <w:tcW w:w="3940" w:type="dxa"/>
            <w:vAlign w:val="bottom"/>
            <w:tcBorders>
              <w:top w:val="single" w:sz="8" w:color="auto"/>
              <w:bottom w:val="single" w:sz="8" w:color="auto"/>
              <w:right w:val="single" w:sz="8" w:color="auto"/>
            </w:tcBorders>
          </w:tcPr>
          <w:p>
            <w:pPr>
              <w:ind w:left="2460"/>
              <w:spacing w:after="0"/>
              <w:rPr>
                <w:sz w:val="20"/>
                <w:szCs w:val="20"/>
                <w:color w:val="auto"/>
              </w:rPr>
            </w:pPr>
            <w:r>
              <w:rPr>
                <w:rFonts w:ascii="Arial" w:cs="Arial" w:eastAsia="Arial" w:hAnsi="Arial"/>
                <w:sz w:val="18"/>
                <w:szCs w:val="18"/>
                <w:color w:val="auto"/>
                <w:w w:val="85"/>
              </w:rPr>
              <w:t>Page 13 of 13 Pages</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to File Jointly and Statement Appointing Designated Filed and Authorized Signatory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TO FILE JOINTLY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APPOINTING DESIGNATED FILER AND AUTHORIZED SIGNATORY</w:t>
      </w:r>
    </w:p>
    <w:p>
      <w:pPr>
        <w:spacing w:after="0" w:line="23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Each of the undersigned entities and individuals (collectively, the “</w:t>
      </w:r>
      <w:r>
        <w:rPr>
          <w:rFonts w:ascii="Arial" w:cs="Arial" w:eastAsia="Arial" w:hAnsi="Arial"/>
          <w:sz w:val="16"/>
          <w:szCs w:val="16"/>
          <w:b w:val="1"/>
          <w:bCs w:val="1"/>
          <w:i w:val="1"/>
          <w:iCs w:val="1"/>
          <w:color w:val="auto"/>
        </w:rPr>
        <w:t>Reporting Persons</w:t>
      </w:r>
      <w:r>
        <w:rPr>
          <w:rFonts w:ascii="Arial" w:cs="Arial" w:eastAsia="Arial" w:hAnsi="Arial"/>
          <w:sz w:val="16"/>
          <w:szCs w:val="16"/>
          <w:color w:val="auto"/>
        </w:rPr>
        <w:t>”) hereby authorizes and designates BCPI Corporation II or such other person or entity as is designated in writing by Steven M. Spurlock (the “</w:t>
      </w:r>
      <w:r>
        <w:rPr>
          <w:rFonts w:ascii="Arial" w:cs="Arial" w:eastAsia="Arial" w:hAnsi="Arial"/>
          <w:sz w:val="16"/>
          <w:szCs w:val="16"/>
          <w:b w:val="1"/>
          <w:bCs w:val="1"/>
          <w:i w:val="1"/>
          <w:iCs w:val="1"/>
          <w:color w:val="auto"/>
        </w:rPr>
        <w:t>Designated Filer</w:t>
      </w:r>
      <w:r>
        <w:rPr>
          <w:rFonts w:ascii="Arial" w:cs="Arial" w:eastAsia="Arial" w:hAnsi="Arial"/>
          <w:sz w:val="16"/>
          <w:szCs w:val="16"/>
          <w:color w:val="auto"/>
        </w:rPr>
        <w:t>”) as the beneficial owner to prepare and file on behalf of such Reporting Person individually, or jointly together with the other Reporting Persons, any and all reports, notices, communications and other documents (including, but not limited to, reports on Schedule 13D, Schedule 13G, Form 3, Form 4 and Form 5) that such Reporting Person may be required to file with the United States Securities and Exchange Commission pursuant to the Securities Act of 1933, as amended (together with the implementing regulations thereto,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the Securities Exchange Act of 1934, as amended (together with the implementing regulations thereto,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any other state or federal agency (collectively, the “</w:t>
      </w:r>
      <w:r>
        <w:rPr>
          <w:rFonts w:ascii="Arial" w:cs="Arial" w:eastAsia="Arial" w:hAnsi="Arial"/>
          <w:sz w:val="16"/>
          <w:szCs w:val="16"/>
          <w:b w:val="1"/>
          <w:bCs w:val="1"/>
          <w:i w:val="1"/>
          <w:iCs w:val="1"/>
          <w:color w:val="auto"/>
        </w:rPr>
        <w:t>Reports</w:t>
      </w:r>
      <w:r>
        <w:rPr>
          <w:rFonts w:ascii="Arial" w:cs="Arial" w:eastAsia="Arial" w:hAnsi="Arial"/>
          <w:sz w:val="16"/>
          <w:szCs w:val="16"/>
          <w:color w:val="auto"/>
        </w:rPr>
        <w:t>”) with respect to the Reporting Person’s ownership of, or transactions in, securities of any entity whose securities are beneficially owned (directly or indirectly) by such Reporting Person (collectively, the “</w:t>
      </w:r>
      <w:r>
        <w:rPr>
          <w:rFonts w:ascii="Arial" w:cs="Arial" w:eastAsia="Arial" w:hAnsi="Arial"/>
          <w:sz w:val="16"/>
          <w:szCs w:val="16"/>
          <w:b w:val="1"/>
          <w:bCs w:val="1"/>
          <w:i w:val="1"/>
          <w:iCs w:val="1"/>
          <w:color w:val="auto"/>
        </w:rPr>
        <w:t>Companies</w:t>
      </w:r>
      <w:r>
        <w:rPr>
          <w:rFonts w:ascii="Arial" w:cs="Arial" w:eastAsia="Arial" w:hAnsi="Arial"/>
          <w:sz w:val="16"/>
          <w:szCs w:val="16"/>
          <w:color w:val="auto"/>
        </w:rPr>
        <w:t>”).</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Each Reporting Person hereby further authorizes and designates Steven M. Spurlock (the “</w:t>
      </w:r>
      <w:r>
        <w:rPr>
          <w:rFonts w:ascii="Arial" w:cs="Arial" w:eastAsia="Arial" w:hAnsi="Arial"/>
          <w:sz w:val="18"/>
          <w:szCs w:val="18"/>
          <w:b w:val="1"/>
          <w:bCs w:val="1"/>
          <w:i w:val="1"/>
          <w:iCs w:val="1"/>
          <w:color w:val="auto"/>
        </w:rPr>
        <w:t>Authorized Signatory</w:t>
      </w:r>
      <w:r>
        <w:rPr>
          <w:rFonts w:ascii="Arial" w:cs="Arial" w:eastAsia="Arial" w:hAnsi="Arial"/>
          <w:sz w:val="18"/>
          <w:szCs w:val="18"/>
          <w:color w:val="auto"/>
        </w:rPr>
        <w:t>”) to execute and file on behalf of such Reporting Person the Reports and to perform any and all other acts, which in the opinion of the Designated Filer or Authorized Signatory may be necessary or incidental to the performance of the foregoing powers herein granted.</w:t>
      </w:r>
    </w:p>
    <w:p>
      <w:pPr>
        <w:spacing w:after="0" w:line="20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The authority of the Designated Filer and the Authorized Signatory under this Document with respect to each Reporting Person shall continue until such Reporting Person is no longer required to file any Reports with respect to the Reporting Person’s ownership of, or transactions in, the securities of the Companies, unless earlier revoked in writing. Each Reporting Person acknowledges that the Designated Filer and the Authorized Signatory are not assuming any of the Reporting Person’s responsibilities to comply with the Act or the Exchange Act.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July 27, 2011</w:t>
            </w:r>
          </w:p>
        </w:tc>
        <w:tc>
          <w:tcPr>
            <w:tcW w:w="2380" w:type="dxa"/>
            <w:vAlign w:val="bottom"/>
          </w:tcPr>
          <w:p>
            <w:pPr>
              <w:ind w:left="18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Michael A. Eisenberg</w:t>
            </w:r>
          </w:p>
        </w:tc>
        <w:tc>
          <w:tcPr>
            <w:tcW w:w="1140" w:type="dxa"/>
            <w:vAlign w:val="bottom"/>
          </w:tcPr>
          <w:p>
            <w:pPr>
              <w:spacing w:after="0"/>
              <w:rPr>
                <w:sz w:val="19"/>
                <w:szCs w:val="19"/>
                <w:color w:val="auto"/>
              </w:rPr>
            </w:pPr>
          </w:p>
        </w:tc>
      </w:tr>
      <w:tr>
        <w:trPr>
          <w:trHeight w:val="230"/>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Michael A. Eisenberg</w:t>
            </w:r>
          </w:p>
        </w:tc>
        <w:tc>
          <w:tcPr>
            <w:tcW w:w="1140" w:type="dxa"/>
            <w:vAlign w:val="bottom"/>
          </w:tcPr>
          <w:p>
            <w:pPr>
              <w:spacing w:after="0"/>
              <w:rPr>
                <w:sz w:val="20"/>
                <w:szCs w:val="20"/>
                <w:color w:val="auto"/>
              </w:rPr>
            </w:pPr>
          </w:p>
        </w:tc>
      </w:tr>
      <w:tr>
        <w:trPr>
          <w:trHeight w:val="425"/>
        </w:trPr>
        <w:tc>
          <w:tcPr>
            <w:tcW w:w="2780" w:type="dxa"/>
            <w:vAlign w:val="bottom"/>
          </w:tcPr>
          <w:p>
            <w:pPr>
              <w:spacing w:after="0"/>
              <w:rPr>
                <w:sz w:val="20"/>
                <w:szCs w:val="20"/>
                <w:color w:val="auto"/>
              </w:rPr>
            </w:pPr>
            <w:r>
              <w:rPr>
                <w:rFonts w:ascii="Arial" w:cs="Arial" w:eastAsia="Arial" w:hAnsi="Arial"/>
                <w:sz w:val="18"/>
                <w:szCs w:val="18"/>
                <w:color w:val="auto"/>
              </w:rPr>
              <w:t>July 27, 2011</w:t>
            </w:r>
          </w:p>
        </w:tc>
        <w:tc>
          <w:tcPr>
            <w:tcW w:w="2380" w:type="dxa"/>
            <w:vAlign w:val="bottom"/>
          </w:tcPr>
          <w:p>
            <w:pPr>
              <w:ind w:left="18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Arad Naveh</w:t>
            </w:r>
          </w:p>
        </w:tc>
        <w:tc>
          <w:tcPr>
            <w:tcW w:w="1140" w:type="dxa"/>
            <w:vAlign w:val="bottom"/>
          </w:tcPr>
          <w:p>
            <w:pPr>
              <w:spacing w:after="0"/>
              <w:rPr>
                <w:sz w:val="24"/>
                <w:szCs w:val="24"/>
                <w:color w:val="auto"/>
              </w:rPr>
            </w:pPr>
          </w:p>
        </w:tc>
      </w:tr>
      <w:tr>
        <w:trPr>
          <w:trHeight w:val="230"/>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Arad Naveh</w:t>
            </w:r>
          </w:p>
        </w:tc>
        <w:tc>
          <w:tcPr>
            <w:tcW w:w="1140" w:type="dxa"/>
            <w:vAlign w:val="bottom"/>
          </w:tcPr>
          <w:p>
            <w:pPr>
              <w:spacing w:after="0"/>
              <w:rPr>
                <w:sz w:val="20"/>
                <w:szCs w:val="20"/>
                <w:color w:val="auto"/>
              </w:rPr>
            </w:pPr>
          </w:p>
        </w:tc>
      </w:tr>
      <w:tr>
        <w:trPr>
          <w:trHeight w:val="425"/>
        </w:trPr>
        <w:tc>
          <w:tcPr>
            <w:tcW w:w="2780" w:type="dxa"/>
            <w:vAlign w:val="bottom"/>
          </w:tcPr>
          <w:p>
            <w:pPr>
              <w:spacing w:after="0"/>
              <w:rPr>
                <w:sz w:val="20"/>
                <w:szCs w:val="20"/>
                <w:color w:val="auto"/>
              </w:rPr>
            </w:pPr>
            <w:r>
              <w:rPr>
                <w:rFonts w:ascii="Arial" w:cs="Arial" w:eastAsia="Arial" w:hAnsi="Arial"/>
                <w:sz w:val="18"/>
                <w:szCs w:val="18"/>
                <w:color w:val="auto"/>
              </w:rPr>
              <w:t>July 27, 2011</w:t>
            </w:r>
          </w:p>
        </w:tc>
        <w:tc>
          <w:tcPr>
            <w:tcW w:w="2380" w:type="dxa"/>
            <w:vAlign w:val="bottom"/>
          </w:tcPr>
          <w:p>
            <w:pPr>
              <w:ind w:left="18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Elie Wurtman</w:t>
            </w:r>
          </w:p>
        </w:tc>
        <w:tc>
          <w:tcPr>
            <w:tcW w:w="1140" w:type="dxa"/>
            <w:vAlign w:val="bottom"/>
          </w:tcPr>
          <w:p>
            <w:pPr>
              <w:spacing w:after="0"/>
              <w:rPr>
                <w:sz w:val="24"/>
                <w:szCs w:val="24"/>
                <w:color w:val="auto"/>
              </w:rPr>
            </w:pPr>
          </w:p>
        </w:tc>
      </w:tr>
      <w:tr>
        <w:trPr>
          <w:trHeight w:val="230"/>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Elie Wurtman</w:t>
            </w:r>
          </w:p>
        </w:tc>
        <w:tc>
          <w:tcPr>
            <w:tcW w:w="1140" w:type="dxa"/>
            <w:vAlign w:val="bottom"/>
          </w:tcPr>
          <w:p>
            <w:pPr>
              <w:spacing w:after="0"/>
              <w:rPr>
                <w:sz w:val="20"/>
                <w:szCs w:val="20"/>
                <w:color w:val="auto"/>
              </w:rPr>
            </w:pPr>
          </w:p>
        </w:tc>
      </w:tr>
      <w:tr>
        <w:trPr>
          <w:trHeight w:val="644"/>
        </w:trPr>
        <w:tc>
          <w:tcPr>
            <w:tcW w:w="278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July 28, 2011</w:t>
            </w:r>
          </w:p>
        </w:tc>
        <w:tc>
          <w:tcPr>
            <w:tcW w:w="7500" w:type="dxa"/>
            <w:vAlign w:val="bottom"/>
            <w:gridSpan w:val="2"/>
          </w:tcPr>
          <w:p>
            <w:pPr>
              <w:ind w:left="1800"/>
              <w:spacing w:after="0"/>
              <w:rPr>
                <w:sz w:val="20"/>
                <w:szCs w:val="20"/>
                <w:color w:val="auto"/>
              </w:rPr>
            </w:pPr>
            <w:r>
              <w:rPr>
                <w:rFonts w:ascii="Arial" w:cs="Arial" w:eastAsia="Arial" w:hAnsi="Arial"/>
                <w:sz w:val="18"/>
                <w:szCs w:val="18"/>
                <w:color w:val="auto"/>
              </w:rPr>
              <w:t>BCPI CORPORATION II,</w:t>
            </w:r>
          </w:p>
        </w:tc>
        <w:tc>
          <w:tcPr>
            <w:tcW w:w="1140" w:type="dxa"/>
            <w:vAlign w:val="bottom"/>
          </w:tcPr>
          <w:p>
            <w:pPr>
              <w:spacing w:after="0"/>
              <w:rPr>
                <w:sz w:val="18"/>
                <w:szCs w:val="18"/>
                <w:color w:val="auto"/>
              </w:rPr>
            </w:pPr>
          </w:p>
        </w:tc>
      </w:tr>
      <w:tr>
        <w:trPr>
          <w:trHeight w:val="230"/>
        </w:trPr>
        <w:tc>
          <w:tcPr>
            <w:tcW w:w="2780" w:type="dxa"/>
            <w:vAlign w:val="bottom"/>
          </w:tcPr>
          <w:p>
            <w:pPr>
              <w:spacing w:after="0"/>
              <w:rPr>
                <w:sz w:val="20"/>
                <w:szCs w:val="20"/>
                <w:color w:val="auto"/>
              </w:rPr>
            </w:pPr>
          </w:p>
        </w:tc>
        <w:tc>
          <w:tcPr>
            <w:tcW w:w="7500" w:type="dxa"/>
            <w:vAlign w:val="bottom"/>
            <w:gridSpan w:val="2"/>
          </w:tcPr>
          <w:p>
            <w:pPr>
              <w:ind w:left="1800"/>
              <w:spacing w:after="0"/>
              <w:rPr>
                <w:sz w:val="20"/>
                <w:szCs w:val="20"/>
                <w:color w:val="auto"/>
              </w:rPr>
            </w:pPr>
            <w:r>
              <w:rPr>
                <w:rFonts w:ascii="Arial" w:cs="Arial" w:eastAsia="Arial" w:hAnsi="Arial"/>
                <w:sz w:val="18"/>
                <w:szCs w:val="18"/>
                <w:color w:val="auto"/>
              </w:rPr>
              <w:t>a Delaware Corporation</w:t>
            </w:r>
          </w:p>
        </w:tc>
        <w:tc>
          <w:tcPr>
            <w:tcW w:w="1140" w:type="dxa"/>
            <w:vAlign w:val="bottom"/>
          </w:tcPr>
          <w:p>
            <w:pPr>
              <w:spacing w:after="0"/>
              <w:rPr>
                <w:sz w:val="20"/>
                <w:szCs w:val="20"/>
                <w:color w:val="auto"/>
              </w:rPr>
            </w:pPr>
          </w:p>
        </w:tc>
      </w:tr>
      <w:tr>
        <w:trPr>
          <w:trHeight w:val="439"/>
        </w:trPr>
        <w:tc>
          <w:tcPr>
            <w:tcW w:w="2780" w:type="dxa"/>
            <w:vAlign w:val="bottom"/>
          </w:tcPr>
          <w:p>
            <w:pPr>
              <w:spacing w:after="0"/>
              <w:rPr>
                <w:sz w:val="24"/>
                <w:szCs w:val="24"/>
                <w:color w:val="auto"/>
              </w:rPr>
            </w:pPr>
          </w:p>
        </w:tc>
        <w:tc>
          <w:tcPr>
            <w:tcW w:w="2380" w:type="dxa"/>
            <w:vAlign w:val="bottom"/>
          </w:tcPr>
          <w:p>
            <w:pPr>
              <w:ind w:left="18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Steven M. Spurlock</w:t>
            </w:r>
          </w:p>
        </w:tc>
        <w:tc>
          <w:tcPr>
            <w:tcW w:w="1140" w:type="dxa"/>
            <w:vAlign w:val="bottom"/>
          </w:tcPr>
          <w:p>
            <w:pPr>
              <w:spacing w:after="0"/>
              <w:rPr>
                <w:sz w:val="24"/>
                <w:szCs w:val="24"/>
                <w:color w:val="auto"/>
              </w:rPr>
            </w:pPr>
          </w:p>
        </w:tc>
      </w:tr>
      <w:tr>
        <w:trPr>
          <w:trHeight w:val="230"/>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Steven M. Spurlock, Officer</w:t>
            </w:r>
          </w:p>
        </w:tc>
        <w:tc>
          <w:tcPr>
            <w:tcW w:w="1140" w:type="dxa"/>
            <w:vAlign w:val="bottom"/>
          </w:tcPr>
          <w:p>
            <w:pPr>
              <w:spacing w:after="0"/>
              <w:rPr>
                <w:sz w:val="20"/>
                <w:szCs w:val="20"/>
                <w:color w:val="auto"/>
              </w:rPr>
            </w:pPr>
          </w:p>
        </w:tc>
      </w:tr>
      <w:tr>
        <w:trPr>
          <w:trHeight w:val="404"/>
        </w:trPr>
        <w:tc>
          <w:tcPr>
            <w:tcW w:w="2780" w:type="dxa"/>
            <w:vAlign w:val="bottom"/>
          </w:tcPr>
          <w:p>
            <w:pPr>
              <w:spacing w:after="0"/>
              <w:rPr>
                <w:sz w:val="20"/>
                <w:szCs w:val="20"/>
                <w:color w:val="auto"/>
              </w:rPr>
            </w:pPr>
            <w:r>
              <w:rPr>
                <w:rFonts w:ascii="Arial" w:cs="Arial" w:eastAsia="Arial" w:hAnsi="Arial"/>
                <w:sz w:val="18"/>
                <w:szCs w:val="18"/>
                <w:color w:val="auto"/>
              </w:rPr>
              <w:t>July 28, 2011</w:t>
            </w:r>
          </w:p>
        </w:tc>
        <w:tc>
          <w:tcPr>
            <w:tcW w:w="7500" w:type="dxa"/>
            <w:vAlign w:val="bottom"/>
            <w:gridSpan w:val="2"/>
          </w:tcPr>
          <w:p>
            <w:pPr>
              <w:ind w:left="1800"/>
              <w:spacing w:after="0"/>
              <w:rPr>
                <w:sz w:val="20"/>
                <w:szCs w:val="20"/>
                <w:color w:val="auto"/>
              </w:rPr>
            </w:pPr>
            <w:r>
              <w:rPr>
                <w:rFonts w:ascii="Arial" w:cs="Arial" w:eastAsia="Arial" w:hAnsi="Arial"/>
                <w:sz w:val="18"/>
                <w:szCs w:val="18"/>
                <w:color w:val="auto"/>
              </w:rPr>
              <w:t>BCPI PARTNERS II, L.P.,</w:t>
            </w:r>
          </w:p>
        </w:tc>
        <w:tc>
          <w:tcPr>
            <w:tcW w:w="1140" w:type="dxa"/>
            <w:vAlign w:val="bottom"/>
          </w:tcPr>
          <w:p>
            <w:pPr>
              <w:spacing w:after="0"/>
              <w:rPr>
                <w:sz w:val="24"/>
                <w:szCs w:val="24"/>
                <w:color w:val="auto"/>
              </w:rPr>
            </w:pPr>
          </w:p>
        </w:tc>
      </w:tr>
      <w:tr>
        <w:trPr>
          <w:trHeight w:val="230"/>
        </w:trPr>
        <w:tc>
          <w:tcPr>
            <w:tcW w:w="2780" w:type="dxa"/>
            <w:vAlign w:val="bottom"/>
          </w:tcPr>
          <w:p>
            <w:pPr>
              <w:spacing w:after="0"/>
              <w:rPr>
                <w:sz w:val="20"/>
                <w:szCs w:val="20"/>
                <w:color w:val="auto"/>
              </w:rPr>
            </w:pPr>
          </w:p>
        </w:tc>
        <w:tc>
          <w:tcPr>
            <w:tcW w:w="7500" w:type="dxa"/>
            <w:vAlign w:val="bottom"/>
            <w:gridSpan w:val="2"/>
          </w:tcPr>
          <w:p>
            <w:pPr>
              <w:ind w:left="1800"/>
              <w:spacing w:after="0"/>
              <w:rPr>
                <w:sz w:val="20"/>
                <w:szCs w:val="20"/>
                <w:color w:val="auto"/>
              </w:rPr>
            </w:pPr>
            <w:r>
              <w:rPr>
                <w:rFonts w:ascii="Arial" w:cs="Arial" w:eastAsia="Arial" w:hAnsi="Arial"/>
                <w:sz w:val="18"/>
                <w:szCs w:val="18"/>
                <w:color w:val="auto"/>
              </w:rPr>
              <w:t>a Delaware Limited Partnership</w:t>
            </w:r>
          </w:p>
        </w:tc>
        <w:tc>
          <w:tcPr>
            <w:tcW w:w="1140" w:type="dxa"/>
            <w:vAlign w:val="bottom"/>
          </w:tcPr>
          <w:p>
            <w:pPr>
              <w:spacing w:after="0"/>
              <w:rPr>
                <w:sz w:val="20"/>
                <w:szCs w:val="20"/>
                <w:color w:val="auto"/>
              </w:rPr>
            </w:pPr>
          </w:p>
        </w:tc>
      </w:tr>
      <w:tr>
        <w:trPr>
          <w:trHeight w:val="418"/>
        </w:trPr>
        <w:tc>
          <w:tcPr>
            <w:tcW w:w="2780" w:type="dxa"/>
            <w:vAlign w:val="bottom"/>
          </w:tcPr>
          <w:p>
            <w:pPr>
              <w:spacing w:after="0"/>
              <w:rPr>
                <w:sz w:val="24"/>
                <w:szCs w:val="24"/>
                <w:color w:val="auto"/>
              </w:rPr>
            </w:pPr>
          </w:p>
        </w:tc>
        <w:tc>
          <w:tcPr>
            <w:tcW w:w="2380" w:type="dxa"/>
            <w:vAlign w:val="bottom"/>
          </w:tcPr>
          <w:p>
            <w:pPr>
              <w:ind w:left="1800"/>
              <w:spacing w:after="0"/>
              <w:rPr>
                <w:sz w:val="20"/>
                <w:szCs w:val="20"/>
                <w:color w:val="auto"/>
              </w:rPr>
            </w:pPr>
            <w:r>
              <w:rPr>
                <w:rFonts w:ascii="Arial" w:cs="Arial" w:eastAsia="Arial" w:hAnsi="Arial"/>
                <w:sz w:val="18"/>
                <w:szCs w:val="18"/>
                <w:color w:val="auto"/>
              </w:rPr>
              <w:t>By:</w:t>
            </w:r>
          </w:p>
        </w:tc>
        <w:tc>
          <w:tcPr>
            <w:tcW w:w="5120" w:type="dxa"/>
            <w:vAlign w:val="bottom"/>
          </w:tcPr>
          <w:p>
            <w:pPr>
              <w:spacing w:after="0"/>
              <w:rPr>
                <w:sz w:val="20"/>
                <w:szCs w:val="20"/>
                <w:color w:val="auto"/>
              </w:rPr>
            </w:pPr>
            <w:r>
              <w:rPr>
                <w:rFonts w:ascii="Arial" w:cs="Arial" w:eastAsia="Arial" w:hAnsi="Arial"/>
                <w:sz w:val="18"/>
                <w:szCs w:val="18"/>
                <w:color w:val="auto"/>
              </w:rPr>
              <w:t>BCPI Corporation II,</w:t>
            </w:r>
          </w:p>
        </w:tc>
        <w:tc>
          <w:tcPr>
            <w:tcW w:w="1140" w:type="dxa"/>
            <w:vAlign w:val="bottom"/>
          </w:tcPr>
          <w:p>
            <w:pPr>
              <w:spacing w:after="0"/>
              <w:rPr>
                <w:sz w:val="24"/>
                <w:szCs w:val="24"/>
                <w:color w:val="auto"/>
              </w:rPr>
            </w:pPr>
          </w:p>
        </w:tc>
      </w:tr>
      <w:tr>
        <w:trPr>
          <w:trHeight w:val="216"/>
        </w:trPr>
        <w:tc>
          <w:tcPr>
            <w:tcW w:w="27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 Delaware Corporation</w:t>
            </w:r>
          </w:p>
        </w:tc>
        <w:tc>
          <w:tcPr>
            <w:tcW w:w="1140" w:type="dxa"/>
            <w:vAlign w:val="bottom"/>
          </w:tcPr>
          <w:p>
            <w:pPr>
              <w:spacing w:after="0"/>
              <w:rPr>
                <w:sz w:val="18"/>
                <w:szCs w:val="18"/>
                <w:color w:val="auto"/>
              </w:rPr>
            </w:pPr>
          </w:p>
        </w:tc>
      </w:tr>
      <w:tr>
        <w:trPr>
          <w:trHeight w:val="230"/>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Its General Partner</w:t>
            </w:r>
          </w:p>
        </w:tc>
        <w:tc>
          <w:tcPr>
            <w:tcW w:w="1140" w:type="dxa"/>
            <w:vAlign w:val="bottom"/>
          </w:tcPr>
          <w:p>
            <w:pPr>
              <w:spacing w:after="0"/>
              <w:rPr>
                <w:sz w:val="20"/>
                <w:szCs w:val="20"/>
                <w:color w:val="auto"/>
              </w:rPr>
            </w:pPr>
          </w:p>
        </w:tc>
      </w:tr>
      <w:tr>
        <w:trPr>
          <w:trHeight w:val="439"/>
        </w:trPr>
        <w:tc>
          <w:tcPr>
            <w:tcW w:w="2780" w:type="dxa"/>
            <w:vAlign w:val="bottom"/>
          </w:tcPr>
          <w:p>
            <w:pPr>
              <w:spacing w:after="0"/>
              <w:rPr>
                <w:sz w:val="24"/>
                <w:szCs w:val="24"/>
                <w:color w:val="auto"/>
              </w:rPr>
            </w:pPr>
          </w:p>
        </w:tc>
        <w:tc>
          <w:tcPr>
            <w:tcW w:w="2380" w:type="dxa"/>
            <w:vAlign w:val="bottom"/>
          </w:tcPr>
          <w:p>
            <w:pPr>
              <w:ind w:left="18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Steven M. Spurlock</w:t>
            </w:r>
          </w:p>
        </w:tc>
        <w:tc>
          <w:tcPr>
            <w:tcW w:w="1140" w:type="dxa"/>
            <w:vAlign w:val="bottom"/>
          </w:tcPr>
          <w:p>
            <w:pPr>
              <w:spacing w:after="0"/>
              <w:rPr>
                <w:sz w:val="24"/>
                <w:szCs w:val="24"/>
                <w:color w:val="auto"/>
              </w:rPr>
            </w:pPr>
          </w:p>
        </w:tc>
      </w:tr>
      <w:tr>
        <w:trPr>
          <w:trHeight w:val="230"/>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Steven M. Spurlock, Officer</w:t>
            </w:r>
          </w:p>
        </w:tc>
        <w:tc>
          <w:tcPr>
            <w:tcW w:w="1140" w:type="dxa"/>
            <w:vAlign w:val="bottom"/>
          </w:tcPr>
          <w:p>
            <w:pPr>
              <w:spacing w:after="0"/>
              <w:rPr>
                <w:sz w:val="20"/>
                <w:szCs w:val="20"/>
                <w:color w:val="auto"/>
              </w:rPr>
            </w:pPr>
          </w:p>
        </w:tc>
      </w:tr>
      <w:tr>
        <w:trPr>
          <w:trHeight w:val="404"/>
        </w:trPr>
        <w:tc>
          <w:tcPr>
            <w:tcW w:w="2780" w:type="dxa"/>
            <w:vAlign w:val="bottom"/>
          </w:tcPr>
          <w:p>
            <w:pPr>
              <w:spacing w:after="0"/>
              <w:rPr>
                <w:sz w:val="20"/>
                <w:szCs w:val="20"/>
                <w:color w:val="auto"/>
              </w:rPr>
            </w:pPr>
            <w:r>
              <w:rPr>
                <w:rFonts w:ascii="Arial" w:cs="Arial" w:eastAsia="Arial" w:hAnsi="Arial"/>
                <w:sz w:val="18"/>
                <w:szCs w:val="18"/>
                <w:color w:val="auto"/>
              </w:rPr>
              <w:t>July 28, 2011</w:t>
            </w:r>
          </w:p>
        </w:tc>
        <w:tc>
          <w:tcPr>
            <w:tcW w:w="7500" w:type="dxa"/>
            <w:vAlign w:val="bottom"/>
            <w:gridSpan w:val="2"/>
          </w:tcPr>
          <w:p>
            <w:pPr>
              <w:ind w:left="1800"/>
              <w:spacing w:after="0"/>
              <w:rPr>
                <w:sz w:val="20"/>
                <w:szCs w:val="20"/>
                <w:color w:val="auto"/>
              </w:rPr>
            </w:pPr>
            <w:r>
              <w:rPr>
                <w:rFonts w:ascii="Arial" w:cs="Arial" w:eastAsia="Arial" w:hAnsi="Arial"/>
                <w:sz w:val="18"/>
                <w:szCs w:val="18"/>
                <w:color w:val="auto"/>
              </w:rPr>
              <w:t>BENCHMARK ISRAEL II, L.P.,</w:t>
            </w:r>
          </w:p>
        </w:tc>
        <w:tc>
          <w:tcPr>
            <w:tcW w:w="1140" w:type="dxa"/>
            <w:vAlign w:val="bottom"/>
          </w:tcPr>
          <w:p>
            <w:pPr>
              <w:spacing w:after="0"/>
              <w:rPr>
                <w:sz w:val="24"/>
                <w:szCs w:val="24"/>
                <w:color w:val="auto"/>
              </w:rPr>
            </w:pPr>
          </w:p>
        </w:tc>
      </w:tr>
      <w:tr>
        <w:trPr>
          <w:trHeight w:val="230"/>
        </w:trPr>
        <w:tc>
          <w:tcPr>
            <w:tcW w:w="2780" w:type="dxa"/>
            <w:vAlign w:val="bottom"/>
          </w:tcPr>
          <w:p>
            <w:pPr>
              <w:spacing w:after="0"/>
              <w:rPr>
                <w:sz w:val="20"/>
                <w:szCs w:val="20"/>
                <w:color w:val="auto"/>
              </w:rPr>
            </w:pPr>
          </w:p>
        </w:tc>
        <w:tc>
          <w:tcPr>
            <w:tcW w:w="7500" w:type="dxa"/>
            <w:vAlign w:val="bottom"/>
            <w:gridSpan w:val="2"/>
          </w:tcPr>
          <w:p>
            <w:pPr>
              <w:ind w:left="1800"/>
              <w:spacing w:after="0"/>
              <w:rPr>
                <w:sz w:val="20"/>
                <w:szCs w:val="20"/>
                <w:color w:val="auto"/>
              </w:rPr>
            </w:pPr>
            <w:r>
              <w:rPr>
                <w:rFonts w:ascii="Arial" w:cs="Arial" w:eastAsia="Arial" w:hAnsi="Arial"/>
                <w:sz w:val="18"/>
                <w:szCs w:val="18"/>
                <w:color w:val="auto"/>
              </w:rPr>
              <w:t>a Delaware Limited Partnership</w:t>
            </w:r>
          </w:p>
        </w:tc>
        <w:tc>
          <w:tcPr>
            <w:tcW w:w="1140" w:type="dxa"/>
            <w:vAlign w:val="bottom"/>
          </w:tcPr>
          <w:p>
            <w:pPr>
              <w:spacing w:after="0"/>
              <w:rPr>
                <w:sz w:val="20"/>
                <w:szCs w:val="20"/>
                <w:color w:val="auto"/>
              </w:rPr>
            </w:pPr>
          </w:p>
        </w:tc>
      </w:tr>
      <w:tr>
        <w:trPr>
          <w:trHeight w:val="418"/>
        </w:trPr>
        <w:tc>
          <w:tcPr>
            <w:tcW w:w="2780" w:type="dxa"/>
            <w:vAlign w:val="bottom"/>
          </w:tcPr>
          <w:p>
            <w:pPr>
              <w:spacing w:after="0"/>
              <w:rPr>
                <w:sz w:val="24"/>
                <w:szCs w:val="24"/>
                <w:color w:val="auto"/>
              </w:rPr>
            </w:pPr>
          </w:p>
        </w:tc>
        <w:tc>
          <w:tcPr>
            <w:tcW w:w="2380" w:type="dxa"/>
            <w:vAlign w:val="bottom"/>
          </w:tcPr>
          <w:p>
            <w:pPr>
              <w:ind w:left="1800"/>
              <w:spacing w:after="0"/>
              <w:rPr>
                <w:sz w:val="20"/>
                <w:szCs w:val="20"/>
                <w:color w:val="auto"/>
              </w:rPr>
            </w:pPr>
            <w:r>
              <w:rPr>
                <w:rFonts w:ascii="Arial" w:cs="Arial" w:eastAsia="Arial" w:hAnsi="Arial"/>
                <w:sz w:val="18"/>
                <w:szCs w:val="18"/>
                <w:color w:val="auto"/>
              </w:rPr>
              <w:t>By:</w:t>
            </w:r>
          </w:p>
        </w:tc>
        <w:tc>
          <w:tcPr>
            <w:tcW w:w="5120" w:type="dxa"/>
            <w:vAlign w:val="bottom"/>
          </w:tcPr>
          <w:p>
            <w:pPr>
              <w:spacing w:after="0"/>
              <w:rPr>
                <w:sz w:val="20"/>
                <w:szCs w:val="20"/>
                <w:color w:val="auto"/>
              </w:rPr>
            </w:pPr>
            <w:r>
              <w:rPr>
                <w:rFonts w:ascii="Arial" w:cs="Arial" w:eastAsia="Arial" w:hAnsi="Arial"/>
                <w:sz w:val="18"/>
                <w:szCs w:val="18"/>
                <w:color w:val="auto"/>
              </w:rPr>
              <w:t>BCPI PARTNERS II, L.P.,</w:t>
            </w:r>
          </w:p>
        </w:tc>
        <w:tc>
          <w:tcPr>
            <w:tcW w:w="1140" w:type="dxa"/>
            <w:vAlign w:val="bottom"/>
          </w:tcPr>
          <w:p>
            <w:pPr>
              <w:spacing w:after="0"/>
              <w:rPr>
                <w:sz w:val="24"/>
                <w:szCs w:val="24"/>
                <w:color w:val="auto"/>
              </w:rPr>
            </w:pPr>
          </w:p>
        </w:tc>
      </w:tr>
      <w:tr>
        <w:trPr>
          <w:trHeight w:val="216"/>
        </w:trPr>
        <w:tc>
          <w:tcPr>
            <w:tcW w:w="27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 Delaware Limited Partnership</w:t>
            </w:r>
          </w:p>
        </w:tc>
        <w:tc>
          <w:tcPr>
            <w:tcW w:w="1140" w:type="dxa"/>
            <w:vAlign w:val="bottom"/>
          </w:tcPr>
          <w:p>
            <w:pPr>
              <w:spacing w:after="0"/>
              <w:rPr>
                <w:sz w:val="18"/>
                <w:szCs w:val="18"/>
                <w:color w:val="auto"/>
              </w:rPr>
            </w:pPr>
          </w:p>
        </w:tc>
      </w:tr>
      <w:tr>
        <w:trPr>
          <w:trHeight w:val="230"/>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Its General Partner</w:t>
            </w:r>
          </w:p>
        </w:tc>
        <w:tc>
          <w:tcPr>
            <w:tcW w:w="1140" w:type="dxa"/>
            <w:vAlign w:val="bottom"/>
          </w:tcPr>
          <w:p>
            <w:pPr>
              <w:spacing w:after="0"/>
              <w:rPr>
                <w:sz w:val="20"/>
                <w:szCs w:val="20"/>
                <w:color w:val="auto"/>
              </w:rPr>
            </w:pPr>
          </w:p>
        </w:tc>
      </w:tr>
      <w:tr>
        <w:trPr>
          <w:trHeight w:val="418"/>
        </w:trPr>
        <w:tc>
          <w:tcPr>
            <w:tcW w:w="2780" w:type="dxa"/>
            <w:vAlign w:val="bottom"/>
          </w:tcPr>
          <w:p>
            <w:pPr>
              <w:spacing w:after="0"/>
              <w:rPr>
                <w:sz w:val="24"/>
                <w:szCs w:val="24"/>
                <w:color w:val="auto"/>
              </w:rPr>
            </w:pPr>
          </w:p>
        </w:tc>
        <w:tc>
          <w:tcPr>
            <w:tcW w:w="2380" w:type="dxa"/>
            <w:vAlign w:val="bottom"/>
          </w:tcPr>
          <w:p>
            <w:pPr>
              <w:ind w:left="1800"/>
              <w:spacing w:after="0"/>
              <w:rPr>
                <w:sz w:val="20"/>
                <w:szCs w:val="20"/>
                <w:color w:val="auto"/>
              </w:rPr>
            </w:pPr>
            <w:r>
              <w:rPr>
                <w:rFonts w:ascii="Arial" w:cs="Arial" w:eastAsia="Arial" w:hAnsi="Arial"/>
                <w:sz w:val="18"/>
                <w:szCs w:val="18"/>
                <w:color w:val="auto"/>
              </w:rPr>
              <w:t>By:</w:t>
            </w:r>
          </w:p>
        </w:tc>
        <w:tc>
          <w:tcPr>
            <w:tcW w:w="5120" w:type="dxa"/>
            <w:vAlign w:val="bottom"/>
          </w:tcPr>
          <w:p>
            <w:pPr>
              <w:spacing w:after="0"/>
              <w:rPr>
                <w:sz w:val="20"/>
                <w:szCs w:val="20"/>
                <w:color w:val="auto"/>
              </w:rPr>
            </w:pPr>
            <w:r>
              <w:rPr>
                <w:rFonts w:ascii="Arial" w:cs="Arial" w:eastAsia="Arial" w:hAnsi="Arial"/>
                <w:sz w:val="18"/>
                <w:szCs w:val="18"/>
                <w:color w:val="auto"/>
              </w:rPr>
              <w:t>BCPI Corporation II,</w:t>
            </w:r>
          </w:p>
        </w:tc>
        <w:tc>
          <w:tcPr>
            <w:tcW w:w="1140" w:type="dxa"/>
            <w:vAlign w:val="bottom"/>
          </w:tcPr>
          <w:p>
            <w:pPr>
              <w:spacing w:after="0"/>
              <w:rPr>
                <w:sz w:val="24"/>
                <w:szCs w:val="24"/>
                <w:color w:val="auto"/>
              </w:rPr>
            </w:pPr>
          </w:p>
        </w:tc>
      </w:tr>
      <w:tr>
        <w:trPr>
          <w:trHeight w:val="216"/>
        </w:trPr>
        <w:tc>
          <w:tcPr>
            <w:tcW w:w="27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 Delaware Corporation</w:t>
            </w:r>
          </w:p>
        </w:tc>
        <w:tc>
          <w:tcPr>
            <w:tcW w:w="1140" w:type="dxa"/>
            <w:vAlign w:val="bottom"/>
          </w:tcPr>
          <w:p>
            <w:pPr>
              <w:spacing w:after="0"/>
              <w:rPr>
                <w:sz w:val="18"/>
                <w:szCs w:val="18"/>
                <w:color w:val="auto"/>
              </w:rPr>
            </w:pPr>
          </w:p>
        </w:tc>
      </w:tr>
      <w:tr>
        <w:trPr>
          <w:trHeight w:val="230"/>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Its General Partner</w:t>
            </w:r>
          </w:p>
        </w:tc>
        <w:tc>
          <w:tcPr>
            <w:tcW w:w="1140" w:type="dxa"/>
            <w:vAlign w:val="bottom"/>
          </w:tcPr>
          <w:p>
            <w:pPr>
              <w:spacing w:after="0"/>
              <w:rPr>
                <w:sz w:val="20"/>
                <w:szCs w:val="20"/>
                <w:color w:val="auto"/>
              </w:rPr>
            </w:pPr>
          </w:p>
        </w:tc>
      </w:tr>
      <w:tr>
        <w:trPr>
          <w:trHeight w:val="439"/>
        </w:trPr>
        <w:tc>
          <w:tcPr>
            <w:tcW w:w="2780" w:type="dxa"/>
            <w:vAlign w:val="bottom"/>
          </w:tcPr>
          <w:p>
            <w:pPr>
              <w:spacing w:after="0"/>
              <w:rPr>
                <w:sz w:val="24"/>
                <w:szCs w:val="24"/>
                <w:color w:val="auto"/>
              </w:rPr>
            </w:pPr>
          </w:p>
        </w:tc>
        <w:tc>
          <w:tcPr>
            <w:tcW w:w="2380" w:type="dxa"/>
            <w:vAlign w:val="bottom"/>
          </w:tcPr>
          <w:p>
            <w:pPr>
              <w:ind w:left="18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Steven M. Spurlock</w:t>
            </w:r>
          </w:p>
        </w:tc>
        <w:tc>
          <w:tcPr>
            <w:tcW w:w="1140" w:type="dxa"/>
            <w:vAlign w:val="bottom"/>
          </w:tcPr>
          <w:p>
            <w:pPr>
              <w:spacing w:after="0"/>
              <w:rPr>
                <w:sz w:val="24"/>
                <w:szCs w:val="24"/>
                <w:color w:val="auto"/>
              </w:rPr>
            </w:pPr>
          </w:p>
        </w:tc>
      </w:tr>
      <w:tr>
        <w:trPr>
          <w:trHeight w:val="230"/>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Steven M. Spurlock, Officer</w:t>
            </w:r>
          </w:p>
        </w:tc>
        <w:tc>
          <w:tcPr>
            <w:tcW w:w="1140" w:type="dxa"/>
            <w:vAlign w:val="bottom"/>
          </w:tcPr>
          <w:p>
            <w:pPr>
              <w:spacing w:after="0"/>
              <w:rPr>
                <w:sz w:val="20"/>
                <w:szCs w:val="20"/>
                <w:color w:val="auto"/>
              </w:rPr>
            </w:pPr>
          </w:p>
        </w:tc>
      </w:tr>
      <w:tr>
        <w:trPr>
          <w:trHeight w:val="644"/>
        </w:trPr>
        <w:tc>
          <w:tcPr>
            <w:tcW w:w="278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bullet"/>
      <w:start w:val="1"/>
    </w:lvl>
  </w:abstractNum>
  <w:abstractNum w:abstractNumId="2">
    <w:nsid w:val="1190CDE7"/>
    <w:multiLevelType w:val="hybridMultilevel"/>
    <w:lvl w:ilvl="0">
      <w:lvlJc w:val="left"/>
      <w:lvlText w:val="2"/>
      <w:numFmt w:val="bullet"/>
      <w:start w:val="1"/>
    </w:lvl>
  </w:abstractNum>
  <w:abstractNum w:abstractNumId="3">
    <w:nsid w:val="66EF438D"/>
    <w:multiLevelType w:val="hybridMultilevel"/>
    <w:lvl w:ilvl="0">
      <w:lvlJc w:val="left"/>
      <w:lvlText w:val="3"/>
      <w:numFmt w:val="bullet"/>
      <w:start w:val="1"/>
    </w:lvl>
  </w:abstractNum>
  <w:abstractNum w:abstractNumId="4">
    <w:nsid w:val="140E0F76"/>
    <w:multiLevelType w:val="hybridMultilevel"/>
    <w:lvl w:ilvl="0">
      <w:lvlJc w:val="left"/>
      <w:lvlText w:val="4"/>
      <w:numFmt w:val="bullet"/>
      <w:start w:val="1"/>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3"/>
      <w:numFmt w:val="bullet"/>
      <w:start w:val="1"/>
    </w:lvl>
  </w:abstractNum>
  <w:abstractNum w:abstractNumId="8">
    <w:nsid w:val="7FDCC233"/>
    <w:multiLevelType w:val="hybridMultilevel"/>
    <w:lvl w:ilvl="0">
      <w:lvlJc w:val="left"/>
      <w:lvlText w:val="4"/>
      <w:numFmt w:val="bullet"/>
      <w:start w:val="1"/>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2"/>
      <w:numFmt w:val="bullet"/>
      <w:start w:val="1"/>
    </w:lvl>
  </w:abstractNum>
  <w:abstractNum w:abstractNumId="11">
    <w:nsid w:val="6B68079A"/>
    <w:multiLevelType w:val="hybridMultilevel"/>
    <w:lvl w:ilvl="0">
      <w:lvlJc w:val="left"/>
      <w:lvlText w:val="3"/>
      <w:numFmt w:val="bullet"/>
      <w:start w:val="1"/>
    </w:lvl>
  </w:abstractNum>
  <w:abstractNum w:abstractNumId="12">
    <w:nsid w:val="4E6AFB66"/>
    <w:multiLevelType w:val="hybridMultilevel"/>
    <w:lvl w:ilvl="0">
      <w:lvlJc w:val="left"/>
      <w:lvlText w:val="4"/>
      <w:numFmt w:val="bullet"/>
      <w:start w:val="1"/>
    </w:lvl>
  </w:abstractNum>
  <w:abstractNum w:abstractNumId="13">
    <w:nsid w:val="25E45D32"/>
    <w:multiLevelType w:val="hybridMultilevel"/>
    <w:lvl w:ilvl="0">
      <w:lvlJc w:val="left"/>
      <w:lvlText w:val="3"/>
      <w:numFmt w:val="bullet"/>
      <w:start w:val="1"/>
    </w:lvl>
  </w:abstractNum>
  <w:abstractNum w:abstractNumId="14">
    <w:nsid w:val="519B500D"/>
    <w:multiLevelType w:val="hybridMultilevel"/>
    <w:lvl w:ilvl="0">
      <w:lvlJc w:val="left"/>
      <w:lvlText w:val="4"/>
      <w:numFmt w:val="bullet"/>
      <w:start w:val="1"/>
    </w:lvl>
  </w:abstractNum>
  <w:abstractNum w:abstractNumId="15">
    <w:nsid w:val="431BD7B7"/>
    <w:multiLevelType w:val="hybridMultilevel"/>
    <w:lvl w:ilvl="0">
      <w:lvlJc w:val="left"/>
      <w:lvlText w:val="3"/>
      <w:numFmt w:val="bullet"/>
      <w:start w:val="1"/>
    </w:lvl>
  </w:abstractNum>
  <w:abstractNum w:abstractNumId="16">
    <w:nsid w:val="3F2DBA31"/>
    <w:multiLevelType w:val="hybridMultilevel"/>
    <w:lvl w:ilvl="0">
      <w:lvlJc w:val="left"/>
      <w:lvlText w:val="4"/>
      <w:numFmt w:val="bullet"/>
      <w:start w:val="1"/>
    </w:lvl>
  </w:abstractNum>
  <w:abstractNum w:abstractNumId="17">
    <w:nsid w:val="7C83E458"/>
    <w:multiLevelType w:val="hybridMultilevel"/>
    <w:lvl w:ilvl="0">
      <w:lvlJc w:val="left"/>
      <w:lvlText w:val="3"/>
      <w:numFmt w:val="bullet"/>
      <w:start w:val="1"/>
    </w:lvl>
  </w:abstractNum>
  <w:abstractNum w:abstractNumId="18">
    <w:nsid w:val="257130A3"/>
    <w:multiLevelType w:val="hybridMultilevel"/>
    <w:lvl w:ilvl="0">
      <w:lvlJc w:val="left"/>
      <w:lvlText w:val="4"/>
      <w:numFmt w:val="bullet"/>
      <w:start w:val="1"/>
    </w:lvl>
  </w:abstractNum>
  <w:abstractNum w:abstractNumId="19">
    <w:nsid w:val="62BBD9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2019-12-11T07:02:58Z</dcterms:created>
  <dcterms:modified xsi:type="dcterms:W3CDTF">2019-12-11T07:02:58Z</dcterms:modified>
</cp:coreProperties>
</file>