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589280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657860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131" w:lineRule="exact"/>
        <w:rPr>
          <w:sz w:val="24"/>
          <w:szCs w:val="24"/>
          <w:color w:val="auto"/>
        </w:rPr>
      </w:pPr>
    </w:p>
    <w:p>
      <w:pPr>
        <w:ind w:left="60" w:right="299" w:hanging="10"/>
        <w:spacing w:after="0" w:line="242" w:lineRule="auto"/>
        <w:tabs>
          <w:tab w:leader="none" w:pos="708" w:val="left"/>
        </w:tabs>
        <w:numPr>
          <w:ilvl w:val="0"/>
          <w:numId w:val="1"/>
        </w:numPr>
        <w:rPr>
          <w:rFonts w:ascii="Arial" w:cs="Arial" w:eastAsia="Arial" w:hAnsi="Arial"/>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31" w:lineRule="exact"/>
        <w:rPr>
          <w:sz w:val="24"/>
          <w:szCs w:val="24"/>
          <w:color w:val="auto"/>
        </w:rPr>
      </w:pPr>
    </w:p>
    <w:p>
      <w:pPr>
        <w:ind w:left="60" w:right="279" w:hanging="10"/>
        <w:spacing w:after="0" w:line="242" w:lineRule="auto"/>
        <w:tabs>
          <w:tab w:leader="none" w:pos="708" w:val="left"/>
        </w:tabs>
        <w:numPr>
          <w:ilvl w:val="0"/>
          <w:numId w:val="2"/>
        </w:numPr>
        <w:rPr>
          <w:rFonts w:ascii="Arial" w:cs="Arial" w:eastAsia="Arial" w:hAnsi="Arial"/>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___ to ___</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XWELL,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7"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4640" w:type="dxa"/>
            <w:vAlign w:val="bottom"/>
          </w:tcPr>
          <w:p>
            <w:pPr>
              <w:jc w:val="center"/>
              <w:ind w:right="950"/>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jc w:val="right"/>
              <w:ind w:right="150"/>
              <w:spacing w:after="0"/>
              <w:rPr>
                <w:sz w:val="20"/>
                <w:szCs w:val="20"/>
                <w:color w:val="auto"/>
              </w:rPr>
            </w:pPr>
            <w:r>
              <w:rPr>
                <w:rFonts w:ascii="Arial" w:cs="Arial" w:eastAsia="Arial" w:hAnsi="Arial"/>
                <w:sz w:val="18"/>
                <w:szCs w:val="18"/>
                <w:b w:val="1"/>
                <w:bCs w:val="1"/>
                <w:color w:val="auto"/>
              </w:rPr>
              <w:t>20-4988129</w:t>
            </w:r>
          </w:p>
        </w:tc>
      </w:tr>
      <w:tr>
        <w:trPr>
          <w:trHeight w:val="216"/>
        </w:trPr>
        <w:tc>
          <w:tcPr>
            <w:tcW w:w="4640" w:type="dxa"/>
            <w:vAlign w:val="bottom"/>
          </w:tcPr>
          <w:p>
            <w:pPr>
              <w:jc w:val="center"/>
              <w:ind w:right="950"/>
              <w:spacing w:after="0"/>
              <w:rPr>
                <w:sz w:val="20"/>
                <w:szCs w:val="20"/>
                <w:color w:val="auto"/>
              </w:rPr>
            </w:pPr>
            <w:r>
              <w:rPr>
                <w:rFonts w:ascii="Arial" w:cs="Arial" w:eastAsia="Arial" w:hAnsi="Arial"/>
                <w:sz w:val="18"/>
                <w:szCs w:val="18"/>
                <w:color w:val="auto"/>
                <w:w w:val="92"/>
              </w:rPr>
              <w:t>(State or other jurisdiction of</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2"/>
              </w:rPr>
              <w:t>(I.R.S. Employer</w:t>
            </w:r>
          </w:p>
        </w:tc>
      </w:tr>
      <w:tr>
        <w:trPr>
          <w:trHeight w:val="230"/>
        </w:trPr>
        <w:tc>
          <w:tcPr>
            <w:tcW w:w="4640" w:type="dxa"/>
            <w:vAlign w:val="bottom"/>
          </w:tcPr>
          <w:p>
            <w:pPr>
              <w:jc w:val="center"/>
              <w:ind w:right="950"/>
              <w:spacing w:after="0"/>
              <w:rPr>
                <w:sz w:val="20"/>
                <w:szCs w:val="20"/>
                <w:color w:val="auto"/>
              </w:rPr>
            </w:pPr>
            <w:r>
              <w:rPr>
                <w:rFonts w:ascii="Arial" w:cs="Arial" w:eastAsia="Arial" w:hAnsi="Arial"/>
                <w:sz w:val="18"/>
                <w:szCs w:val="18"/>
                <w:color w:val="auto"/>
                <w:w w:val="92"/>
              </w:rPr>
              <w:t>incorporation or organization)</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r>
        <w:trPr>
          <w:trHeight w:val="323"/>
        </w:trPr>
        <w:tc>
          <w:tcPr>
            <w:tcW w:w="4640" w:type="dxa"/>
            <w:vAlign w:val="bottom"/>
          </w:tcPr>
          <w:p>
            <w:pPr>
              <w:jc w:val="center"/>
              <w:ind w:right="950"/>
              <w:spacing w:after="0"/>
              <w:rPr>
                <w:sz w:val="20"/>
                <w:szCs w:val="20"/>
                <w:color w:val="auto"/>
              </w:rPr>
            </w:pPr>
            <w:r>
              <w:rPr>
                <w:rFonts w:ascii="Arial" w:cs="Arial" w:eastAsia="Arial" w:hAnsi="Arial"/>
                <w:sz w:val="18"/>
                <w:szCs w:val="18"/>
                <w:b w:val="1"/>
                <w:bCs w:val="1"/>
                <w:color w:val="auto"/>
                <w:w w:val="90"/>
              </w:rPr>
              <w:t>254 West 31</w:t>
            </w:r>
            <w:r>
              <w:rPr>
                <w:rFonts w:ascii="Arial" w:cs="Arial" w:eastAsia="Arial" w:hAnsi="Arial"/>
                <w:sz w:val="26"/>
                <w:szCs w:val="26"/>
                <w:b w:val="1"/>
                <w:bCs w:val="1"/>
                <w:color w:val="auto"/>
                <w:w w:val="90"/>
                <w:vertAlign w:val="superscript"/>
              </w:rPr>
              <w:t>st</w:t>
            </w:r>
            <w:r>
              <w:rPr>
                <w:rFonts w:ascii="Arial" w:cs="Arial" w:eastAsia="Arial" w:hAnsi="Arial"/>
                <w:sz w:val="18"/>
                <w:szCs w:val="18"/>
                <w:b w:val="1"/>
                <w:bCs w:val="1"/>
                <w:color w:val="auto"/>
                <w:w w:val="90"/>
              </w:rPr>
              <w:t xml:space="preserve"> Street, 11th Floor, New York, NY</w:t>
            </w:r>
          </w:p>
        </w:tc>
        <w:tc>
          <w:tcPr>
            <w:tcW w:w="2360" w:type="dxa"/>
            <w:vAlign w:val="bottom"/>
          </w:tcPr>
          <w:p>
            <w:pPr>
              <w:jc w:val="right"/>
              <w:ind w:right="350"/>
              <w:spacing w:after="0"/>
              <w:rPr>
                <w:sz w:val="20"/>
                <w:szCs w:val="20"/>
                <w:color w:val="auto"/>
              </w:rPr>
            </w:pPr>
            <w:r>
              <w:rPr>
                <w:rFonts w:ascii="Arial" w:cs="Arial" w:eastAsia="Arial" w:hAnsi="Arial"/>
                <w:sz w:val="18"/>
                <w:szCs w:val="18"/>
                <w:b w:val="1"/>
                <w:bCs w:val="1"/>
                <w:color w:val="auto"/>
              </w:rPr>
              <w:t>10001</w:t>
            </w:r>
          </w:p>
        </w:tc>
      </w:tr>
      <w:tr>
        <w:trPr>
          <w:trHeight w:val="230"/>
        </w:trPr>
        <w:tc>
          <w:tcPr>
            <w:tcW w:w="4640" w:type="dxa"/>
            <w:vAlign w:val="bottom"/>
          </w:tcPr>
          <w:p>
            <w:pPr>
              <w:jc w:val="center"/>
              <w:ind w:right="97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bl>
    <w:p>
      <w:pPr>
        <w:spacing w:after="0" w:line="76" w:lineRule="exact"/>
        <w:rPr>
          <w:sz w:val="24"/>
          <w:szCs w:val="24"/>
          <w:color w:val="auto"/>
        </w:rPr>
      </w:pPr>
    </w:p>
    <w:p>
      <w:pPr>
        <w:ind w:left="19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750-9595</w:t>
      </w:r>
    </w:p>
    <w:p>
      <w:pPr>
        <w:spacing w:after="0" w:line="131"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60" w:type="dxa"/>
        <w:tblCellMar>
          <w:top w:w="0" w:type="dxa"/>
          <w:left w:w="0" w:type="dxa"/>
          <w:bottom w:w="0" w:type="dxa"/>
          <w:right w:w="0" w:type="dxa"/>
        </w:tblCellMar>
      </w:tblPr>
      <w:tr>
        <w:trPr>
          <w:trHeight w:val="241"/>
        </w:trPr>
        <w:tc>
          <w:tcPr>
            <w:tcW w:w="3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Title of each class</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Trading Symbol(s)</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80" w:type="dxa"/>
            <w:vAlign w:val="bottom"/>
          </w:tcPr>
          <w:p>
            <w:pPr>
              <w:spacing w:after="0"/>
              <w:rPr>
                <w:sz w:val="20"/>
                <w:szCs w:val="20"/>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XWEL</w:t>
            </w:r>
          </w:p>
        </w:tc>
        <w:tc>
          <w:tcPr>
            <w:tcW w:w="18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52" w:lineRule="exact"/>
        <w:rPr>
          <w:sz w:val="24"/>
          <w:szCs w:val="24"/>
          <w:color w:val="auto"/>
        </w:rPr>
      </w:pPr>
    </w:p>
    <w:p>
      <w:pPr>
        <w:jc w:val="both"/>
        <w:ind w:left="60" w:right="79"/>
        <w:spacing w:after="0" w:line="229"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w:t>
      </w:r>
    </w:p>
    <w:p>
      <w:pPr>
        <w:spacing w:after="0" w:line="1" w:lineRule="exact"/>
        <w:rPr>
          <w:sz w:val="24"/>
          <w:szCs w:val="24"/>
          <w:color w:val="auto"/>
        </w:rPr>
      </w:pPr>
    </w:p>
    <w:p>
      <w:pPr>
        <w:ind w:left="60"/>
        <w:spacing w:after="0" w:line="242" w:lineRule="exact"/>
        <w:tabs>
          <w:tab w:leader="none" w:pos="8300" w:val="left"/>
        </w:tabs>
        <w:rPr>
          <w:sz w:val="20"/>
          <w:szCs w:val="20"/>
          <w:color w:val="auto"/>
        </w:rPr>
      </w:pPr>
      <w:r>
        <w:rPr>
          <w:rFonts w:ascii="Arial" w:cs="Arial" w:eastAsia="Arial" w:hAnsi="Arial"/>
          <w:sz w:val="17"/>
          <w:szCs w:val="17"/>
          <w:color w:val="auto"/>
        </w:rPr>
        <w:t xml:space="preserve">required to file such reports), and (2) has been subject to such filing requirements for the past 90 days.  Yes </w:t>
      </w:r>
      <w:r>
        <w:rPr>
          <w:rFonts w:ascii="Arial Unicode MS" w:cs="Arial Unicode MS" w:eastAsia="Arial Unicode MS" w:hAnsi="Arial Unicode MS"/>
          <w:sz w:val="17"/>
          <w:szCs w:val="17"/>
          <w:color w:val="auto"/>
        </w:rPr>
        <w:t>⌧</w:t>
      </w:r>
      <w:r>
        <w:rPr>
          <w:sz w:val="20"/>
          <w:szCs w:val="20"/>
          <w:color w:val="auto"/>
        </w:rPr>
        <w:tab/>
      </w:r>
      <w:r>
        <w:rPr>
          <w:rFonts w:ascii="Arial" w:cs="Arial" w:eastAsia="Arial" w:hAnsi="Arial"/>
          <w:sz w:val="18"/>
          <w:szCs w:val="18"/>
          <w:color w:val="auto"/>
        </w:rPr>
        <w:t xml:space="preserve">No </w:t>
      </w:r>
      <w:r>
        <w:rPr>
          <w:rFonts w:ascii="Arial Unicode MS" w:cs="Arial Unicode MS" w:eastAsia="Arial Unicode MS" w:hAnsi="Arial Unicode MS"/>
          <w:sz w:val="18"/>
          <w:szCs w:val="18"/>
          <w:color w:val="auto"/>
        </w:rPr>
        <w:t>☐</w:t>
      </w:r>
    </w:p>
    <w:p>
      <w:pPr>
        <w:spacing w:after="0" w:line="46" w:lineRule="exact"/>
        <w:rPr>
          <w:sz w:val="24"/>
          <w:szCs w:val="24"/>
          <w:color w:val="auto"/>
        </w:rPr>
      </w:pPr>
    </w:p>
    <w:p>
      <w:pPr>
        <w:jc w:val="both"/>
        <w:ind w:left="60" w:right="59"/>
        <w:spacing w:after="0" w:line="20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53" w:lineRule="exact"/>
        <w:rPr>
          <w:sz w:val="24"/>
          <w:szCs w:val="24"/>
          <w:color w:val="auto"/>
        </w:rPr>
      </w:pPr>
    </w:p>
    <w:p>
      <w:pPr>
        <w:jc w:val="both"/>
        <w:ind w:left="60" w:right="79"/>
        <w:spacing w:after="0" w:line="23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60" w:type="dxa"/>
        <w:tblCellMar>
          <w:top w:w="0" w:type="dxa"/>
          <w:left w:w="0" w:type="dxa"/>
          <w:bottom w:w="0" w:type="dxa"/>
          <w:right w:w="0" w:type="dxa"/>
        </w:tblCellMar>
      </w:tblPr>
      <w:tr>
        <w:trPr>
          <w:trHeight w:val="241"/>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60" w:type="dxa"/>
            <w:vAlign w:val="bottom"/>
          </w:tcPr>
          <w:p>
            <w:pPr>
              <w:ind w:left="4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780" w:type="dxa"/>
            <w:vAlign w:val="bottom"/>
          </w:tcPr>
          <w:p>
            <w:pPr>
              <w:ind w:left="146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2060" w:type="dxa"/>
            <w:vAlign w:val="bottom"/>
          </w:tcPr>
          <w:p>
            <w:pPr>
              <w:ind w:left="400"/>
              <w:spacing w:after="0" w:line="216" w:lineRule="exact"/>
              <w:rPr>
                <w:sz w:val="20"/>
                <w:szCs w:val="20"/>
                <w:color w:val="auto"/>
              </w:rPr>
            </w:pPr>
            <w:r>
              <w:rPr>
                <w:rFonts w:ascii="Arial Unicode MS" w:cs="Arial Unicode MS" w:eastAsia="Arial Unicode MS" w:hAnsi="Arial Unicode MS"/>
                <w:sz w:val="18"/>
                <w:szCs w:val="18"/>
                <w:color w:val="auto"/>
              </w:rPr>
              <w:t>⌧</w:t>
            </w:r>
          </w:p>
        </w:tc>
        <w:tc>
          <w:tcPr>
            <w:tcW w:w="3780" w:type="dxa"/>
            <w:vAlign w:val="bottom"/>
          </w:tcPr>
          <w:p>
            <w:pPr>
              <w:ind w:left="146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216" w:lineRule="exact"/>
              <w:rPr>
                <w:sz w:val="20"/>
                <w:szCs w:val="20"/>
                <w:color w:val="auto"/>
              </w:rPr>
            </w:pPr>
            <w:r>
              <w:rPr>
                <w:rFonts w:ascii="Arial Unicode MS" w:cs="Arial Unicode MS" w:eastAsia="Arial Unicode MS" w:hAnsi="Arial Unicode MS"/>
                <w:sz w:val="18"/>
                <w:szCs w:val="18"/>
                <w:color w:val="auto"/>
                <w:highlight w:val="black"/>
              </w:rPr>
              <w:t>☒</w:t>
            </w:r>
          </w:p>
        </w:tc>
      </w:tr>
      <w:tr>
        <w:trPr>
          <w:trHeight w:val="303"/>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80" w:type="dxa"/>
            <w:vAlign w:val="bottom"/>
          </w:tcPr>
          <w:p>
            <w:pPr>
              <w:ind w:left="146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61" w:lineRule="exact"/>
        <w:rPr>
          <w:sz w:val="24"/>
          <w:szCs w:val="24"/>
          <w:color w:val="auto"/>
        </w:rPr>
      </w:pPr>
    </w:p>
    <w:p>
      <w:pPr>
        <w:jc w:val="both"/>
        <w:ind w:left="60" w:right="59"/>
        <w:spacing w:after="0" w:line="20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53" w:lineRule="exact"/>
        <w:rPr>
          <w:sz w:val="24"/>
          <w:szCs w:val="24"/>
          <w:color w:val="auto"/>
        </w:rPr>
      </w:pPr>
    </w:p>
    <w:p>
      <w:pPr>
        <w:ind w:left="60" w:right="259"/>
        <w:spacing w:after="0" w:line="21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39" w:lineRule="exact"/>
        <w:rPr>
          <w:sz w:val="24"/>
          <w:szCs w:val="24"/>
          <w:color w:val="auto"/>
        </w:rPr>
      </w:pPr>
    </w:p>
    <w:p>
      <w:pPr>
        <w:ind w:left="60"/>
        <w:spacing w:after="0"/>
        <w:rPr>
          <w:sz w:val="20"/>
          <w:szCs w:val="20"/>
          <w:color w:val="auto"/>
        </w:rPr>
      </w:pPr>
      <w:r>
        <w:rPr>
          <w:rFonts w:ascii="Arial" w:cs="Arial" w:eastAsia="Arial" w:hAnsi="Arial"/>
          <w:sz w:val="18"/>
          <w:szCs w:val="18"/>
          <w:color w:val="auto"/>
        </w:rPr>
        <w:t>As of November 9, 2023, 4,179,631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537845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92075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XWELL,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880" w:type="dxa"/>
            <w:vAlign w:val="bottom"/>
            <w:gridSpan w:val="9"/>
            <w:vMerge w:val="restart"/>
          </w:tcPr>
          <w:p>
            <w:pPr>
              <w:spacing w:after="0"/>
              <w:rPr>
                <w:sz w:val="20"/>
                <w:szCs w:val="20"/>
                <w:color w:val="auto"/>
              </w:rPr>
            </w:pPr>
            <w:r>
              <w:rPr>
                <w:rFonts w:ascii="Arial" w:cs="Arial" w:eastAsia="Arial" w:hAnsi="Arial"/>
                <w:sz w:val="18"/>
                <w:szCs w:val="18"/>
                <w:color w:val="0000EE"/>
                <w:w w:val="97"/>
              </w:rPr>
              <w:t>PART I. FINANCIAL INFORMATION</w:t>
            </w:r>
          </w:p>
        </w:tc>
        <w:tc>
          <w:tcPr>
            <w:tcW w:w="5480" w:type="dxa"/>
            <w:vAlign w:val="bottom"/>
            <w:gridSpan w:val="5"/>
            <w:vMerge w:val="restart"/>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880" w:type="dxa"/>
            <w:vAlign w:val="bottom"/>
            <w:tcBorders>
              <w:bottom w:val="single" w:sz="8" w:color="0000EE"/>
            </w:tcBorders>
            <w:gridSpan w:val="9"/>
            <w:vMerge w:val="continue"/>
          </w:tcPr>
          <w:p>
            <w:pPr>
              <w:spacing w:after="0"/>
              <w:rPr>
                <w:sz w:val="13"/>
                <w:szCs w:val="13"/>
                <w:color w:val="auto"/>
              </w:rPr>
            </w:pPr>
          </w:p>
        </w:tc>
        <w:tc>
          <w:tcPr>
            <w:tcW w:w="5480" w:type="dxa"/>
            <w:vAlign w:val="bottom"/>
            <w:gridSpan w:val="5"/>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6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500" w:type="dxa"/>
            <w:vAlign w:val="bottom"/>
            <w:gridSpan w:val="11"/>
          </w:tcPr>
          <w:p>
            <w:pPr>
              <w:spacing w:after="0"/>
              <w:rPr>
                <w:sz w:val="20"/>
                <w:szCs w:val="20"/>
                <w:color w:val="auto"/>
              </w:rPr>
            </w:pPr>
            <w:r>
              <w:rPr>
                <w:rFonts w:ascii="Arial" w:cs="Arial" w:eastAsia="Arial" w:hAnsi="Arial"/>
                <w:sz w:val="18"/>
                <w:szCs w:val="18"/>
                <w:color w:val="0000EE"/>
              </w:rPr>
              <w:t>Condensed Consolidated Financial Statements (Unaudited)</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2.</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140" w:type="dxa"/>
            <w:vAlign w:val="bottom"/>
            <w:tcBorders>
              <w:left w:val="single" w:sz="8" w:color="0000EE"/>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Controls and Procedures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360" w:type="dxa"/>
            <w:vAlign w:val="bottom"/>
            <w:gridSpan w:val="14"/>
          </w:tcPr>
          <w:p>
            <w:pPr>
              <w:spacing w:after="0"/>
              <w:rPr>
                <w:sz w:val="20"/>
                <w:szCs w:val="20"/>
                <w:color w:val="auto"/>
              </w:rPr>
            </w:pPr>
            <w:r>
              <w:rPr>
                <w:rFonts w:ascii="Arial" w:cs="Arial" w:eastAsia="Arial" w:hAnsi="Arial"/>
                <w:sz w:val="18"/>
                <w:szCs w:val="18"/>
                <w:color w:val="0000EE"/>
              </w:rPr>
              <w:t>PART II. OTHER INFORMATION</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8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Item 1.</w:t>
            </w:r>
          </w:p>
        </w:tc>
        <w:tc>
          <w:tcPr>
            <w:tcW w:w="17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rPr>
              <w:t>Legal Proceedings</w:t>
            </w:r>
          </w:p>
        </w:tc>
        <w:tc>
          <w:tcPr>
            <w:tcW w:w="5800" w:type="dxa"/>
            <w:vAlign w:val="bottom"/>
            <w:gridSpan w:val="7"/>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Item 1A.</w:t>
            </w:r>
          </w:p>
        </w:tc>
        <w:tc>
          <w:tcPr>
            <w:tcW w:w="2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Risk Factors</w:t>
            </w:r>
          </w:p>
        </w:tc>
        <w:tc>
          <w:tcPr>
            <w:tcW w:w="6580" w:type="dxa"/>
            <w:vAlign w:val="bottom"/>
            <w:gridSpan w:val="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2.</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Mine Safety Disclosures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5.</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Other Information</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180" w:type="dxa"/>
            <w:vAlign w:val="bottom"/>
            <w:gridSpan w:val="8"/>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6.</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Exhibits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XWELL,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96"/>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Current assets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420" w:type="dxa"/>
            <w:vAlign w:val="bottom"/>
            <w:gridSpan w:val="2"/>
          </w:tcPr>
          <w:p>
            <w:pPr>
              <w:jc w:val="right"/>
              <w:ind w:right="102"/>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4,827</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19,038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Marketable Securities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21,311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1,193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2,858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Inventory</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current assets</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1,663</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current assets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29,962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47,332</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3,801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3,666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Operating lease right of use assets, net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6,075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8,276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1,787</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2,369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44,550</w:t>
            </w: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Accounts payable</w:t>
            </w:r>
          </w:p>
        </w:tc>
        <w:tc>
          <w:tcPr>
            <w:tcW w:w="420" w:type="dxa"/>
            <w:vAlign w:val="bottom"/>
            <w:gridSpan w:val="2"/>
          </w:tcPr>
          <w:p>
            <w:pPr>
              <w:jc w:val="right"/>
              <w:ind w:right="102"/>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1,511</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2,312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Current portion of operating lease liabilities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2,375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revenue</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line="142" w:lineRule="exact"/>
              <w:rPr>
                <w:sz w:val="20"/>
                <w:szCs w:val="20"/>
                <w:color w:val="auto"/>
              </w:rPr>
            </w:pPr>
            <w:r>
              <w:rPr>
                <w:rFonts w:ascii="Arial" w:cs="Arial" w:eastAsia="Arial" w:hAnsi="Arial"/>
                <w:sz w:val="14"/>
                <w:szCs w:val="14"/>
                <w:b w:val="1"/>
                <w:bCs w:val="1"/>
                <w:color w:val="auto"/>
              </w:rPr>
              <w:t>Total current liabilities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8,157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10,956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b w:val="1"/>
                <w:bCs w:val="1"/>
                <w:color w:val="auto"/>
              </w:rPr>
              <w:t>Long-term liabilities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lease liabilities</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9,123</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11,521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17,280</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22,477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Commitments and contingencies (see Note 13)</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320" w:type="dxa"/>
            <w:vAlign w:val="bottom"/>
          </w:tcPr>
          <w:p>
            <w:pPr>
              <w:spacing w:after="0" w:line="130" w:lineRule="exact"/>
              <w:rPr>
                <w:sz w:val="20"/>
                <w:szCs w:val="20"/>
                <w:color w:val="auto"/>
              </w:rPr>
            </w:pPr>
            <w:r>
              <w:rPr>
                <w:rFonts w:ascii="Arial" w:cs="Arial" w:eastAsia="Arial" w:hAnsi="Arial"/>
                <w:sz w:val="14"/>
                <w:szCs w:val="14"/>
                <w:color w:val="auto"/>
                <w:w w:val="93"/>
              </w:rPr>
              <w:t>Common Stock, $0.01 par value per share, 150,000,000 shares authorized; 4,174,381 and 4,161,613 shares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340" w:type="dxa"/>
            <w:vAlign w:val="bottom"/>
            <w:gridSpan w:val="2"/>
          </w:tcPr>
          <w:p>
            <w:pPr>
              <w:spacing w:after="0"/>
              <w:rPr>
                <w:sz w:val="20"/>
                <w:szCs w:val="20"/>
                <w:color w:val="auto"/>
              </w:rPr>
            </w:pPr>
            <w:r>
              <w:rPr>
                <w:rFonts w:ascii="Arial" w:cs="Arial" w:eastAsia="Arial" w:hAnsi="Arial"/>
                <w:sz w:val="14"/>
                <w:szCs w:val="14"/>
                <w:color w:val="auto"/>
              </w:rPr>
              <w:t>issued and outstanding as of September 30, 2023 and December 31, 2022, respectively*</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470,270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468,530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(449,269)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(428,112)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loss</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(1,642)</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line="142" w:lineRule="exact"/>
              <w:rPr>
                <w:sz w:val="20"/>
                <w:szCs w:val="20"/>
                <w:color w:val="auto"/>
              </w:rPr>
            </w:pPr>
            <w:r>
              <w:rPr>
                <w:rFonts w:ascii="Arial" w:cs="Arial" w:eastAsia="Arial" w:hAnsi="Arial"/>
                <w:sz w:val="14"/>
                <w:szCs w:val="14"/>
                <w:b w:val="1"/>
                <w:bCs w:val="1"/>
                <w:color w:val="auto"/>
              </w:rPr>
              <w:t>Total equity attributable to XWELL, Inc.</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19,401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39,926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interests</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7,869</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equity</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27,270</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47,949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liabilities and equity</w:t>
            </w: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44,550</w:t>
            </w: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4"/>
          <w:szCs w:val="14"/>
          <w:color w:val="auto"/>
        </w:rPr>
        <w:t>*Adjusted, where applicable, to reflect the impact of the 1:20 reverse stock split that became effective September 28, 2023.</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form an integral part of these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XWELL, Inc. and Subsidiaries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CONDENSED CONSOLIDATED STATEMENTS OF OPERATIONS AND COMPREHENSIVE LOSS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40"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5"/>
          </w:tcPr>
          <w:p>
            <w:pPr>
              <w:spacing w:after="0"/>
              <w:rPr>
                <w:sz w:val="20"/>
                <w:szCs w:val="20"/>
                <w:color w:val="auto"/>
              </w:rPr>
            </w:pPr>
            <w:r>
              <w:rPr>
                <w:rFonts w:ascii="Arial" w:cs="Arial" w:eastAsia="Arial" w:hAnsi="Arial"/>
                <w:sz w:val="16"/>
                <w:szCs w:val="16"/>
                <w:b w:val="1"/>
                <w:bCs w:val="1"/>
                <w:color w:val="auto"/>
                <w:w w:val="92"/>
              </w:rPr>
              <w:t>Three months ended September 30,</w:t>
            </w:r>
          </w:p>
        </w:tc>
        <w:tc>
          <w:tcPr>
            <w:tcW w:w="160" w:type="dxa"/>
            <w:vAlign w:val="bottom"/>
          </w:tcPr>
          <w:p>
            <w:pPr>
              <w:spacing w:after="0"/>
              <w:rPr>
                <w:sz w:val="18"/>
                <w:szCs w:val="18"/>
                <w:color w:val="auto"/>
              </w:rPr>
            </w:pPr>
          </w:p>
        </w:tc>
        <w:tc>
          <w:tcPr>
            <w:tcW w:w="2600" w:type="dxa"/>
            <w:vAlign w:val="bottom"/>
            <w:gridSpan w:val="6"/>
          </w:tcPr>
          <w:p>
            <w:pPr>
              <w:spacing w:after="0"/>
              <w:rPr>
                <w:sz w:val="20"/>
                <w:szCs w:val="20"/>
                <w:color w:val="auto"/>
              </w:rPr>
            </w:pPr>
            <w:r>
              <w:rPr>
                <w:rFonts w:ascii="Arial" w:cs="Arial" w:eastAsia="Arial" w:hAnsi="Arial"/>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 net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ind w:left="80"/>
              <w:spacing w:after="0"/>
              <w:rPr>
                <w:sz w:val="20"/>
                <w:szCs w:val="20"/>
                <w:color w:val="auto"/>
              </w:rPr>
            </w:pPr>
            <w:r>
              <w:rPr>
                <w:rFonts w:ascii="Arial" w:cs="Arial" w:eastAsia="Arial" w:hAnsi="Arial"/>
                <w:sz w:val="16"/>
                <w:szCs w:val="16"/>
                <w:color w:val="auto"/>
              </w:rPr>
              <w:t>Patient services revenue</w:t>
            </w:r>
          </w:p>
        </w:tc>
        <w:tc>
          <w:tcPr>
            <w:tcW w:w="3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4,607</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148</w:t>
            </w:r>
          </w:p>
        </w:tc>
        <w:tc>
          <w:tcPr>
            <w:tcW w:w="42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31,728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Services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ind w:left="80"/>
              <w:spacing w:after="0"/>
              <w:rPr>
                <w:sz w:val="20"/>
                <w:szCs w:val="20"/>
                <w:color w:val="auto"/>
              </w:rPr>
            </w:pPr>
            <w:r>
              <w:rPr>
                <w:rFonts w:ascii="Arial" w:cs="Arial" w:eastAsia="Arial" w:hAnsi="Arial"/>
                <w:sz w:val="16"/>
                <w:szCs w:val="16"/>
                <w:color w:val="auto"/>
              </w:rPr>
              <w:t>Products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2,044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revenue, net</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7,468</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10,736</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22,706</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48,381</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 of sales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ind w:left="80"/>
              <w:spacing w:after="0"/>
              <w:rPr>
                <w:sz w:val="20"/>
                <w:szCs w:val="20"/>
                <w:color w:val="auto"/>
              </w:rPr>
            </w:pPr>
            <w:r>
              <w:rPr>
                <w:rFonts w:ascii="Arial" w:cs="Arial" w:eastAsia="Arial" w:hAnsi="Arial"/>
                <w:sz w:val="16"/>
                <w:szCs w:val="16"/>
                <w:color w:val="auto"/>
              </w:rPr>
              <w:t>Labor</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4,462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5,222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13,609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16,161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Occupancy</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Products and other operating costs</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3,035</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3,057</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17,170</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cost of sales</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6,377</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9,339</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19,903</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36,743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Gross Profit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2,803</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ind w:left="80"/>
              <w:spacing w:after="0"/>
              <w:rPr>
                <w:sz w:val="20"/>
                <w:szCs w:val="20"/>
                <w:color w:val="auto"/>
              </w:rPr>
            </w:pPr>
            <w:r>
              <w:rPr>
                <w:rFonts w:ascii="Arial" w:cs="Arial" w:eastAsia="Arial" w:hAnsi="Arial"/>
                <w:sz w:val="16"/>
                <w:szCs w:val="16"/>
                <w:color w:val="auto"/>
              </w:rPr>
              <w:t>Impairment of long-lived assets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6,782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6,782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w w:val="96"/>
              </w:rPr>
              <w:t>Impairment of operating lease right-of-use assets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ind w:left="80"/>
              <w:spacing w:after="0"/>
              <w:rPr>
                <w:sz w:val="20"/>
                <w:szCs w:val="20"/>
                <w:color w:val="auto"/>
              </w:rPr>
            </w:pPr>
            <w:r>
              <w:rPr>
                <w:rFonts w:ascii="Arial" w:cs="Arial" w:eastAsia="Arial" w:hAnsi="Arial"/>
                <w:sz w:val="16"/>
                <w:szCs w:val="16"/>
                <w:color w:val="auto"/>
              </w:rPr>
              <w:t>Loss on disposal of assets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Advertising and promotion expense</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ind w:left="80"/>
              <w:spacing w:after="0"/>
              <w:rPr>
                <w:sz w:val="20"/>
                <w:szCs w:val="20"/>
                <w:color w:val="auto"/>
              </w:rPr>
            </w:pPr>
            <w:r>
              <w:rPr>
                <w:rFonts w:ascii="Arial" w:cs="Arial" w:eastAsia="Arial" w:hAnsi="Arial"/>
                <w:sz w:val="16"/>
                <w:szCs w:val="16"/>
                <w:color w:val="auto"/>
              </w:rPr>
              <w:t>IT/Hosting services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2,247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 general and administrative expenses</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3,593</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4,843</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13,891</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18,250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operating expenses</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11,567</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9,051</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24,291</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29,510</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loss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(10,476)</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(21,488)</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ind w:left="80"/>
              <w:spacing w:after="0"/>
              <w:rPr>
                <w:sz w:val="20"/>
                <w:szCs w:val="20"/>
                <w:color w:val="auto"/>
              </w:rPr>
            </w:pPr>
            <w:r>
              <w:rPr>
                <w:rFonts w:ascii="Arial" w:cs="Arial" w:eastAsia="Arial" w:hAnsi="Arial"/>
                <w:sz w:val="16"/>
                <w:szCs w:val="16"/>
                <w:color w:val="auto"/>
              </w:rPr>
              <w:t>Interest income, net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Foreign exchange remeasurement gain/(loss)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ind w:left="80"/>
              <w:spacing w:after="0"/>
              <w:rPr>
                <w:sz w:val="20"/>
                <w:szCs w:val="20"/>
                <w:color w:val="auto"/>
              </w:rPr>
            </w:pPr>
            <w:r>
              <w:rPr>
                <w:rFonts w:ascii="Arial" w:cs="Arial" w:eastAsia="Arial" w:hAnsi="Arial"/>
                <w:sz w:val="16"/>
                <w:szCs w:val="16"/>
                <w:color w:val="auto"/>
              </w:rPr>
              <w:t>Gain on Securities, realized and unrealized</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 non-operating expense, net</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b w:val="1"/>
                <w:bCs w:val="1"/>
                <w:color w:val="auto"/>
              </w:rPr>
              <w:t>Loss before income taxes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(9,978)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(7,676)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(21,486)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(18,363)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Income tax expense</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(9,978)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(7,679)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(21,486)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(18,368)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 loss attributable to noncontrolling</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interests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80" w:type="dxa"/>
            <w:vAlign w:val="bottom"/>
            <w:gridSpan w:val="2"/>
          </w:tcPr>
          <w:p>
            <w:pPr>
              <w:spacing w:after="0"/>
              <w:rPr>
                <w:sz w:val="20"/>
                <w:szCs w:val="20"/>
                <w:color w:val="auto"/>
              </w:rPr>
            </w:pPr>
            <w:r>
              <w:rPr>
                <w:rFonts w:ascii="Arial" w:cs="Arial" w:eastAsia="Arial" w:hAnsi="Arial"/>
                <w:sz w:val="16"/>
                <w:szCs w:val="16"/>
                <w:b w:val="1"/>
                <w:bCs w:val="1"/>
                <w:color w:val="auto"/>
              </w:rPr>
              <w:t>Net loss attributable to XWELL, Inc.</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(9,918)</w:t>
            </w:r>
          </w:p>
        </w:tc>
        <w:tc>
          <w:tcPr>
            <w:tcW w:w="200" w:type="dxa"/>
            <w:vAlign w:val="bottom"/>
          </w:tcPr>
          <w:p>
            <w:pPr>
              <w:spacing w:after="0"/>
              <w:rPr>
                <w:sz w:val="20"/>
                <w:szCs w:val="20"/>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(7,179)</w:t>
            </w:r>
          </w:p>
        </w:tc>
        <w:tc>
          <w:tcPr>
            <w:tcW w:w="160" w:type="dxa"/>
            <w:vAlign w:val="bottom"/>
          </w:tcPr>
          <w:p>
            <w:pPr>
              <w:spacing w:after="0"/>
              <w:rPr>
                <w:sz w:val="20"/>
                <w:szCs w:val="20"/>
                <w:color w:val="auto"/>
              </w:rPr>
            </w:pPr>
          </w:p>
        </w:tc>
        <w:tc>
          <w:tcPr>
            <w:tcW w:w="220" w:type="dxa"/>
            <w:vAlign w:val="bottom"/>
            <w:tcBorders>
              <w:bottom w:val="single" w:sz="8" w:color="auto"/>
            </w:tcBorders>
          </w:tcPr>
          <w:p>
            <w:pPr>
              <w:jc w:val="right"/>
              <w:ind w:right="9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(21,157)</w:t>
            </w:r>
          </w:p>
        </w:tc>
        <w:tc>
          <w:tcPr>
            <w:tcW w:w="180" w:type="dxa"/>
            <w:vAlign w:val="bottom"/>
          </w:tcPr>
          <w:p>
            <w:pPr>
              <w:spacing w:after="0"/>
              <w:rPr>
                <w:sz w:val="20"/>
                <w:szCs w:val="20"/>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(19,380)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4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3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(9,978)</w:t>
            </w:r>
          </w:p>
        </w:tc>
        <w:tc>
          <w:tcPr>
            <w:tcW w:w="46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(7,679)</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(21,486)</w:t>
            </w:r>
          </w:p>
        </w:tc>
        <w:tc>
          <w:tcPr>
            <w:tcW w:w="42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(18,368)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 comprehensive loss</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480" w:type="dxa"/>
            <w:vAlign w:val="bottom"/>
            <w:gridSpan w:val="2"/>
          </w:tcPr>
          <w:p>
            <w:pPr>
              <w:spacing w:after="0"/>
              <w:rPr>
                <w:sz w:val="20"/>
                <w:szCs w:val="20"/>
                <w:color w:val="auto"/>
              </w:rPr>
            </w:pPr>
            <w:r>
              <w:rPr>
                <w:rFonts w:ascii="Arial" w:cs="Arial" w:eastAsia="Arial" w:hAnsi="Arial"/>
                <w:sz w:val="16"/>
                <w:szCs w:val="16"/>
                <w:b w:val="1"/>
                <w:bCs w:val="1"/>
                <w:color w:val="auto"/>
              </w:rPr>
              <w:t>Comprehensive loss</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(10,492)</w:t>
            </w:r>
          </w:p>
        </w:tc>
        <w:tc>
          <w:tcPr>
            <w:tcW w:w="200" w:type="dxa"/>
            <w:vAlign w:val="bottom"/>
          </w:tcPr>
          <w:p>
            <w:pPr>
              <w:spacing w:after="0"/>
              <w:rPr>
                <w:sz w:val="20"/>
                <w:szCs w:val="20"/>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(7,781)</w:t>
            </w:r>
          </w:p>
        </w:tc>
        <w:tc>
          <w:tcPr>
            <w:tcW w:w="160" w:type="dxa"/>
            <w:vAlign w:val="bottom"/>
          </w:tcPr>
          <w:p>
            <w:pPr>
              <w:spacing w:after="0"/>
              <w:rPr>
                <w:sz w:val="20"/>
                <w:szCs w:val="20"/>
                <w:color w:val="auto"/>
              </w:rPr>
            </w:pPr>
          </w:p>
        </w:tc>
        <w:tc>
          <w:tcPr>
            <w:tcW w:w="220" w:type="dxa"/>
            <w:vAlign w:val="bottom"/>
            <w:tcBorders>
              <w:bottom w:val="single" w:sz="8" w:color="auto"/>
            </w:tcBorders>
          </w:tcPr>
          <w:p>
            <w:pPr>
              <w:jc w:val="right"/>
              <w:ind w:right="9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(22,594)</w:t>
            </w:r>
          </w:p>
        </w:tc>
        <w:tc>
          <w:tcPr>
            <w:tcW w:w="180" w:type="dxa"/>
            <w:vAlign w:val="bottom"/>
          </w:tcPr>
          <w:p>
            <w:pPr>
              <w:spacing w:after="0"/>
              <w:rPr>
                <w:sz w:val="20"/>
                <w:szCs w:val="20"/>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6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Loss per share</w:t>
            </w: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16"/>
                <w:szCs w:val="16"/>
                <w:b w:val="1"/>
                <w:bCs w:val="1"/>
                <w:color w:val="auto"/>
              </w:rPr>
              <w:t>Basic and diluted loss per share*</w:t>
            </w:r>
          </w:p>
        </w:tc>
        <w:tc>
          <w:tcPr>
            <w:tcW w:w="3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(2.38)</w:t>
            </w:r>
          </w:p>
        </w:tc>
        <w:tc>
          <w:tcPr>
            <w:tcW w:w="46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(1.52)</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(5.07)</w:t>
            </w:r>
          </w:p>
        </w:tc>
        <w:tc>
          <w:tcPr>
            <w:tcW w:w="42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(3.99)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6"/>
                <w:szCs w:val="16"/>
                <w:b w:val="1"/>
                <w:bCs w:val="1"/>
                <w:color w:val="auto"/>
                <w:w w:val="92"/>
              </w:rPr>
              <w:t>Weighted-average number of shares outstanding</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during the period</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ind w:left="80"/>
              <w:spacing w:after="0"/>
              <w:rPr>
                <w:sz w:val="20"/>
                <w:szCs w:val="20"/>
                <w:color w:val="auto"/>
              </w:rPr>
            </w:pPr>
            <w:r>
              <w:rPr>
                <w:rFonts w:ascii="Arial" w:cs="Arial" w:eastAsia="Arial" w:hAnsi="Arial"/>
                <w:sz w:val="16"/>
                <w:szCs w:val="16"/>
                <w:color w:val="auto"/>
              </w:rPr>
              <w:t>Basic and diluted*</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4,173,894</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4,731,066</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4,170,629</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4,858,393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4"/>
          <w:szCs w:val="14"/>
          <w:color w:val="auto"/>
        </w:rPr>
        <w:t>*Adjusted to reflect the impact of the 1:20 reverse stock split that became effective on September 28, 2023.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unaudited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XWELL,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CHANGES IN STOCKHOLDERS’ EQUITY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00" w:type="dxa"/>
            <w:vAlign w:val="bottom"/>
            <w:gridSpan w:val="10"/>
          </w:tcPr>
          <w:p>
            <w:pPr>
              <w:ind w:left="340"/>
              <w:spacing w:after="0"/>
              <w:rPr>
                <w:sz w:val="20"/>
                <w:szCs w:val="20"/>
                <w:color w:val="auto"/>
              </w:rPr>
            </w:pPr>
            <w:r>
              <w:rPr>
                <w:rFonts w:ascii="Arial" w:cs="Arial" w:eastAsia="Arial" w:hAnsi="Arial"/>
                <w:sz w:val="13"/>
                <w:szCs w:val="13"/>
                <w:b w:val="1"/>
                <w:bCs w:val="1"/>
                <w:color w:val="auto"/>
                <w:w w:val="92"/>
              </w:rPr>
              <w:t>(In thousands, except share and per share data)</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6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4"/>
                <w:szCs w:val="24"/>
                <w:color w:val="auto"/>
              </w:rPr>
            </w:pPr>
          </w:p>
        </w:tc>
        <w:tc>
          <w:tcPr>
            <w:tcW w:w="7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Treasury Stock</w:t>
            </w:r>
          </w:p>
        </w:tc>
        <w:tc>
          <w:tcPr>
            <w:tcW w:w="800" w:type="dxa"/>
            <w:vAlign w:val="bottom"/>
            <w:gridSpan w:val="2"/>
            <w:vMerge w:val="continue"/>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5"/>
            <w:vMerge w:val="continue"/>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paid-</w:t>
            </w:r>
          </w:p>
        </w:tc>
        <w:tc>
          <w:tcPr>
            <w:tcW w:w="940" w:type="dxa"/>
            <w:vAlign w:val="bottom"/>
            <w:gridSpan w:val="3"/>
            <w:vMerge w:val="continue"/>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comprehensive</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Company</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controlling</w:t>
            </w: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7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2"/>
                <w:szCs w:val="12"/>
                <w:color w:val="auto"/>
              </w:rPr>
            </w:pPr>
          </w:p>
        </w:tc>
        <w:tc>
          <w:tcPr>
            <w:tcW w:w="6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2"/>
                <w:szCs w:val="12"/>
                <w:color w:val="auto"/>
              </w:rPr>
            </w:pPr>
          </w:p>
        </w:tc>
        <w:tc>
          <w:tcPr>
            <w:tcW w:w="80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8"/>
              </w:rPr>
              <w:t>in capital</w:t>
            </w:r>
          </w:p>
        </w:tc>
        <w:tc>
          <w:tcPr>
            <w:tcW w:w="180" w:type="dxa"/>
            <w:vAlign w:val="bottom"/>
          </w:tcPr>
          <w:p>
            <w:pPr>
              <w:spacing w:after="0"/>
              <w:rPr>
                <w:sz w:val="12"/>
                <w:szCs w:val="12"/>
                <w:color w:val="auto"/>
              </w:rPr>
            </w:pPr>
          </w:p>
        </w:tc>
        <w:tc>
          <w:tcPr>
            <w:tcW w:w="7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6"/>
              </w:rPr>
              <w:t>deficit</w:t>
            </w:r>
          </w:p>
        </w:tc>
        <w:tc>
          <w:tcPr>
            <w:tcW w:w="220" w:type="dxa"/>
            <w:vAlign w:val="bottom"/>
          </w:tcPr>
          <w:p>
            <w:pPr>
              <w:spacing w:after="0"/>
              <w:rPr>
                <w:sz w:val="12"/>
                <w:szCs w:val="12"/>
                <w:color w:val="auto"/>
              </w:rPr>
            </w:pPr>
          </w:p>
        </w:tc>
        <w:tc>
          <w:tcPr>
            <w:tcW w:w="8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78"/>
              </w:rPr>
              <w:t>loss</w:t>
            </w:r>
          </w:p>
        </w:tc>
        <w:tc>
          <w:tcPr>
            <w:tcW w:w="120" w:type="dxa"/>
            <w:vAlign w:val="bottom"/>
          </w:tcPr>
          <w:p>
            <w:pPr>
              <w:spacing w:after="0"/>
              <w:rPr>
                <w:sz w:val="12"/>
                <w:szCs w:val="12"/>
                <w:color w:val="auto"/>
              </w:rPr>
            </w:pPr>
          </w:p>
        </w:tc>
        <w:tc>
          <w:tcPr>
            <w:tcW w:w="66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2"/>
              </w:rPr>
              <w:t>equity</w:t>
            </w:r>
          </w:p>
        </w:tc>
        <w:tc>
          <w:tcPr>
            <w:tcW w:w="840" w:type="dxa"/>
            <w:vAlign w:val="bottom"/>
            <w:gridSpan w:val="3"/>
          </w:tcPr>
          <w:p>
            <w:pPr>
              <w:jc w:val="center"/>
              <w:ind w:right="180"/>
              <w:spacing w:after="0" w:line="142" w:lineRule="exact"/>
              <w:rPr>
                <w:sz w:val="20"/>
                <w:szCs w:val="20"/>
                <w:color w:val="auto"/>
              </w:rPr>
            </w:pPr>
            <w:r>
              <w:rPr>
                <w:rFonts w:ascii="Arial" w:cs="Arial" w:eastAsia="Arial" w:hAnsi="Arial"/>
                <w:sz w:val="14"/>
                <w:szCs w:val="14"/>
                <w:b w:val="1"/>
                <w:bCs w:val="1"/>
                <w:color w:val="auto"/>
                <w:w w:val="85"/>
              </w:rPr>
              <w:t>interests</w:t>
            </w:r>
          </w:p>
        </w:tc>
        <w:tc>
          <w:tcPr>
            <w:tcW w:w="58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17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2022</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4,161,613</w:t>
            </w:r>
          </w:p>
        </w:tc>
        <w:tc>
          <w:tcPr>
            <w:tcW w:w="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42</w:t>
            </w:r>
          </w:p>
        </w:tc>
        <w:tc>
          <w:tcPr>
            <w:tcW w:w="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$ 468,530</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(428,112)</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(534)</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39,926</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8,023</w:t>
            </w: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$ 47,949</w:t>
            </w:r>
          </w:p>
        </w:tc>
        <w:tc>
          <w:tcPr>
            <w:tcW w:w="0" w:type="dxa"/>
            <w:vAlign w:val="bottom"/>
          </w:tcPr>
          <w:p>
            <w:pPr>
              <w:spacing w:after="0"/>
              <w:rPr>
                <w:sz w:val="1"/>
                <w:szCs w:val="1"/>
                <w:color w:val="auto"/>
              </w:rPr>
            </w:pPr>
          </w:p>
        </w:tc>
      </w:tr>
      <w:tr>
        <w:trPr>
          <w:trHeight w:val="130"/>
        </w:trPr>
        <w:tc>
          <w:tcPr>
            <w:tcW w:w="1720" w:type="dxa"/>
            <w:vAlign w:val="bottom"/>
          </w:tcPr>
          <w:p>
            <w:pPr>
              <w:spacing w:after="0" w:line="130" w:lineRule="exact"/>
              <w:rPr>
                <w:sz w:val="20"/>
                <w:szCs w:val="20"/>
                <w:color w:val="auto"/>
              </w:rPr>
            </w:pPr>
            <w:r>
              <w:rPr>
                <w:rFonts w:ascii="Arial" w:cs="Arial" w:eastAsia="Arial" w:hAnsi="Arial"/>
                <w:sz w:val="14"/>
                <w:szCs w:val="14"/>
                <w:color w:val="auto"/>
              </w:rPr>
              <w:t>Issuance of restricted stock</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tcPr>
          <w:p>
            <w:pPr>
              <w:spacing w:after="0"/>
              <w:rPr>
                <w:sz w:val="20"/>
                <w:szCs w:val="20"/>
                <w:color w:val="auto"/>
              </w:rPr>
            </w:pPr>
            <w:r>
              <w:rPr>
                <w:rFonts w:ascii="Arial" w:cs="Arial" w:eastAsia="Arial" w:hAnsi="Arial"/>
                <w:sz w:val="14"/>
                <w:szCs w:val="14"/>
                <w:color w:val="auto"/>
              </w:rPr>
              <w:t>units</w:t>
            </w:r>
          </w:p>
        </w:tc>
        <w:tc>
          <w:tcPr>
            <w:tcW w:w="620" w:type="dxa"/>
            <w:vAlign w:val="bottom"/>
          </w:tcPr>
          <w:p>
            <w:pPr>
              <w:jc w:val="right"/>
              <w:spacing w:after="0"/>
              <w:rPr>
                <w:sz w:val="20"/>
                <w:szCs w:val="20"/>
                <w:color w:val="auto"/>
              </w:rPr>
            </w:pPr>
            <w:r>
              <w:rPr>
                <w:rFonts w:ascii="Arial" w:cs="Arial" w:eastAsia="Arial" w:hAnsi="Arial"/>
                <w:sz w:val="14"/>
                <w:szCs w:val="14"/>
                <w:color w:val="auto"/>
              </w:rPr>
              <w:t>6,015</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6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Value of shares withheld to</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fund payroll taxes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5"/>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589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589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for the period</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(5,509)</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(5,509)</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(5,829)</w:t>
            </w:r>
          </w:p>
        </w:tc>
        <w:tc>
          <w:tcPr>
            <w:tcW w:w="0" w:type="dxa"/>
            <w:vAlign w:val="bottom"/>
          </w:tcPr>
          <w:p>
            <w:pPr>
              <w:spacing w:after="0"/>
              <w:rPr>
                <w:sz w:val="1"/>
                <w:szCs w:val="1"/>
                <w:color w:val="auto"/>
              </w:rPr>
            </w:pPr>
          </w:p>
        </w:tc>
      </w:tr>
      <w:tr>
        <w:trPr>
          <w:trHeight w:val="130"/>
        </w:trPr>
        <w:tc>
          <w:tcPr>
            <w:tcW w:w="1720" w:type="dxa"/>
            <w:vAlign w:val="bottom"/>
          </w:tcPr>
          <w:p>
            <w:pPr>
              <w:spacing w:after="0" w:line="130" w:lineRule="exact"/>
              <w:rPr>
                <w:sz w:val="20"/>
                <w:szCs w:val="20"/>
                <w:color w:val="auto"/>
              </w:rPr>
            </w:pPr>
            <w:r>
              <w:rPr>
                <w:rFonts w:ascii="Arial" w:cs="Arial" w:eastAsia="Arial" w:hAnsi="Arial"/>
                <w:sz w:val="14"/>
                <w:szCs w:val="14"/>
                <w:color w:val="auto"/>
              </w:rPr>
              <w:t>Foreign currency</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tcPr>
          <w:p>
            <w:pPr>
              <w:spacing w:after="0"/>
              <w:rPr>
                <w:sz w:val="20"/>
                <w:szCs w:val="20"/>
                <w:color w:val="auto"/>
              </w:rPr>
            </w:pPr>
            <w:r>
              <w:rPr>
                <w:rFonts w:ascii="Arial" w:cs="Arial" w:eastAsia="Arial" w:hAnsi="Arial"/>
                <w:sz w:val="14"/>
                <w:szCs w:val="14"/>
                <w:color w:val="auto"/>
              </w:rPr>
              <w:t>translation</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6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(130)</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2"/>
        </w:trPr>
        <w:tc>
          <w:tcPr>
            <w:tcW w:w="17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March 31, 2023</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4,167,628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42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$ 469,097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(433,621)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34,854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7,737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$ 42,591</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123" w:lineRule="exact"/>
              <w:rPr>
                <w:sz w:val="20"/>
                <w:szCs w:val="20"/>
                <w:color w:val="auto"/>
              </w:rPr>
            </w:pPr>
            <w:r>
              <w:rPr>
                <w:rFonts w:ascii="Arial" w:cs="Arial" w:eastAsia="Arial" w:hAnsi="Arial"/>
                <w:sz w:val="14"/>
                <w:szCs w:val="14"/>
                <w:color w:val="auto"/>
              </w:rPr>
              <w:t>Issuance of restricted stock</w:t>
            </w: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17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720" w:type="dxa"/>
            <w:vAlign w:val="bottom"/>
          </w:tcPr>
          <w:p>
            <w:pPr>
              <w:spacing w:after="0"/>
              <w:rPr>
                <w:sz w:val="20"/>
                <w:szCs w:val="20"/>
                <w:color w:val="auto"/>
              </w:rPr>
            </w:pPr>
            <w:r>
              <w:rPr>
                <w:rFonts w:ascii="Arial" w:cs="Arial" w:eastAsia="Arial" w:hAnsi="Arial"/>
                <w:sz w:val="14"/>
                <w:szCs w:val="14"/>
                <w:color w:val="auto"/>
              </w:rPr>
              <w:t>units</w:t>
            </w:r>
          </w:p>
        </w:tc>
        <w:tc>
          <w:tcPr>
            <w:tcW w:w="620" w:type="dxa"/>
            <w:vAlign w:val="bottom"/>
          </w:tcPr>
          <w:p>
            <w:pPr>
              <w:jc w:val="right"/>
              <w:spacing w:after="0"/>
              <w:rPr>
                <w:sz w:val="20"/>
                <w:szCs w:val="20"/>
                <w:color w:val="auto"/>
              </w:rPr>
            </w:pPr>
            <w:r>
              <w:rPr>
                <w:rFonts w:ascii="Arial" w:cs="Arial" w:eastAsia="Arial" w:hAnsi="Arial"/>
                <w:sz w:val="14"/>
                <w:szCs w:val="14"/>
                <w:color w:val="auto"/>
              </w:rPr>
              <w:t>3,297</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6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130"/>
        </w:trPr>
        <w:tc>
          <w:tcPr>
            <w:tcW w:w="1720" w:type="dxa"/>
            <w:vAlign w:val="bottom"/>
          </w:tcPr>
          <w:p>
            <w:pPr>
              <w:spacing w:after="0" w:line="130" w:lineRule="exact"/>
              <w:rPr>
                <w:sz w:val="20"/>
                <w:szCs w:val="20"/>
                <w:color w:val="auto"/>
              </w:rPr>
            </w:pPr>
            <w:r>
              <w:rPr>
                <w:rFonts w:ascii="Arial" w:cs="Arial" w:eastAsia="Arial" w:hAnsi="Arial"/>
                <w:sz w:val="14"/>
                <w:szCs w:val="14"/>
                <w:color w:val="auto"/>
              </w:rPr>
              <w:t>Distributions to</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tcPr>
          <w:p>
            <w:pPr>
              <w:spacing w:after="0"/>
              <w:rPr>
                <w:sz w:val="20"/>
                <w:szCs w:val="20"/>
                <w:color w:val="auto"/>
              </w:rPr>
            </w:pPr>
            <w:r>
              <w:rPr>
                <w:rFonts w:ascii="Arial" w:cs="Arial" w:eastAsia="Arial" w:hAnsi="Arial"/>
                <w:sz w:val="14"/>
                <w:szCs w:val="14"/>
                <w:color w:val="auto"/>
              </w:rPr>
              <w:t>noncontrolling interests</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6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(120)</w:t>
            </w:r>
          </w:p>
        </w:tc>
        <w:tc>
          <w:tcPr>
            <w:tcW w:w="580" w:type="dxa"/>
            <w:vAlign w:val="bottom"/>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30"/>
        </w:trPr>
        <w:tc>
          <w:tcPr>
            <w:tcW w:w="1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translation</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5"/>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(464)</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(464)</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Arial" w:cs="Arial" w:eastAsia="Arial" w:hAnsi="Arial"/>
                <w:sz w:val="14"/>
                <w:szCs w:val="14"/>
                <w:color w:val="auto"/>
              </w:rPr>
              <w:t>Net loss for the period</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(5,730)</w:t>
            </w:r>
          </w:p>
        </w:tc>
        <w:tc>
          <w:tcPr>
            <w:tcW w:w="22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(5,730)</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(5,679)</w:t>
            </w:r>
          </w:p>
        </w:tc>
        <w:tc>
          <w:tcPr>
            <w:tcW w:w="0" w:type="dxa"/>
            <w:vAlign w:val="bottom"/>
          </w:tcPr>
          <w:p>
            <w:pPr>
              <w:spacing w:after="0"/>
              <w:rPr>
                <w:sz w:val="1"/>
                <w:szCs w:val="1"/>
                <w:color w:val="auto"/>
              </w:rPr>
            </w:pPr>
          </w:p>
        </w:tc>
      </w:tr>
      <w:tr>
        <w:trPr>
          <w:trHeight w:val="142"/>
        </w:trPr>
        <w:tc>
          <w:tcPr>
            <w:tcW w:w="17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June 30, 2023</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4,170,925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42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$ 469,700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(439,351)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29,263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7,737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$ 37,000</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123" w:lineRule="exact"/>
              <w:rPr>
                <w:sz w:val="20"/>
                <w:szCs w:val="20"/>
                <w:color w:val="auto"/>
              </w:rPr>
            </w:pPr>
            <w:r>
              <w:rPr>
                <w:rFonts w:ascii="Arial" w:cs="Arial" w:eastAsia="Arial" w:hAnsi="Arial"/>
                <w:sz w:val="14"/>
                <w:szCs w:val="14"/>
                <w:color w:val="auto"/>
              </w:rPr>
              <w:t>Issuance of restricted stock</w:t>
            </w: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17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720" w:type="dxa"/>
            <w:vAlign w:val="bottom"/>
          </w:tcPr>
          <w:p>
            <w:pPr>
              <w:spacing w:after="0"/>
              <w:rPr>
                <w:sz w:val="20"/>
                <w:szCs w:val="20"/>
                <w:color w:val="auto"/>
              </w:rPr>
            </w:pPr>
            <w:r>
              <w:rPr>
                <w:rFonts w:ascii="Arial" w:cs="Arial" w:eastAsia="Arial" w:hAnsi="Arial"/>
                <w:sz w:val="14"/>
                <w:szCs w:val="14"/>
                <w:color w:val="auto"/>
              </w:rPr>
              <w:t>units</w:t>
            </w:r>
          </w:p>
        </w:tc>
        <w:tc>
          <w:tcPr>
            <w:tcW w:w="620" w:type="dxa"/>
            <w:vAlign w:val="bottom"/>
          </w:tcPr>
          <w:p>
            <w:pPr>
              <w:jc w:val="right"/>
              <w:spacing w:after="0"/>
              <w:rPr>
                <w:sz w:val="20"/>
                <w:szCs w:val="20"/>
                <w:color w:val="auto"/>
              </w:rPr>
            </w:pPr>
            <w:r>
              <w:rPr>
                <w:rFonts w:ascii="Arial" w:cs="Arial" w:eastAsia="Arial" w:hAnsi="Arial"/>
                <w:sz w:val="14"/>
                <w:szCs w:val="14"/>
                <w:color w:val="auto"/>
              </w:rPr>
              <w:t>3,456</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6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Arial" w:cs="Arial" w:eastAsia="Arial" w:hAnsi="Arial"/>
                <w:sz w:val="14"/>
                <w:szCs w:val="14"/>
                <w:color w:val="auto"/>
              </w:rPr>
              <w:t>Grant of stock for services</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0"/>
        </w:trPr>
        <w:tc>
          <w:tcPr>
            <w:tcW w:w="1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Contributions from</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noncontrolling interests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5"/>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30"/>
        </w:trPr>
        <w:tc>
          <w:tcPr>
            <w:tcW w:w="1720" w:type="dxa"/>
            <w:vAlign w:val="bottom"/>
          </w:tcPr>
          <w:p>
            <w:pPr>
              <w:spacing w:after="0" w:line="130" w:lineRule="exact"/>
              <w:rPr>
                <w:sz w:val="20"/>
                <w:szCs w:val="20"/>
                <w:color w:val="auto"/>
              </w:rPr>
            </w:pPr>
            <w:r>
              <w:rPr>
                <w:rFonts w:ascii="Arial" w:cs="Arial" w:eastAsia="Arial" w:hAnsi="Arial"/>
                <w:sz w:val="14"/>
                <w:szCs w:val="14"/>
                <w:color w:val="auto"/>
              </w:rPr>
              <w:t>Foreign currency</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tcPr>
          <w:p>
            <w:pPr>
              <w:spacing w:after="0"/>
              <w:rPr>
                <w:sz w:val="20"/>
                <w:szCs w:val="20"/>
                <w:color w:val="auto"/>
              </w:rPr>
            </w:pPr>
            <w:r>
              <w:rPr>
                <w:rFonts w:ascii="Arial" w:cs="Arial" w:eastAsia="Arial" w:hAnsi="Arial"/>
                <w:sz w:val="14"/>
                <w:szCs w:val="14"/>
                <w:color w:val="auto"/>
              </w:rPr>
              <w:t>translation</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6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(514)</w:t>
            </w: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(514)</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for the period</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(9,918)</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(9,918)</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(9,978)</w:t>
            </w:r>
          </w:p>
        </w:tc>
        <w:tc>
          <w:tcPr>
            <w:tcW w:w="0" w:type="dxa"/>
            <w:vAlign w:val="bottom"/>
          </w:tcPr>
          <w:p>
            <w:pPr>
              <w:spacing w:after="0"/>
              <w:rPr>
                <w:sz w:val="1"/>
                <w:szCs w:val="1"/>
                <w:color w:val="auto"/>
              </w:rPr>
            </w:pPr>
          </w:p>
        </w:tc>
      </w:tr>
      <w:tr>
        <w:trPr>
          <w:trHeight w:val="142"/>
        </w:trPr>
        <w:tc>
          <w:tcPr>
            <w:tcW w:w="1720" w:type="dxa"/>
            <w:vAlign w:val="bottom"/>
          </w:tcPr>
          <w:p>
            <w:pPr>
              <w:spacing w:after="0" w:line="142" w:lineRule="exact"/>
              <w:rPr>
                <w:sz w:val="20"/>
                <w:szCs w:val="20"/>
                <w:color w:val="auto"/>
              </w:rPr>
            </w:pPr>
            <w:r>
              <w:rPr>
                <w:rFonts w:ascii="Arial" w:cs="Arial" w:eastAsia="Arial" w:hAnsi="Arial"/>
                <w:sz w:val="14"/>
                <w:szCs w:val="14"/>
                <w:b w:val="1"/>
                <w:bCs w:val="1"/>
                <w:color w:val="auto"/>
              </w:rPr>
              <w:t>September 30, 2023</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4,174,381</w:t>
            </w:r>
          </w:p>
        </w:tc>
        <w:tc>
          <w:tcPr>
            <w:tcW w:w="16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42</w:t>
            </w:r>
          </w:p>
        </w:tc>
        <w:tc>
          <w:tcPr>
            <w:tcW w:w="6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340"/>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$ 470,270</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(449,269)</w:t>
            </w:r>
          </w:p>
        </w:tc>
        <w:tc>
          <w:tcPr>
            <w:tcW w:w="140" w:type="dxa"/>
            <w:vAlign w:val="bottom"/>
          </w:tcPr>
          <w:p>
            <w:pPr>
              <w:spacing w:after="0"/>
              <w:rPr>
                <w:sz w:val="12"/>
                <w:szCs w:val="12"/>
                <w:color w:val="auto"/>
              </w:rPr>
            </w:pPr>
          </w:p>
        </w:tc>
        <w:tc>
          <w:tcPr>
            <w:tcW w:w="22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(1,642)</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19,401</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7,869</w:t>
            </w:r>
          </w:p>
        </w:tc>
        <w:tc>
          <w:tcPr>
            <w:tcW w:w="1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$ 27,270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to reflect the impact of the 1:20 reverse stock split that became effective on September 28, 2023.</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357505</wp:posOffset>
            </wp:positionV>
            <wp:extent cx="598360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500"/>
          </w:cols>
          <w:pgMar w:left="1180" w:top="517" w:right="121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XWELL,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w w:val="90"/>
              </w:rPr>
              <w:t>Common stock</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4"/>
            <w:vMerge w:val="restart"/>
          </w:tcPr>
          <w:p>
            <w:pPr>
              <w:jc w:val="right"/>
              <w:ind w:right="68"/>
              <w:spacing w:after="0"/>
              <w:rPr>
                <w:sz w:val="20"/>
                <w:szCs w:val="20"/>
                <w:color w:val="auto"/>
              </w:rPr>
            </w:pPr>
            <w:r>
              <w:rPr>
                <w:rFonts w:ascii="Arial" w:cs="Arial" w:eastAsia="Arial" w:hAnsi="Arial"/>
                <w:sz w:val="14"/>
                <w:szCs w:val="14"/>
                <w:b w:val="1"/>
                <w:bCs w:val="1"/>
                <w:color w:val="auto"/>
              </w:rPr>
              <w:t>Treasury Stock</w:t>
            </w:r>
          </w:p>
        </w:tc>
        <w:tc>
          <w:tcPr>
            <w:tcW w:w="880" w:type="dxa"/>
            <w:vAlign w:val="bottom"/>
            <w:gridSpan w:val="3"/>
            <w:vMerge w:val="continue"/>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paid-</w:t>
            </w:r>
          </w:p>
        </w:tc>
        <w:tc>
          <w:tcPr>
            <w:tcW w:w="880" w:type="dxa"/>
            <w:vAlign w:val="bottom"/>
            <w:gridSpan w:val="3"/>
            <w:vMerge w:val="continue"/>
          </w:tcPr>
          <w:p>
            <w:pPr>
              <w:spacing w:after="0"/>
              <w:rPr>
                <w:sz w:val="14"/>
                <w:szCs w:val="14"/>
                <w:color w:val="auto"/>
              </w:rPr>
            </w:pPr>
          </w:p>
        </w:tc>
        <w:tc>
          <w:tcPr>
            <w:tcW w:w="1120" w:type="dxa"/>
            <w:vAlign w:val="bottom"/>
            <w:gridSpan w:val="4"/>
          </w:tcPr>
          <w:p>
            <w:pPr>
              <w:ind w:left="140"/>
              <w:spacing w:after="0"/>
              <w:rPr>
                <w:sz w:val="20"/>
                <w:szCs w:val="20"/>
                <w:color w:val="auto"/>
              </w:rPr>
            </w:pPr>
            <w:r>
              <w:rPr>
                <w:rFonts w:ascii="Arial" w:cs="Arial" w:eastAsia="Arial" w:hAnsi="Arial"/>
                <w:sz w:val="14"/>
                <w:szCs w:val="14"/>
                <w:b w:val="1"/>
                <w:bCs w:val="1"/>
                <w:color w:val="auto"/>
                <w:w w:val="93"/>
              </w:rPr>
              <w:t>comprehensive</w:t>
            </w: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w w:val="90"/>
              </w:rPr>
              <w:t>Company</w:t>
            </w:r>
          </w:p>
        </w:tc>
        <w:tc>
          <w:tcPr>
            <w:tcW w:w="980" w:type="dxa"/>
            <w:vAlign w:val="bottom"/>
            <w:gridSpan w:val="4"/>
          </w:tcPr>
          <w:p>
            <w:pPr>
              <w:ind w:left="160"/>
              <w:spacing w:after="0"/>
              <w:rPr>
                <w:sz w:val="20"/>
                <w:szCs w:val="20"/>
                <w:color w:val="auto"/>
              </w:rPr>
            </w:pPr>
            <w:r>
              <w:rPr>
                <w:rFonts w:ascii="Arial" w:cs="Arial" w:eastAsia="Arial" w:hAnsi="Arial"/>
                <w:sz w:val="14"/>
                <w:szCs w:val="14"/>
                <w:b w:val="1"/>
                <w:bCs w:val="1"/>
                <w:color w:val="auto"/>
              </w:rPr>
              <w:t>controlling</w:t>
            </w:r>
          </w:p>
        </w:tc>
        <w:tc>
          <w:tcPr>
            <w:tcW w:w="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9"/>
              </w:rPr>
              <w:t>Shares*</w:t>
            </w:r>
          </w:p>
        </w:tc>
        <w:tc>
          <w:tcPr>
            <w:tcW w:w="160" w:type="dxa"/>
            <w:vAlign w:val="bottom"/>
          </w:tcPr>
          <w:p>
            <w:pPr>
              <w:spacing w:after="0"/>
              <w:rPr>
                <w:sz w:val="12"/>
                <w:szCs w:val="12"/>
                <w:color w:val="auto"/>
              </w:rPr>
            </w:pPr>
          </w:p>
        </w:tc>
        <w:tc>
          <w:tcPr>
            <w:tcW w:w="5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Shares*</w:t>
            </w:r>
          </w:p>
        </w:tc>
        <w:tc>
          <w:tcPr>
            <w:tcW w:w="160" w:type="dxa"/>
            <w:vAlign w:val="bottom"/>
          </w:tcPr>
          <w:p>
            <w:pPr>
              <w:spacing w:after="0"/>
              <w:rPr>
                <w:sz w:val="12"/>
                <w:szCs w:val="12"/>
                <w:color w:val="auto"/>
              </w:rPr>
            </w:pPr>
          </w:p>
        </w:tc>
        <w:tc>
          <w:tcPr>
            <w:tcW w:w="5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7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5"/>
              </w:rPr>
              <w:t>in capital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78"/>
              </w:rPr>
              <w:t>loss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equity</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9"/>
              </w:rPr>
              <w:t>interests</w:t>
            </w:r>
          </w:p>
        </w:tc>
        <w:tc>
          <w:tcPr>
            <w:tcW w:w="20" w:type="dxa"/>
            <w:vAlign w:val="bottom"/>
          </w:tcPr>
          <w:p>
            <w:pPr>
              <w:spacing w:after="0"/>
              <w:rPr>
                <w:sz w:val="12"/>
                <w:szCs w:val="12"/>
                <w:color w:val="auto"/>
              </w:rPr>
            </w:pPr>
          </w:p>
        </w:tc>
        <w:tc>
          <w:tcPr>
            <w:tcW w:w="5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2021</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5,063,467</w:t>
            </w:r>
          </w:p>
        </w:tc>
        <w:tc>
          <w:tcPr>
            <w:tcW w:w="1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51</w:t>
            </w:r>
          </w:p>
        </w:tc>
        <w:tc>
          <w:tcPr>
            <w:tcW w:w="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$ 488,268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(395,275)</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92,732</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7,203</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$ 99,935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rPr>
                <w:sz w:val="20"/>
                <w:szCs w:val="20"/>
                <w:color w:val="auto"/>
              </w:rPr>
            </w:pPr>
            <w:r>
              <w:rPr>
                <w:rFonts w:ascii="Arial" w:cs="Arial" w:eastAsia="Arial" w:hAnsi="Arial"/>
                <w:sz w:val="14"/>
                <w:szCs w:val="14"/>
                <w:color w:val="auto"/>
              </w:rPr>
              <w:t>Stock for acquisition</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27,624</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906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906</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Vesting of restricted stock</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units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19,591</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tcPr>
          <w:p>
            <w:pPr>
              <w:spacing w:after="0" w:line="130" w:lineRule="exact"/>
              <w:rPr>
                <w:sz w:val="20"/>
                <w:szCs w:val="20"/>
                <w:color w:val="auto"/>
              </w:rPr>
            </w:pPr>
            <w:r>
              <w:rPr>
                <w:rFonts w:ascii="Arial" w:cs="Arial" w:eastAsia="Arial" w:hAnsi="Arial"/>
                <w:sz w:val="14"/>
                <w:szCs w:val="14"/>
                <w:color w:val="auto"/>
                <w:w w:val="97"/>
              </w:rPr>
              <w:t>Value of Shares Withheld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rPr>
                <w:sz w:val="20"/>
                <w:szCs w:val="20"/>
                <w:color w:val="auto"/>
              </w:rPr>
            </w:pPr>
            <w:r>
              <w:rPr>
                <w:rFonts w:ascii="Arial" w:cs="Arial" w:eastAsia="Arial" w:hAnsi="Arial"/>
                <w:sz w:val="14"/>
                <w:szCs w:val="14"/>
                <w:color w:val="auto"/>
              </w:rPr>
              <w:t>to fund payroll taxes</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compensation</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1,543</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4"/>
                <w:szCs w:val="14"/>
                <w:color w:val="auto"/>
              </w:rPr>
              <w:t>Net loss for the period</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(4,283)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(4,283)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1,521</w:t>
            </w:r>
          </w:p>
        </w:tc>
        <w:tc>
          <w:tcPr>
            <w:tcW w:w="1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Repurchase and</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retirement of common</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(357,122)</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(11,092)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(11,095)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(11,095)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tcPr>
          <w:p>
            <w:pPr>
              <w:spacing w:after="0" w:line="130" w:lineRule="exact"/>
              <w:rPr>
                <w:sz w:val="20"/>
                <w:szCs w:val="20"/>
                <w:color w:val="auto"/>
              </w:rPr>
            </w:pPr>
            <w:r>
              <w:rPr>
                <w:rFonts w:ascii="Arial" w:cs="Arial" w:eastAsia="Arial" w:hAnsi="Arial"/>
                <w:sz w:val="14"/>
                <w:szCs w:val="14"/>
                <w:color w:val="auto"/>
              </w:rPr>
              <w:t>Foreign currency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rPr>
                <w:sz w:val="20"/>
                <w:szCs w:val="20"/>
                <w:color w:val="auto"/>
              </w:rPr>
            </w:pPr>
            <w:r>
              <w:rPr>
                <w:rFonts w:ascii="Arial" w:cs="Arial" w:eastAsia="Arial" w:hAnsi="Arial"/>
                <w:sz w:val="14"/>
                <w:szCs w:val="14"/>
                <w:color w:val="auto"/>
              </w:rPr>
              <w:t>translation</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Distributions to</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noncontrolling interests</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tcPr>
          <w:p>
            <w:pPr>
              <w:spacing w:after="0" w:line="130" w:lineRule="exact"/>
              <w:rPr>
                <w:sz w:val="20"/>
                <w:szCs w:val="20"/>
                <w:color w:val="auto"/>
              </w:rPr>
            </w:pPr>
            <w:r>
              <w:rPr>
                <w:rFonts w:ascii="Arial" w:cs="Arial" w:eastAsia="Arial" w:hAnsi="Arial"/>
                <w:sz w:val="14"/>
                <w:szCs w:val="14"/>
                <w:color w:val="auto"/>
              </w:rPr>
              <w:t>Contributions from</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200</w:t>
            </w:r>
          </w:p>
        </w:tc>
        <w:tc>
          <w:tcPr>
            <w:tcW w:w="1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March 31, 2022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4,753,560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48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$ 479,552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(399,558)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79,689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8,100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$ 87,789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vMerge w:val="restart"/>
          </w:tcPr>
          <w:p>
            <w:pPr>
              <w:spacing w:after="0" w:line="123" w:lineRule="exact"/>
              <w:rPr>
                <w:sz w:val="20"/>
                <w:szCs w:val="20"/>
                <w:color w:val="auto"/>
              </w:rPr>
            </w:pPr>
            <w:r>
              <w:rPr>
                <w:rFonts w:ascii="Arial" w:cs="Arial" w:eastAsia="Arial" w:hAnsi="Arial"/>
                <w:sz w:val="14"/>
                <w:szCs w:val="14"/>
                <w:color w:val="auto"/>
                <w:w w:val="96"/>
              </w:rPr>
              <w:t>Vesting of restricted stock</w:t>
            </w: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rPr>
                <w:sz w:val="20"/>
                <w:szCs w:val="20"/>
                <w:color w:val="auto"/>
              </w:rPr>
            </w:pPr>
            <w:r>
              <w:rPr>
                <w:rFonts w:ascii="Arial" w:cs="Arial" w:eastAsia="Arial" w:hAnsi="Arial"/>
                <w:sz w:val="14"/>
                <w:szCs w:val="14"/>
                <w:color w:val="auto"/>
              </w:rPr>
              <w:t>units</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14,453</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Grant of stock options for</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rPr>
                <w:sz w:val="20"/>
                <w:szCs w:val="20"/>
                <w:color w:val="auto"/>
              </w:rPr>
            </w:pPr>
            <w:r>
              <w:rPr>
                <w:rFonts w:ascii="Arial" w:cs="Arial" w:eastAsia="Arial" w:hAnsi="Arial"/>
                <w:sz w:val="14"/>
                <w:szCs w:val="14"/>
                <w:color w:val="auto"/>
              </w:rPr>
              <w:t>compensation</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771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771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549</w:t>
            </w:r>
          </w:p>
        </w:tc>
        <w:tc>
          <w:tcPr>
            <w:tcW w:w="1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for the period</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(7,927)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tcPr>
          <w:p>
            <w:pPr>
              <w:spacing w:after="0" w:line="130" w:lineRule="exact"/>
              <w:rPr>
                <w:sz w:val="20"/>
                <w:szCs w:val="20"/>
                <w:color w:val="auto"/>
              </w:rPr>
            </w:pPr>
            <w:r>
              <w:rPr>
                <w:rFonts w:ascii="Arial" w:cs="Arial" w:eastAsia="Arial" w:hAnsi="Arial"/>
                <w:sz w:val="14"/>
                <w:szCs w:val="14"/>
                <w:color w:val="auto"/>
              </w:rPr>
              <w:t>Repurchase of common</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1"/>
              </w:rPr>
              <w:t>(66,920)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9"/>
              </w:rPr>
              <w:t>(1,021)</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(1,021)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(1,021)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translation</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tcPr>
          <w:p>
            <w:pPr>
              <w:spacing w:after="0" w:line="130" w:lineRule="exact"/>
              <w:rPr>
                <w:sz w:val="20"/>
                <w:szCs w:val="20"/>
                <w:color w:val="auto"/>
              </w:rPr>
            </w:pPr>
            <w:r>
              <w:rPr>
                <w:rFonts w:ascii="Arial" w:cs="Arial" w:eastAsia="Arial" w:hAnsi="Arial"/>
                <w:sz w:val="14"/>
                <w:szCs w:val="14"/>
                <w:color w:val="auto"/>
              </w:rPr>
              <w:t>Distributions to</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(132)</w:t>
            </w:r>
          </w:p>
        </w:tc>
        <w:tc>
          <w:tcPr>
            <w:tcW w:w="1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June 30, 2022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4,768,013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48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(66,920)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(1,021)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$ 480,338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(407,476)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71,431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8,508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$ 79,939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vMerge w:val="restart"/>
          </w:tcPr>
          <w:p>
            <w:pPr>
              <w:spacing w:after="0" w:line="123" w:lineRule="exact"/>
              <w:rPr>
                <w:sz w:val="20"/>
                <w:szCs w:val="20"/>
                <w:color w:val="auto"/>
              </w:rPr>
            </w:pPr>
            <w:r>
              <w:rPr>
                <w:rFonts w:ascii="Arial" w:cs="Arial" w:eastAsia="Arial" w:hAnsi="Arial"/>
                <w:sz w:val="14"/>
                <w:szCs w:val="14"/>
                <w:color w:val="auto"/>
                <w:w w:val="96"/>
              </w:rPr>
              <w:t>Vesting of restricted stock</w:t>
            </w: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rPr>
                <w:sz w:val="20"/>
                <w:szCs w:val="20"/>
                <w:color w:val="auto"/>
              </w:rPr>
            </w:pPr>
            <w:r>
              <w:rPr>
                <w:rFonts w:ascii="Arial" w:cs="Arial" w:eastAsia="Arial" w:hAnsi="Arial"/>
                <w:sz w:val="14"/>
                <w:szCs w:val="14"/>
                <w:color w:val="auto"/>
              </w:rPr>
              <w:t>units</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12,812</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Grant of stock options for</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tcPr>
          <w:p>
            <w:pPr>
              <w:spacing w:after="0" w:line="130" w:lineRule="exact"/>
              <w:rPr>
                <w:sz w:val="20"/>
                <w:szCs w:val="20"/>
                <w:color w:val="auto"/>
              </w:rPr>
            </w:pPr>
            <w:r>
              <w:rPr>
                <w:rFonts w:ascii="Arial" w:cs="Arial" w:eastAsia="Arial" w:hAnsi="Arial"/>
                <w:sz w:val="14"/>
                <w:szCs w:val="14"/>
                <w:color w:val="auto"/>
              </w:rPr>
              <w:t>Contributions from</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546</w:t>
            </w:r>
          </w:p>
        </w:tc>
        <w:tc>
          <w:tcPr>
            <w:tcW w:w="1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compensation</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4"/>
                <w:szCs w:val="14"/>
                <w:color w:val="auto"/>
              </w:rPr>
              <w:t>Net loss for the period</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(7,179)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(7,179)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1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(7,679)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Repurchase and</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retirement of common</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(619,212)</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66,920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(12,688)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(11,673)</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(11,673)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tcPr>
          <w:p>
            <w:pPr>
              <w:spacing w:after="0" w:line="130" w:lineRule="exact"/>
              <w:rPr>
                <w:sz w:val="20"/>
                <w:szCs w:val="20"/>
                <w:color w:val="auto"/>
              </w:rPr>
            </w:pPr>
            <w:r>
              <w:rPr>
                <w:rFonts w:ascii="Arial" w:cs="Arial" w:eastAsia="Arial" w:hAnsi="Arial"/>
                <w:sz w:val="14"/>
                <w:szCs w:val="14"/>
                <w:color w:val="auto"/>
              </w:rPr>
              <w:t>Foreign currency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spacing w:after="0"/>
              <w:rPr>
                <w:sz w:val="20"/>
                <w:szCs w:val="20"/>
                <w:color w:val="auto"/>
              </w:rPr>
            </w:pPr>
            <w:r>
              <w:rPr>
                <w:rFonts w:ascii="Arial" w:cs="Arial" w:eastAsia="Arial" w:hAnsi="Arial"/>
                <w:sz w:val="14"/>
                <w:szCs w:val="14"/>
                <w:color w:val="auto"/>
              </w:rPr>
              <w:t>translation</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Distributions to</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noncontrolling interests</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4,161,613</w:t>
            </w:r>
          </w:p>
        </w:tc>
        <w:tc>
          <w:tcPr>
            <w:tcW w:w="1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42</w:t>
            </w:r>
          </w:p>
        </w:tc>
        <w:tc>
          <w:tcPr>
            <w:tcW w:w="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$ 468,058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(414,655)</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52,885</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8,642</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$ 61,527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*Adjusted to reflect the impact of the 1:20 reverse stock split that became effective on September 28, 2023.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XWELL,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260" w:type="dxa"/>
            <w:vAlign w:val="bottom"/>
            <w:tcBorders>
              <w:bottom w:val="single" w:sz="8" w:color="auto"/>
            </w:tcBorders>
            <w:gridSpan w:val="5"/>
          </w:tcPr>
          <w:p>
            <w:pPr>
              <w:jc w:val="right"/>
              <w:ind w:right="28"/>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(21,486)</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(18,368)</w:t>
            </w:r>
          </w:p>
        </w:tc>
        <w:tc>
          <w:tcPr>
            <w:tcW w:w="0" w:type="dxa"/>
            <w:vAlign w:val="bottom"/>
          </w:tcPr>
          <w:p>
            <w:pPr>
              <w:spacing w:after="0"/>
              <w:rPr>
                <w:sz w:val="1"/>
                <w:szCs w:val="1"/>
                <w:color w:val="auto"/>
              </w:rPr>
            </w:pPr>
          </w:p>
        </w:tc>
      </w:tr>
      <w:tr>
        <w:trPr>
          <w:trHeight w:val="149"/>
        </w:trPr>
        <w:tc>
          <w:tcPr>
            <w:tcW w:w="66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1,770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4,329</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Impairment of long lived assets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148"/>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Foreign currency remeasurement loss</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690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Loss on disposal of assets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48"/>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Gain on lease termination</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(821)</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Unrealized gain on marketable securities</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(668)</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Amortization of operating lease right of use asset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1,163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1,357</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3,346</w:t>
            </w:r>
          </w:p>
        </w:tc>
        <w:tc>
          <w:tcPr>
            <w:tcW w:w="0" w:type="dxa"/>
            <w:vAlign w:val="bottom"/>
          </w:tcPr>
          <w:p>
            <w:pPr>
              <w:spacing w:after="0"/>
              <w:rPr>
                <w:sz w:val="1"/>
                <w:szCs w:val="1"/>
                <w:color w:val="auto"/>
              </w:rPr>
            </w:pPr>
          </w:p>
        </w:tc>
      </w:tr>
      <w:tr>
        <w:trPr>
          <w:trHeight w:val="148"/>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Loss on equity investment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Changes in assets and liabilities: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Decrease in inventory</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Decrease (increase) in accounts receivable</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48"/>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Increase in other assets, current and non-current</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(336)</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(2,265)</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Increase in deferred revenue</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(266)</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148"/>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Increase in other liabilities, current and non-current</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(3,226)</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(3,913)</w:t>
            </w:r>
          </w:p>
        </w:tc>
        <w:tc>
          <w:tcPr>
            <w:tcW w:w="0" w:type="dxa"/>
            <w:vAlign w:val="bottom"/>
          </w:tcPr>
          <w:p>
            <w:pPr>
              <w:spacing w:after="0"/>
              <w:rPr>
                <w:sz w:val="1"/>
                <w:szCs w:val="1"/>
                <w:color w:val="auto"/>
              </w:rPr>
            </w:pPr>
          </w:p>
        </w:tc>
      </w:tr>
      <w:tr>
        <w:trPr>
          <w:trHeight w:val="149"/>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Decrease in accounts payable</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(251)</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(2,866)</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cash used in operating activities</w:t>
            </w: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(12,873)</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(17,406)</w:t>
            </w: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Acquisition of property and equipment</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(1,639)</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(5,797)</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Investment in marketable securities</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(1,991)</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Sale of marketable securities</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4,500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Naples Wax</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(1,574)</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Acquisition of HyperPointe, net of cash assumed</w:t>
            </w:r>
          </w:p>
        </w:tc>
        <w:tc>
          <w:tcPr>
            <w:tcW w:w="22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(4,853)</w:t>
            </w:r>
          </w:p>
        </w:tc>
        <w:tc>
          <w:tcPr>
            <w:tcW w:w="0" w:type="dxa"/>
            <w:vAlign w:val="bottom"/>
          </w:tcPr>
          <w:p>
            <w:pPr>
              <w:spacing w:after="0"/>
              <w:rPr>
                <w:sz w:val="1"/>
                <w:szCs w:val="1"/>
                <w:color w:val="auto"/>
              </w:rPr>
            </w:pPr>
          </w:p>
        </w:tc>
      </w:tr>
      <w:tr>
        <w:trPr>
          <w:trHeight w:val="149"/>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intangibles</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(468)</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(1,172)</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(10,929)</w:t>
            </w: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Repurchase of Common Stock</w:t>
            </w:r>
          </w:p>
        </w:tc>
        <w:tc>
          <w:tcPr>
            <w:tcW w:w="22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(23,789)</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Contributions from noncontrolling interests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w:t>
            </w:r>
          </w:p>
        </w:tc>
        <w:tc>
          <w:tcPr>
            <w:tcW w:w="0" w:type="dxa"/>
            <w:vAlign w:val="bottom"/>
          </w:tcPr>
          <w:p>
            <w:pPr>
              <w:spacing w:after="0"/>
              <w:rPr>
                <w:sz w:val="1"/>
                <w:szCs w:val="1"/>
                <w:color w:val="auto"/>
              </w:rPr>
            </w:pPr>
          </w:p>
        </w:tc>
      </w:tr>
      <w:tr>
        <w:trPr>
          <w:trHeight w:val="149"/>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Payments for shares withheld on vesting</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Repayment of Paycheck Protection Program</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(3,584)</w:t>
            </w:r>
          </w:p>
        </w:tc>
        <w:tc>
          <w:tcPr>
            <w:tcW w:w="0" w:type="dxa"/>
            <w:vAlign w:val="bottom"/>
          </w:tcPr>
          <w:p>
            <w:pPr>
              <w:spacing w:after="0"/>
              <w:rPr>
                <w:sz w:val="1"/>
                <w:szCs w:val="1"/>
                <w:color w:val="auto"/>
              </w:rPr>
            </w:pPr>
          </w:p>
        </w:tc>
      </w:tr>
      <w:tr>
        <w:trPr>
          <w:trHeight w:val="148"/>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(956)</w:t>
            </w:r>
          </w:p>
        </w:tc>
        <w:tc>
          <w:tcPr>
            <w:tcW w:w="0" w:type="dxa"/>
            <w:vAlign w:val="bottom"/>
          </w:tcPr>
          <w:p>
            <w:pPr>
              <w:spacing w:after="0"/>
              <w:rPr>
                <w:sz w:val="1"/>
                <w:szCs w:val="1"/>
                <w:color w:val="auto"/>
              </w:rPr>
            </w:pPr>
          </w:p>
        </w:tc>
      </w:tr>
      <w:tr>
        <w:trPr>
          <w:trHeight w:val="142"/>
        </w:trPr>
        <w:tc>
          <w:tcPr>
            <w:tcW w:w="66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Net cash provided by (used in) financing activities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(27,656)</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(174)</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Decrease in cash, cash equivalents and restricted cash</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(14,211)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(56,077)</w:t>
            </w:r>
          </w:p>
        </w:tc>
        <w:tc>
          <w:tcPr>
            <w:tcW w:w="0" w:type="dxa"/>
            <w:vAlign w:val="bottom"/>
          </w:tcPr>
          <w:p>
            <w:pPr>
              <w:spacing w:after="0"/>
              <w:rPr>
                <w:sz w:val="1"/>
                <w:szCs w:val="1"/>
                <w:color w:val="auto"/>
              </w:rPr>
            </w:pPr>
          </w:p>
        </w:tc>
      </w:tr>
      <w:tr>
        <w:trPr>
          <w:trHeight w:val="148"/>
        </w:trPr>
        <w:tc>
          <w:tcPr>
            <w:tcW w:w="664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beginning of the period</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19,789</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106,257</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Cash, cash equivalents, and restricted cash at end of the period</w:t>
            </w: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5,578</w:t>
            </w:r>
          </w:p>
        </w:tc>
        <w:tc>
          <w:tcPr>
            <w:tcW w:w="2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50,180</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Cash paid for</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8"/>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Income taxes</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142</w:t>
            </w:r>
          </w:p>
        </w:tc>
        <w:tc>
          <w:tcPr>
            <w:tcW w:w="22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Non-cash investing and financing transactions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Capital expenditures included in Accounts payable, accrued expenses and other current liabilities</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197</w:t>
            </w:r>
          </w:p>
        </w:tc>
        <w:tc>
          <w:tcPr>
            <w:tcW w:w="22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Common Stock on acquisition of gcg Connect, LLC, d/b/a HyperPointe</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XWELL,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Business, Basis of Presentation and Liquidity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October 25, 2022, the Company changed its name to XWELL, Inc. (“XWELL” or the “Company”) from XpresSpa Group, Inc. The Company’s common stock, par value $0.01 per share, which had previously been listed under the trading symbol “XSPA” on the Nasdaq Capital Market, now trades under the trading symbol “XWEL” since the opening of the trading market on October 25, 2022. The Company filed an amended and restated certificate of incorporation with the Delaware Secretary of State on October 24, 2022 (the “Amended and Restated Certificate”) reflecting the name change. Rebranding to XWELL aligned the Company’s corporate strategy to build a pure-play wellness services company, in both the airport and off airport marketplaces.</w:t>
      </w:r>
    </w:p>
    <w:p>
      <w:pPr>
        <w:spacing w:after="0" w:line="19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8"/>
          <w:szCs w:val="18"/>
          <w:color w:val="auto"/>
        </w:rPr>
        <w:t>XWELL is a global wellness company operating multiple brands and focused on bringing restorative, regenerative and reinvigorating products and services to travelers. XWELL currently has three reportable operating segments: XpresSpa</w:t>
      </w:r>
      <w:r>
        <w:rPr>
          <w:rFonts w:ascii="Arial" w:cs="Arial" w:eastAsia="Arial" w:hAnsi="Arial"/>
          <w:sz w:val="20"/>
          <w:szCs w:val="20"/>
          <w:color w:val="auto"/>
          <w:vertAlign w:val="superscript"/>
        </w:rPr>
        <w:t>®</w:t>
      </w:r>
      <w:r>
        <w:rPr>
          <w:rFonts w:ascii="Arial" w:cs="Arial" w:eastAsia="Arial" w:hAnsi="Arial"/>
          <w:sz w:val="18"/>
          <w:szCs w:val="18"/>
          <w:color w:val="auto"/>
        </w:rPr>
        <w:t>, XpresTest</w:t>
      </w:r>
      <w:r>
        <w:rPr>
          <w:rFonts w:ascii="Arial" w:cs="Arial" w:eastAsia="Arial" w:hAnsi="Arial"/>
          <w:sz w:val="20"/>
          <w:szCs w:val="20"/>
          <w:color w:val="auto"/>
          <w:vertAlign w:val="superscript"/>
        </w:rPr>
        <w:t>®</w:t>
      </w:r>
      <w:r>
        <w:rPr>
          <w:rFonts w:ascii="Arial" w:cs="Arial" w:eastAsia="Arial" w:hAnsi="Arial"/>
          <w:sz w:val="18"/>
          <w:szCs w:val="18"/>
          <w:color w:val="auto"/>
        </w:rPr>
        <w:t>, and Treat</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XpresSpa</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XWELL’s subsidiary, XpresSpa Holdings, LLC (“XpresSpa”) has been a global airport retailer of spa services through its XpresSpa spa locations, offering travelers premium spa services, including massage, nail and skin care, as well as spa and travel products.</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of September 30, 2023, there were 21 operating XpresSpa domestic locations. During 2022, the Company sold one location in Austin-Bergstrom International Airport to its franchisee which now operates both locations at that airport. The Company also had 10 international locations operating as of September 30, 2023, including two XpresSpa locations in Dubai International Airport in the United Arab Emirates, three XpresSpa locations in Schiphol Amsterdam Airport in the Netherlands and five XpresSpa locations in Istanbul Airport in Turkey.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XpresTest</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in partnership with certain COVID-19 testing partners, successfully launched its XpresCheck Wellness Centers through its XpresTest, Inc. subsidiary (“XpresTest”), offering testing services, also in airports. During 2022, as countries continued to relax their testing requirements resulting in rapid decline of testing volumes at the Company’s XpresCheck locations, the Company closed all but one XpresCheck Wellness Center. As of September 30, 2023, we have closed all XpresCheck locations.</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XpresTest began conducting bio-surveillance monitoring with the Centers for Disease Control and Prevention (CDC) in collaboration with Concentric by Ginkgo in 2021 and on January 31, 2022, the Company announced the extension of the initial program, bringing the total contract to $5,534. As of August 2022, the program was renewed in partnership with Ginkgo BioWorks for a new two-year contract term which represents approximately $7,331 in revenue (for the first year) for the XpresTest segment. Effective as of August 12, 2023, the revenue for the second year was determined to be approximately $6,675.</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reporting purposes, the former Hyperpointe segment has been consolidated into the XpresTest segment. This determination was made given that XpresTest and Hyperpointe are managed by its Chief Executive Officer, Ezra Ernst, as a single segment.</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HyperPointe, which the Company acquired in January 2022, provides a broad range of service and support options for our customers, including technical support services and advanced services.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Treat</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Treat segment, which is operating through XWELL’s subsidiary Treat, Inc. (“Treat”) is a wellness brand that provides access to wellness services for travelers at on-site centers (currently located in JFK International Airport and in Salt Lake City International Airport).</w:t>
      </w:r>
    </w:p>
    <w:p>
      <w:pPr>
        <w:spacing w:after="0" w:line="184"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In 2022, the Company’s Treat brand opened new locations in Phoenix Sky Harbor International Airport (pre-security) and Salt Lake City International Airport. With respect to these locations in Phoenix and Salt Lake City, agreements had already been executed with the airports and the decision was made to convert these locations to Treat.</w:t>
      </w:r>
    </w:p>
    <w:p>
      <w:pPr>
        <w:spacing w:after="0" w:line="16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By the third quarter of 2022, it became clear that the Treat business required a change in strategy and as a result, the Company began to retool the offerings within the Treat locations by providing additional retail as part of its retail strategy expansion as well as lay the foundation to bring more spa-like services into the Treat locations in an attempt to unify its core offering.</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By the fourth quarter of 2022, the decision was made to close the pre-security Treat location at Phoenix Sky Harbor Airport. As of September 30, 2023, the Treat brand operated at two locations in the airport (JFK International Airport and Salt Lake City International Airport). These remaining Treat locations offer a full retail product offering and a suite of wellness and spa services.</w:t>
      </w:r>
    </w:p>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September 12, 2023, XWELL acquired Naples Wax, LLC, a group of upscale hair removal boutiques in Florida, for a purchase price of approximately $1.6 million. Known for providing a memorable customer experience, Naples Wax Center operates three high-performing locations with core products and service offerings from face and body waxing to a range of skincare and cosmetic products. The acquisition of Naples Wax Center enables the company to move beyond its airport client base with a business it can adapt a larger wellness platform while also growing its retail footprint to serve its long-term financial expectations.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reporting purposes, the Naples Wax acquisition is consolidated under the Treat segment.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unaudited interim condensed consolidated financial statements have been prepared in accordance with accounting principles generally accepted in the United States of America (“GAAP”) for interim financial information and the instructions to Article 8-03 of Regulation S-X, and should be read in conjunction with the Company’s Annual Report on Form 10-K for the year ended December 31, 2022, as amended. The condensed consolidated balance sheet as of December 31, 2022 was derived from the audited annual financial statements but does not include all information required by GAAP for annual financial statements. The financial statements include the accounts of the Company, all entities that are wholly owned by the Company, and all entities in which the Company has a controlling financial interest as well as variable interest entities in which we are the primary beneficiaries. All adjustments that, in the opinion of management, are necessary for a fair presentation for the periods presented have been reflected by the Company. Such adjustments are of a normal, recurring nature. The results of operations for the three and nine months ended September 30, 2023 are not necessarily indicative of the results that may be expected for the entire fiscal year or for any other interim period. All significant intercompany balances and transactions have been eliminated in consolidation.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On September 28, 2023, the Company effected a 1-for-20 reverse stock split, whereby every twenty shares of its Common Stock were reduced to one share of its Common Stock and the price per share of its Common Stock was multiplied by 20. All references to shares and per share amounts have been adjusted to reflect the reverse stock split.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Financial Condition</w:t>
      </w:r>
    </w:p>
    <w:p>
      <w:pPr>
        <w:spacing w:after="0" w:line="225"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As of September 30, 2023, the Company had cash and cash equivalents of $4,827 (excluding restricted cash), $21,311 in marketable securities, and total current assets of $29,962. The Company’s total current liabilities balance, which includes accounts payable, deferred revenue, accrued expenses, and operating lease liabilities was approximately $8,157 as of September 30, 2023 and $10,956 as of December 31, 2022. The working capital surplus was $21,805 as of September 30, 2023, compared to a working capital surplus of $36,376 as of December 31, 2022.</w:t>
      </w:r>
    </w:p>
    <w:p>
      <w:pPr>
        <w:spacing w:after="0" w:line="1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has significantly reduced operating and overhead expenses since the second half of 2022, while it continues to focus on returning to overall profitability.</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has taken actions to improve its overall cash position and access to liquidity through equity offerings and debt retirements, by exploring valuable strategic partnerships, rightsizing its corporate structure and streamlining its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Significant Accounting and Reporting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 Revenue Recognition Policy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XpresSpa</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recognizes revenue from the sale of XpresSpa products and services when the services are rendered at XpresSpa stores and from the sale of products at the time products are purchased at the Company’s stores or online usually by credit card, net of discounts and applicable sales taxes. Accordingly, the Company recognizes revenue for the Company’s single performance obligation related to both in-store and online sales at the point at which the service has been performed or the control of the merchandise has passed to the customer. Revenues from the XpresSpa retail and e-commerce businesses are recorded at the time goods are shipped.</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has also entered into collaborative agreements with marketing partners whereby it sells certain of its partners’ products in its XpresSpa spas. The Company acts as an agent for revenue recognition purposes and therefore records revenue net of the revenue share payable to the partners. Upon receipt of the non-recurring, non-refundable initial collaboration fee, management records a deferred revenue liability and recognizes revenue on a straight-line basis over the life of the collaboration agreement.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XpresTest</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During the third quarter of 2022, XpresTest, in partnership with Ginkgo BioWorks in continuation of their support to the CDC’s traveler-based SARS-CoV-2 genomic surveillance program was awarded a new contract. The partnership is expected to support public health and biosecurity services totaling approximately $16,000, with an overall potential to exceed $61,000 based on CDC program options and public health priorities. As COVID-19 sub-variants and other biological threats continue to emerge, the partners plan to expand the program footprint and incorporate innovative modalities and offerings, such as monitoring of wastewater from aircraft lavatories. The current contract with Ginkgo BioWorks related to the above partnership contains fixed pricing for which we are entitled to $6,761 for the sample collection (passenger and aircraft wastewater) and $570 for the traveler enrollment initiatives, which represents the amount of consideration that we are entitled. The Company recognizes revenue over time for both sample collection performance obligations, using the input method based on time elapsed to measure progress towards satisfying each of the performance obligations. We recognized the revenue for the traveler enrollment initiative performance obligation in the second quarter of 2023. The Company recognizes revenue ratably (straight line basis) over the term of the contract (one year). The Company recorded $1,603 and $5,531 in revenue during the three and nine months ended September 30, 2023 related to sample collection performance obligations because the Company’s efforts towards satisfying each of the performance obligations are expended evenly throughout the period of performance.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HyperPointe, which we acquired in January 2022, provides broad range of service and support options for our customers, including technical support services and advanced services. Technical support services represent the majority of these offerings which are distinct performance obligations that are satisfied over time with revenue recognized ratably over the contract term. Advanced services are distinct performance obligations that are satisfied over time with revenue recognized as services are delivered. Revenue billed in advance is treated as deferred revenue which was $56 and $322 as of September 30, 2023 and December 31, 2022, respectively. The Company has recognized $210 of the December 31, 2022 deferred revenue balance in 2023. HyperPointe had unbilled receivables of $187 and $0 as of September 30, 2023 and December 31, 2022, respectively, included in other current assets.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excludes all sales taxes assessed to our customers from revenue. Sales taxes assessed on revenues are included in accrued expenses and other current liabilities on the Company’s unaudited condensed consolidated balance sheets until remitted to state agencies.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Treat</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Company recognizes revenue from the sale of Treat and Naples Wax products and services when the services are rendered at Treat Centers and Naples Wax Centers and from the sale of products at the time products are purchased at the Treat Centers, online, and the Naples Wax Centers usually by credit card, net of discounts and applicable sales taxes. Accordingly, the Company recognizes revenue for the Company’s single performance obligation related to both in-centers and online sales at the point at which the service has been performed or the control of the merchandise has passed to the customer. Revenues from the Treat retail and e-commerce businesses are recorded at the time goods are shipped.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 Translation into United States dollars</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 conducts certain transactions in foreign currencies, which are recorded at the exchange rate as of the transaction date. All exchange gains and losses occurring from the remeasurement of monetary balance sheet items denominated in non-dollar currencies are deemed non-operating income in the unaudited condensed consolidated statements of operations and comprehensive loss. During the three and nine months ended September 30, 2023, the Company recognized a gain of $366 and a loss of $690, respectively, as a result of foreign exchange, occurring from the remeasurement of monetary balance sheet items denominated in non-dollar currencies. During the three and nine months ended September 30, 2022, the Company did not incur any foreign exchange gains or losses occurring from the remeasurement of monetary balance sheet items denominated in non-dollar currencies.</w:t>
      </w:r>
    </w:p>
    <w:p>
      <w:pPr>
        <w:spacing w:after="0" w:line="178"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Accounts of the foreign subsidiaries of XpresSpa are translated into United States dollars. Assets and liabilities have been translated primarily at period end exchange rates and revenues and expenses have been translated at average monthly rates for the three and nine months ended September 2023 and 2022. The translation adjustments arising from the use of different exchange rates are included as foreign currency translation within the condensed consolidated statements of operations and comprehensive income (loss) and unaudited condensed consolidated statements of changes in stockholders’ equity.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 Business Combinations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The Company applies the provisions of Financial Accounting Standards Board (“FASB”) Accounting Standards Codification </w:t>
      </w:r>
      <w:r>
        <w:rPr>
          <w:rFonts w:ascii="Arial" w:cs="Arial" w:eastAsia="Arial" w:hAnsi="Arial"/>
          <w:sz w:val="18"/>
          <w:szCs w:val="18"/>
          <w:color w:val="4D5156"/>
        </w:rPr>
        <w:t>(“</w:t>
      </w:r>
      <w:r>
        <w:rPr>
          <w:rFonts w:ascii="Arial" w:cs="Arial" w:eastAsia="Arial" w:hAnsi="Arial"/>
          <w:sz w:val="18"/>
          <w:szCs w:val="18"/>
          <w:color w:val="auto"/>
        </w:rPr>
        <w:t>ASC”) Topic 805, Business Combinations (“ASC 805”) in the accounting for acquisitions of businesses. ASC 805 requires the Company to use the acquisition method of accounting by recognizing the identifiable tangible and intangible assets acquired and liabilities assumed, and any non-controlling interest in the acquired business, measured at their acquisition date fair values. Goodwill as of the acquisition date is measured as the excess of consideration transferred over the aforementioned amounts.</w:t>
      </w:r>
    </w:p>
    <w:p>
      <w:pPr>
        <w:spacing w:after="0" w:line="19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While the Company uses its best estimates and assumptions to accurately apply preliminary values to assets acquired and liabilities assumed at the acquisition date, these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Upon the conclusion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of the measurement period or final determination of the values of the assets acquired or liabilities assumed, whichever comes first, any subsequent adjustments are recorded in the consolidated statements of operations.</w:t>
      </w:r>
    </w:p>
    <w:p>
      <w:pPr>
        <w:spacing w:after="0" w:line="170"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Accounting for business combinations requires management to make significant estimates and assumptions, especially at the acquisition date, including estimates for intangible assets. Although the Company believes the assumptions and estimates that have been made are reasonable and appropriate, they are based in part on historical experience and information obtained from the acquired companies and are inherently uncertain. Critical estimates in valuing certain of the intangible assets the Company has acquired include future expected cash flows, and discount rates.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 Goodwill</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accounts for goodwill under FASB ASC 350-30, Intangibles-Goodwill and Other. Goodwill represents the cost of a business acquisition in excess of the fair value of the net assets acquired. Goodwill is not amortized and is reviewed for impairment annually, or more frequently if facts and circumstances indicate that it is more likely than not that the fair value of a reporting unit is less than its carrying amount, including goodwill. If it is more likely than not that the fair value of a reporting unit is less than its carrying amount, the Company performs a quantitative test to identify and measure the amount of goodwill impairment loss. The Company compares the fair value of the reporting unit with its carrying amount. If the carrying amount exceeds fair value, goodwill of the reporting unit is considered impaired, and that excess is recognized as a goodwill impairment loss. During the quarter ended September 30, 2023, the Company recognized an impairment charge of $4,024, which is included in Impairment of long-lived assets in the Company’s unaudited condensed consolidated statements of operations and comprehensive income (loss).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 Reclassification</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Certain balances in the unaudited condensed consolidated financial statements for the three and nine months ended September 30, 2022 have been reclassified to conform to the presentation in the unaudited condensed consolidated financial statements for the three and nine months ended September 30, 2023, primarily the separate classification and presentation of accounts payable, gross profits, advertising and promotion expense, IT/Hosting services, and foreign exchange remeasurement gain/(loss). The above separation affected accounts payable, accrued expenses and other, general and administrative expenses, and other non-operating expense, net in the comparative 2022 financial statements. Such reclassifications did not have a material impact on the unaudited condensed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 Impairment of long-lived assets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Long-lived assets are tested for impairment at the lowest level at which there are identifiable operating cash flows. The Company’s long-lived assets consist primarily of leasehold improvements and right to use lease assets for each of its airport locations (considered the asset group). The Company reviews its long-lived assets for recoverability yearly or sooner if events or changes in circumstances indicate that the carrying value of long-lived assets may not be recoverable. If indicators are present, the Company performs a recoverability test by comparing the sum of the estimated undiscounted 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groups fair value. The Company estimates the fair value of long-lived assets using present value income approach. Future cash flows are calculated based on forecasts over the estimated remaining useful life of the asset group, which for each of the Company’s airport locations, is the remaining term of the operating lease.</w:t>
      </w:r>
    </w:p>
    <w:p>
      <w:pPr>
        <w:spacing w:after="0" w:line="18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recorded an impairment expense related to intangible assets of $2,758 during the quarter ended September 30, 2023, which is included in Impairment of long-lived assets in the Company’s consolidated statements of operations and comprehensive income (loss). The expense was primarily related to the impairment of intangible assets for the Company’s Treat segment and Hyperpointe business.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11"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In June 2016, the FASB issued Accounting Standards Update (“ASU”) 2016-13, Financial Instruments-Credit Losses (Topic 326): Measurement of Credit Losses on Financial Instruments ("ASU 2016-13"). ASU 2016-13's main goal is to</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improve financial reporting by requiring earlier recognition of credit losses on financing receivables and other financial assets in scope. The guidance is effective for annual periods beginning after December 15, 2022, including interim periods within those fiscal years. On implementation in 2023, the ASU did not have material impact on the Company’s financial statements.</w:t>
      </w:r>
    </w:p>
    <w:p>
      <w:pPr>
        <w:spacing w:after="0" w:line="18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October 2021, the FASB issued ASU 2021-08, Business Combinations (Topic 805): Accounting for Contract Assets and Contract Liabilities from Contracts with Customers (“ASU 2021-08”). ASU 2021-08 requires contract assets and contract liabilities acquired in a business acquisition to be recognized and measured in accordance with ASC Topic 606, Revenues from Contracts with Customers, which the Company generally expects will result in the recognition and measurement of contract assets and contract liabilities in a manner that is consistent with the acquiree. For the Company, the amendments are effective for fiscal years beginning after December 15, 2022, including interim periods within those fiscal years. The materiality of the application of ASU 2021-08 depends on the recognition and measurement of acquired assets and liabilities associated with future acquisitions.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Potentially Dilutive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presents the computation of basic and diluted net loss per share of Common Stock:</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3"/>
              </w:rPr>
              <w:t>Three months ended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6"/>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numerator: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loss attributable to XWELL, Inc.</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(7,179)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(21,157)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(19,380)</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denominator:</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4,173,894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4,731,066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4,170,629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4,858,393</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loss per share</w:t>
            </w: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00" w:type="dxa"/>
            <w:vAlign w:val="bottom"/>
            <w:gridSpan w:val="2"/>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w:t>
            </w:r>
          </w:p>
        </w:tc>
        <w:tc>
          <w:tcPr>
            <w:tcW w:w="18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w:t>
            </w:r>
          </w:p>
        </w:tc>
        <w:tc>
          <w:tcPr>
            <w:tcW w:w="20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(5.07)</w:t>
            </w:r>
          </w:p>
        </w:tc>
        <w:tc>
          <w:tcPr>
            <w:tcW w:w="18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Both vested and unvested options to purchase an equal</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number of shares of Common Stock</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377,717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235,668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377,717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235,668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Unvested RSUs to issue an equal number of shares of</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w w:val="91"/>
              </w:rPr>
              <w:t>Warrants to purchase an equal number of shares of Common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856,203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856,203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4"/>
              </w:rPr>
              <w:t>Total number of potentially dilutive securities excluded</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from the calculation of loss per share attributable to</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392,361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1,093,824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392,361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1,093,824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common shareholders</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b w:val="1"/>
          <w:bCs w:val="1"/>
          <w:color w:val="auto"/>
        </w:rPr>
        <w:t>Note 4. Cash, Cash Equivalents, and Restricted Cash</w:t>
      </w:r>
    </w:p>
    <w:p>
      <w:pPr>
        <w:spacing w:after="0" w:line="22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 reconciliation of the Company’s cash and cash equivalents in the Unaudited Condensed Consolidated Balance Sheets to cash, cash equivalents and restricted cash in the Unaudited Condensed Consolidated Statements of Cash Flows as of September 30, 2023 and December 31, 2022 is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9"/>
              </w:rPr>
              <w:t>September 30, 2023</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88"/>
              </w:rPr>
              <w:t>December 31, 2022</w:t>
            </w:r>
          </w:p>
        </w:tc>
      </w:tr>
      <w:tr>
        <w:trPr>
          <w:trHeight w:val="20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denominated in United States dollars</w:t>
            </w: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16,344</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Cash denominated in currency other than United States dollars</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2,358</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2,562</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16"/>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Credit and debit card receivables</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1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5,578</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19,789</w:t>
            </w:r>
          </w:p>
        </w:tc>
      </w:tr>
      <w:tr>
        <w:trPr>
          <w:trHeight w:val="20"/>
        </w:trPr>
        <w:tc>
          <w:tcPr>
            <w:tcW w:w="5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Company places its cash and temporary cash investments with credit quality institutions. At times, such cash denominated in United States dollars may be in excess of the Federal Deposit Insurance Corporation (“FDIC”) insurance limit. As of September 30, 2023 and December 31, 2022, deposits in excess of FDIC limits were $1,612 and $16,069,</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respectively. As of September 30, 2023 and December 31, 2022, the Company held cash balances in overseas accounts, totaling $2,358 and $2,562 respectively, which are not insured by the FDIC. If the Company were to distribute the amounts held overseas, the Company would need to follow an approval and distribution process as defined in its operating and partnership agreements, which may delay and/or reduce the availability of that cash to the Company.</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Other current assets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2023 and December 31, 2022, other current assets consisted of the following:</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620" w:type="dxa"/>
            <w:vAlign w:val="bottom"/>
            <w:gridSpan w:val="4"/>
          </w:tcPr>
          <w:p>
            <w:pPr>
              <w:ind w:left="2000"/>
              <w:spacing w:after="0"/>
              <w:rPr>
                <w:sz w:val="20"/>
                <w:szCs w:val="20"/>
                <w:color w:val="auto"/>
              </w:rPr>
            </w:pPr>
            <w:r>
              <w:rPr>
                <w:rFonts w:ascii="Arial" w:cs="Arial" w:eastAsia="Arial" w:hAnsi="Arial"/>
                <w:sz w:val="18"/>
                <w:szCs w:val="18"/>
                <w:b w:val="1"/>
                <w:bCs w:val="1"/>
                <w:color w:val="auto"/>
                <w:w w:val="95"/>
              </w:rPr>
              <w:t>September 30, 2023</w:t>
            </w:r>
          </w:p>
        </w:tc>
        <w:tc>
          <w:tcPr>
            <w:tcW w:w="2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w w:val="90"/>
              </w:rPr>
              <w:t>December 31, 2022</w:t>
            </w: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Contract assets</w:t>
            </w:r>
          </w:p>
        </w:tc>
        <w:tc>
          <w:tcPr>
            <w:tcW w:w="2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09"/>
        </w:trPr>
        <w:tc>
          <w:tcPr>
            <w:tcW w:w="3780" w:type="dxa"/>
            <w:vAlign w:val="bottom"/>
          </w:tcPr>
          <w:p>
            <w:pPr>
              <w:spacing w:after="0"/>
              <w:rPr>
                <w:sz w:val="20"/>
                <w:szCs w:val="20"/>
                <w:color w:val="auto"/>
              </w:rPr>
            </w:pPr>
            <w:r>
              <w:rPr>
                <w:rFonts w:ascii="Arial" w:cs="Arial" w:eastAsia="Arial" w:hAnsi="Arial"/>
                <w:sz w:val="18"/>
                <w:szCs w:val="18"/>
                <w:color w:val="auto"/>
              </w:rPr>
              <w:t>Total other current assets</w:t>
            </w:r>
          </w:p>
        </w:tc>
        <w:tc>
          <w:tcPr>
            <w:tcW w:w="200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r>
      <w:tr>
        <w:trPr>
          <w:trHeight w:val="20"/>
        </w:trPr>
        <w:tc>
          <w:tcPr>
            <w:tcW w:w="3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Intangible Assets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changes in the carrying amount of intangible assets for the nine months ended September 30, 2023 were as follows:</w:t>
      </w:r>
    </w:p>
    <w:p>
      <w:pPr>
        <w:spacing w:after="0" w:line="46" w:lineRule="exact"/>
        <w:rPr>
          <w:sz w:val="20"/>
          <w:szCs w:val="20"/>
          <w:color w:val="auto"/>
        </w:rPr>
      </w:pPr>
    </w:p>
    <w:tbl>
      <w:tblPr>
        <w:tblLayout w:type="fixed"/>
        <w:tblInd w:w="9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Gross</w:t>
            </w: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Intangible</w:t>
            </w:r>
          </w:p>
        </w:tc>
      </w:tr>
      <w:tr>
        <w:trPr>
          <w:trHeight w:val="234"/>
        </w:trPr>
        <w:tc>
          <w:tcPr>
            <w:tcW w:w="20" w:type="dxa"/>
            <w:vAlign w:val="bottom"/>
          </w:tcPr>
          <w:p>
            <w:pPr>
              <w:spacing w:after="0"/>
              <w:rPr>
                <w:sz w:val="20"/>
                <w:szCs w:val="20"/>
                <w:color w:val="auto"/>
              </w:rPr>
            </w:pPr>
          </w:p>
        </w:tc>
        <w:tc>
          <w:tcPr>
            <w:tcW w:w="6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1"/>
              </w:rPr>
              <w:t>Assets</w:t>
            </w: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w:t>
            </w:r>
          </w:p>
        </w:tc>
      </w:tr>
      <w:tr>
        <w:trPr>
          <w:trHeight w:val="216"/>
        </w:trPr>
        <w:tc>
          <w:tcPr>
            <w:tcW w:w="2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Acquisition of Naples Wax</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1,624</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Acquisition of Intangible Assets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16"/>
        </w:trPr>
        <w:tc>
          <w:tcPr>
            <w:tcW w:w="2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Impairment of Assets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(3,281)</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Retirement of Fully-Amortized Assets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Currency Translation Adjustment</w:t>
            </w: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09"/>
        </w:trPr>
        <w:tc>
          <w:tcPr>
            <w:tcW w:w="20" w:type="dxa"/>
            <w:vAlign w:val="bottom"/>
          </w:tcPr>
          <w:p>
            <w:pPr>
              <w:spacing w:after="0"/>
              <w:rPr>
                <w:sz w:val="18"/>
                <w:szCs w:val="18"/>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2023</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w:t>
            </w: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8" w:lineRule="auto"/>
        <w:rPr>
          <w:sz w:val="20"/>
          <w:szCs w:val="20"/>
          <w:color w:val="auto"/>
        </w:rPr>
      </w:pPr>
      <w:r>
        <w:rPr>
          <w:rFonts w:ascii="Arial" w:cs="Arial" w:eastAsia="Arial" w:hAnsi="Arial"/>
          <w:sz w:val="18"/>
          <w:szCs w:val="18"/>
          <w:color w:val="auto"/>
        </w:rPr>
        <w:t>The following tables provides information regarding the Company’s intangible assets subject to amortization, which consist of the following:</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2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right"/>
              <w:ind w:right="21"/>
              <w:spacing w:after="0"/>
              <w:rPr>
                <w:sz w:val="20"/>
                <w:szCs w:val="20"/>
                <w:color w:val="auto"/>
              </w:rPr>
            </w:pPr>
            <w:r>
              <w:rPr>
                <w:rFonts w:ascii="Arial" w:cs="Arial" w:eastAsia="Arial" w:hAnsi="Arial"/>
                <w:sz w:val="18"/>
                <w:szCs w:val="18"/>
                <w:b w:val="1"/>
                <w:bCs w:val="1"/>
                <w:color w:val="auto"/>
              </w:rPr>
              <w:t>September 30, 2023</w:t>
            </w:r>
          </w:p>
        </w:tc>
        <w:tc>
          <w:tcPr>
            <w:tcW w:w="5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90"/>
              </w:rPr>
              <w:t>December 31, 2022</w:t>
            </w:r>
          </w:p>
        </w:tc>
        <w:tc>
          <w:tcPr>
            <w:tcW w:w="580" w:type="dxa"/>
            <w:vAlign w:val="bottom"/>
            <w:tcBorders>
              <w:bottom w:val="single" w:sz="8" w:color="auto"/>
            </w:tcBorders>
          </w:tcPr>
          <w:p>
            <w:pPr>
              <w:spacing w:after="0"/>
              <w:rPr>
                <w:sz w:val="19"/>
                <w:szCs w:val="19"/>
                <w:color w:val="auto"/>
              </w:rPr>
            </w:pPr>
          </w:p>
        </w:tc>
      </w:tr>
      <w:tr>
        <w:trPr>
          <w:trHeight w:val="191"/>
        </w:trPr>
        <w:tc>
          <w:tcPr>
            <w:tcW w:w="2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Net</w:t>
            </w:r>
          </w:p>
        </w:tc>
      </w:tr>
      <w:tr>
        <w:trPr>
          <w:trHeight w:val="216"/>
        </w:trPr>
        <w:tc>
          <w:tcPr>
            <w:tcW w:w="2320" w:type="dxa"/>
            <w:vAlign w:val="bottom"/>
          </w:tcPr>
          <w:p>
            <w:pPr>
              <w:spacing w:after="0"/>
              <w:rPr>
                <w:sz w:val="18"/>
                <w:szCs w:val="18"/>
                <w:color w:val="auto"/>
              </w:rPr>
            </w:pPr>
          </w:p>
        </w:tc>
        <w:tc>
          <w:tcPr>
            <w:tcW w:w="6580" w:type="dxa"/>
            <w:vAlign w:val="bottom"/>
            <w:gridSpan w:val="19"/>
          </w:tcPr>
          <w:p>
            <w:pPr>
              <w:ind w:left="680"/>
              <w:spacing w:after="0"/>
              <w:rPr>
                <w:sz w:val="20"/>
                <w:szCs w:val="20"/>
                <w:color w:val="auto"/>
              </w:rPr>
            </w:pPr>
            <w:r>
              <w:rPr>
                <w:rFonts w:ascii="Arial" w:cs="Arial" w:eastAsia="Arial" w:hAnsi="Arial"/>
                <w:sz w:val="18"/>
                <w:szCs w:val="18"/>
                <w:b w:val="1"/>
                <w:bCs w:val="1"/>
                <w:color w:val="auto"/>
              </w:rPr>
              <w:t>Carrying  Accumulated  Carrying  Carrying  Accumulated  Carrying</w:t>
            </w:r>
          </w:p>
        </w:tc>
      </w:tr>
      <w:tr>
        <w:trPr>
          <w:trHeight w:val="234"/>
        </w:trPr>
        <w:tc>
          <w:tcPr>
            <w:tcW w:w="2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200" w:type="dxa"/>
            <w:vAlign w:val="bottom"/>
            <w:gridSpan w:val="3"/>
          </w:tcPr>
          <w:p>
            <w:pPr>
              <w:ind w:left="180"/>
              <w:spacing w:after="0"/>
              <w:rPr>
                <w:sz w:val="20"/>
                <w:szCs w:val="20"/>
                <w:color w:val="auto"/>
              </w:rPr>
            </w:pPr>
            <w:r>
              <w:rPr>
                <w:rFonts w:ascii="Arial" w:cs="Arial" w:eastAsia="Arial" w:hAnsi="Arial"/>
                <w:sz w:val="18"/>
                <w:szCs w:val="18"/>
                <w:b w:val="1"/>
                <w:bCs w:val="1"/>
                <w:color w:val="auto"/>
                <w:w w:val="90"/>
              </w:rPr>
              <w:t>Amortization</w:t>
            </w: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r>
      <w:tr>
        <w:trPr>
          <w:trHeight w:val="210"/>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968</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r>
      <w:tr>
        <w:trPr>
          <w:trHeight w:val="216"/>
        </w:trPr>
        <w:tc>
          <w:tcPr>
            <w:tcW w:w="2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Licenses</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09"/>
        </w:trPr>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w:t>
            </w:r>
          </w:p>
        </w:tc>
      </w:tr>
      <w:tr>
        <w:trPr>
          <w:trHeight w:val="20"/>
        </w:trPr>
        <w:tc>
          <w:tcPr>
            <w:tcW w:w="2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The Company’s intangible assets are amortized over their expected useful lives. The Company recorded amortization expense of $396 and $474 during the three months ended September 30, 2023 and 2022, respectively, and $1,155 and $1,338 during the nine months ended September 30, 2023 and 2022, respectively.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Based on the intangible assets balance as of September 30, 2023, the estimated amortization expense for the remainder of the calendar year and each of the succeeding calendar years is as follows:</w:t>
      </w:r>
    </w:p>
    <w:p>
      <w:pPr>
        <w:spacing w:after="0" w:line="180"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Calendar Years ending December 31,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Amount</w:t>
            </w:r>
          </w:p>
        </w:tc>
      </w:tr>
      <w:tr>
        <w:trPr>
          <w:trHeight w:val="209"/>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Remaining 2023</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Accrued expenses and other current liabilities</w:t>
      </w:r>
    </w:p>
    <w:p>
      <w:pPr>
        <w:spacing w:after="0" w:line="229" w:lineRule="exact"/>
        <w:rPr>
          <w:sz w:val="20"/>
          <w:szCs w:val="20"/>
          <w:color w:val="auto"/>
        </w:rPr>
      </w:pPr>
    </w:p>
    <w:p>
      <w:pPr>
        <w:ind w:left="60" w:right="819"/>
        <w:spacing w:after="0" w:line="277" w:lineRule="auto"/>
        <w:rPr>
          <w:sz w:val="20"/>
          <w:szCs w:val="20"/>
          <w:color w:val="auto"/>
        </w:rPr>
      </w:pPr>
      <w:r>
        <w:rPr>
          <w:rFonts w:ascii="Arial" w:cs="Arial" w:eastAsia="Arial" w:hAnsi="Arial"/>
          <w:sz w:val="18"/>
          <w:szCs w:val="18"/>
          <w:color w:val="auto"/>
        </w:rPr>
        <w:t>As of September 30, 2023 and December 31, 2022, accrued expenses and other current liabilities consisted of the following:</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68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September 30, 2023</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 2022</w:t>
            </w: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Litigation accrual</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Accrued compensation</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1,047</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2,008</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Tax-related liabilities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Common area maintenance accruals</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Vendor-related accruals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Gift certificates</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496</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Credit card processing fees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miscellaneous accruals</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r>
      <w:tr>
        <w:trPr>
          <w:trHeight w:val="210"/>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2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w:t>
            </w:r>
          </w:p>
        </w:tc>
      </w:tr>
      <w:tr>
        <w:trPr>
          <w:trHeight w:val="20"/>
        </w:trPr>
        <w:tc>
          <w:tcPr>
            <w:tcW w:w="5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Acquisition of Naples Wax, LLC</w:t>
      </w:r>
    </w:p>
    <w:p>
      <w:pPr>
        <w:spacing w:after="0" w:line="229"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The Company applies the provisions of Financial Accounting Standards Board (“FASB”) Accounting Standards Codification (“ASC”) Topic 805, Business Combinations (“ASC 805”) in the accounting for acquisitions of businesses. ASC 805 requires the Company to use the acquisition method of accounting by recognizing the identifiable tangible and intangible assets acquired and liabilities assumed, and any non-controlling interest in the acquired business, measured at their acquisition date fair values. Goodwill as of the acquisition date is measured as the excess of consideration transferred over the aforementioned amounts.</w:t>
      </w:r>
    </w:p>
    <w:p>
      <w:pPr>
        <w:spacing w:after="0" w:line="192" w:lineRule="exact"/>
        <w:rPr>
          <w:sz w:val="20"/>
          <w:szCs w:val="20"/>
          <w:color w:val="auto"/>
        </w:rPr>
      </w:pPr>
    </w:p>
    <w:p>
      <w:pPr>
        <w:ind w:left="60" w:right="239"/>
        <w:spacing w:after="0" w:line="293" w:lineRule="auto"/>
        <w:rPr>
          <w:sz w:val="20"/>
          <w:szCs w:val="20"/>
          <w:color w:val="auto"/>
        </w:rPr>
      </w:pPr>
      <w:r>
        <w:rPr>
          <w:rFonts w:ascii="Arial" w:cs="Arial" w:eastAsia="Arial" w:hAnsi="Arial"/>
          <w:sz w:val="16"/>
          <w:szCs w:val="16"/>
          <w:color w:val="auto"/>
        </w:rPr>
        <w:t>While the company uses its best estimates and assumptions to accurately apply preliminary values to assets acquired and liabilities assumed at the acquisition date, these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the assets acquired or liabilities assumed, whichever comes first, any subsequent adjustments are recorded in the consolidated statements of operations.</w:t>
      </w:r>
    </w:p>
    <w:p>
      <w:pPr>
        <w:spacing w:after="0" w:line="164"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color w:val="auto"/>
        </w:rPr>
        <w:t>Accounting for business combinations requires management to make significant estimates and assumptions, especially at the acquisition date, including estimates for intangible assets. Although the Company believes the assumptions and estimates that have been made are reasonable and appropriate, they are based in part on historical experience and information obtained from the acquired companies and are inherently uncertain. Critical estimates in valuing certain of the intangible assets the Company has acquired include future expected cash flows, and discount rates.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96" w:lineRule="auto"/>
        <w:rPr>
          <w:sz w:val="20"/>
          <w:szCs w:val="20"/>
          <w:color w:val="auto"/>
        </w:rPr>
      </w:pPr>
      <w:r>
        <w:rPr>
          <w:rFonts w:ascii="Arial" w:cs="Arial" w:eastAsia="Arial" w:hAnsi="Arial"/>
          <w:sz w:val="16"/>
          <w:szCs w:val="16"/>
          <w:color w:val="auto"/>
        </w:rPr>
        <w:t>On September 12, 2023, the Company acquired all of the equity interests in Naples Wax, LLC, d/b/a Naples Wax Centers, a Florida limited liability company (“Naples Wax”), for an aggregate purchase price of approximately $1,624, of which $1,574 was paid in cash at closing. The remaining $50 will be held for six months as a holdback to cover any potential indemnification claims. For the period ending September 30, 2023, the acquisition is preliminarily included in intangible assets while the Company determines the appropriate purchase price allocation during the measurement period.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Leases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Company leases its retail and diagnostic testing locations at various domestic and international airports. Additionally, the Company leases its corporate office in New York City. During 2023, the Company commenced a new lease for its corporate office. At inception, the Company determines if a lease qualifies under ASC 842. Certain of the Company’s lease arrangements contain fixed payments throughout the term of the lease, while others involve a variable component to determine the lease obligation wherein a certain percentage of sales is used to calculate the lease payment.</w:t>
      </w:r>
    </w:p>
    <w:p>
      <w:pPr>
        <w:spacing w:after="0" w:line="16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All qualifying leases held by the Company are classified as operating leases. Operating lease right of use assets represent the Company’s right to use an underlying asset for the lease term and operating lease liabilities represent its obligation to make lease payments arising from the lease. Operating lease right of use assets and operating lease liabilities are recognized as of the commencement date based on the present value of lease payments over the lease term. The Company records its operating lease right of use assets and operating lease liabilities based on required guaranteed payments under each lease agreement. The Company uses its incremental borrowing rate as of the commencement date of the lease, which approximates the rate at which the Company can borrow funds on a secured basis, in determining the present value of the guaranteed lease payments.</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reviews all of its existing lease agreements on a quarterly basis to determine whether there were any modifications to existing lease agreements and to assess if any leases should be accounted for pursuant to the guidance in ASC 842. The Company recalculates the right of use asset and lease liability based on the modified lease terms and adjusts both balances accordingly.</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Supplemental cash flow information related to leases for the nine months ended September 30, 2023 and 2022 were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6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10"/>
        </w:trPr>
        <w:tc>
          <w:tcPr>
            <w:tcW w:w="6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(2,668)</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(3,072)</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Leased assets obtained in exchange for new and modified operating lease liabilities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w:t>
            </w:r>
          </w:p>
        </w:tc>
      </w:tr>
      <w:tr>
        <w:trPr>
          <w:trHeight w:val="432"/>
        </w:trPr>
        <w:tc>
          <w:tcPr>
            <w:tcW w:w="7720" w:type="dxa"/>
            <w:vAlign w:val="bottom"/>
            <w:gridSpan w:val="4"/>
          </w:tcPr>
          <w:p>
            <w:pPr>
              <w:ind w:left="20"/>
              <w:spacing w:after="0"/>
              <w:rPr>
                <w:sz w:val="20"/>
                <w:szCs w:val="20"/>
                <w:color w:val="auto"/>
              </w:rPr>
            </w:pPr>
            <w:r>
              <w:rPr>
                <w:rFonts w:ascii="Arial" w:cs="Arial" w:eastAsia="Arial" w:hAnsi="Arial"/>
                <w:sz w:val="18"/>
                <w:szCs w:val="18"/>
                <w:color w:val="auto"/>
              </w:rPr>
              <w:t>As of September 30, 2023, operating leases contain the following future minimum commitments: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80" w:type="dxa"/>
            <w:vAlign w:val="bottom"/>
            <w:gridSpan w:val="2"/>
          </w:tcPr>
          <w:p>
            <w:pPr>
              <w:ind w:left="900"/>
              <w:spacing w:after="0"/>
              <w:rPr>
                <w:sz w:val="20"/>
                <w:szCs w:val="20"/>
                <w:color w:val="auto"/>
              </w:rPr>
            </w:pPr>
            <w:r>
              <w:rPr>
                <w:rFonts w:ascii="Arial" w:cs="Arial" w:eastAsia="Arial" w:hAnsi="Arial"/>
                <w:sz w:val="18"/>
                <w:szCs w:val="18"/>
                <w:b w:val="1"/>
                <w:bCs w:val="1"/>
                <w:color w:val="auto"/>
              </w:rPr>
              <w:t>Calendar Years ending December 31,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Remaining 2023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2028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Total future lease payments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14,082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Less: interest expense at incremental borrowing rate</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gridSpan w:val="2"/>
          </w:tcPr>
          <w:p>
            <w:pPr>
              <w:ind w:left="900"/>
              <w:spacing w:after="0"/>
              <w:rPr>
                <w:sz w:val="20"/>
                <w:szCs w:val="20"/>
                <w:color w:val="auto"/>
              </w:rPr>
            </w:pPr>
            <w:r>
              <w:rPr>
                <w:rFonts w:ascii="Arial" w:cs="Arial" w:eastAsia="Arial" w:hAnsi="Arial"/>
                <w:sz w:val="18"/>
                <w:szCs w:val="18"/>
                <w:color w:val="auto"/>
              </w:rPr>
              <w:t>Net present value of lease liabilities</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jc w:val="right"/>
              <w:ind w:right="193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5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assumptions and pertinent information related to the Company’s accounting for operating leases are:</w:t>
      </w:r>
    </w:p>
    <w:p>
      <w:pPr>
        <w:spacing w:after="0" w:line="253"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5.98 years</w:t>
            </w:r>
          </w:p>
        </w:tc>
      </w:tr>
      <w:tr>
        <w:trPr>
          <w:trHeight w:val="202"/>
        </w:trPr>
        <w:tc>
          <w:tcPr>
            <w:tcW w:w="6160" w:type="dxa"/>
            <w:vAlign w:val="bottom"/>
          </w:tcPr>
          <w:p>
            <w:pPr>
              <w:spacing w:after="0" w:line="201" w:lineRule="exact"/>
              <w:rPr>
                <w:sz w:val="20"/>
                <w:szCs w:val="20"/>
                <w:color w:val="auto"/>
              </w:rPr>
            </w:pPr>
            <w:r>
              <w:rPr>
                <w:rFonts w:ascii="Arial" w:cs="Arial" w:eastAsia="Arial" w:hAnsi="Arial"/>
                <w:sz w:val="18"/>
                <w:szCs w:val="18"/>
                <w:color w:val="auto"/>
                <w:w w:val="92"/>
              </w:rPr>
              <w:t>Weighted average discount rate used to determine present value of operating lease</w:t>
            </w:r>
          </w:p>
        </w:tc>
        <w:tc>
          <w:tcPr>
            <w:tcW w:w="1040" w:type="dxa"/>
            <w:vAlign w:val="bottom"/>
          </w:tcPr>
          <w:p>
            <w:pPr>
              <w:spacing w:after="0"/>
              <w:rPr>
                <w:sz w:val="17"/>
                <w:szCs w:val="17"/>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liability:</w:t>
            </w:r>
          </w:p>
        </w:tc>
        <w:tc>
          <w:tcPr>
            <w:tcW w:w="1040" w:type="dxa"/>
            <w:vAlign w:val="bottom"/>
          </w:tcPr>
          <w:p>
            <w:pPr>
              <w:ind w:left="240"/>
              <w:spacing w:after="0"/>
              <w:rPr>
                <w:sz w:val="20"/>
                <w:szCs w:val="20"/>
                <w:color w:val="auto"/>
              </w:rPr>
            </w:pPr>
            <w:r>
              <w:rPr>
                <w:rFonts w:ascii="Arial" w:cs="Arial" w:eastAsia="Arial" w:hAnsi="Arial"/>
                <w:sz w:val="18"/>
                <w:szCs w:val="18"/>
                <w:color w:val="auto"/>
              </w:rPr>
              <w:t>7.37 %</w:t>
            </w: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Cash paid for minimum annual rental obligations during the three and nine months ended September 30, 2023 was $503 and $1,762, respectively. Cash paid for minimum annual rental obligations during the three and nine months ended September 30, 2022 was $445 and $1,191, respectively.</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Variable lease payments calculated monthly as a percentage of product and services revenue, were $302 and $397 for the three months ended September 30, 2023 and 2022, respectively, and $1,013 and $1,085 for the nine months ended September 30, 2023 and 2022,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Other Assets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2023 and December 31, 2022, assets consisted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7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September 30, 2023</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88"/>
              </w:rPr>
              <w:t>December 31, 2022</w:t>
            </w:r>
          </w:p>
        </w:tc>
      </w:tr>
      <w:tr>
        <w:trPr>
          <w:trHeight w:val="209"/>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investments</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5720" w:type="dxa"/>
            <w:vAlign w:val="bottom"/>
          </w:tcPr>
          <w:p>
            <w:pPr>
              <w:ind w:left="20"/>
              <w:spacing w:after="0"/>
              <w:rPr>
                <w:sz w:val="20"/>
                <w:szCs w:val="20"/>
                <w:color w:val="auto"/>
              </w:rPr>
            </w:pPr>
            <w:r>
              <w:rPr>
                <w:rFonts w:ascii="Arial" w:cs="Arial" w:eastAsia="Arial" w:hAnsi="Arial"/>
                <w:sz w:val="18"/>
                <w:szCs w:val="18"/>
                <w:color w:val="auto"/>
              </w:rPr>
              <w:t>Lease deposits</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1,537</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1,973</w:t>
            </w:r>
          </w:p>
        </w:tc>
      </w:tr>
      <w:tr>
        <w:trPr>
          <w:trHeight w:val="216"/>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09"/>
        </w:trPr>
        <w:tc>
          <w:tcPr>
            <w:tcW w:w="57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r>
      <w:tr>
        <w:trPr>
          <w:trHeight w:val="20"/>
        </w:trPr>
        <w:tc>
          <w:tcPr>
            <w:tcW w:w="5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Stockholders’ Equity</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18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represents the activity related to the Company’s warrants during the nine months ended September 30, 2023.</w:t>
      </w:r>
    </w:p>
    <w:p>
      <w:pPr>
        <w:spacing w:after="0" w:line="1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Weighted average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8"/>
                <w:szCs w:val="18"/>
                <w:b w:val="1"/>
                <w:bCs w:val="1"/>
                <w:color w:val="auto"/>
              </w:rPr>
              <w:t>Exercise</w:t>
            </w:r>
          </w:p>
        </w:tc>
      </w:tr>
      <w:tr>
        <w:trPr>
          <w:trHeight w:val="234"/>
        </w:trPr>
        <w:tc>
          <w:tcPr>
            <w:tcW w:w="494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No. of Warrants</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8"/>
              </w:rPr>
              <w:t>exercise price</w:t>
            </w:r>
          </w:p>
        </w:tc>
        <w:tc>
          <w:tcPr>
            <w:tcW w:w="1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price range</w:t>
            </w:r>
          </w:p>
        </w:tc>
      </w:tr>
      <w:tr>
        <w:trPr>
          <w:trHeight w:val="22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34.0 - 42.5</w:t>
            </w: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37"/>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(58,404)</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40.20</w:t>
            </w:r>
          </w:p>
        </w:tc>
        <w:tc>
          <w:tcPr>
            <w:tcW w:w="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34.0 - 42.5</w:t>
            </w:r>
          </w:p>
        </w:tc>
      </w:tr>
      <w:tr>
        <w:trPr>
          <w:trHeight w:val="216"/>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2023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42.50</w:t>
            </w:r>
          </w:p>
        </w:tc>
      </w:tr>
      <w:tr>
        <w:trPr>
          <w:trHeight w:val="20"/>
        </w:trPr>
        <w:tc>
          <w:tcPr>
            <w:tcW w:w="49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i w:val="1"/>
          <w:iCs w:val="1"/>
          <w:color w:val="auto"/>
        </w:rPr>
        <w:t>Share Repurchase Program</w:t>
      </w:r>
    </w:p>
    <w:p>
      <w:pPr>
        <w:spacing w:after="0" w:line="22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On August 31, 2021, the Company’s board of directors initially authorized a stock repurchase program that permitted the purchase and repurchase of up to 750,000 shares of its common stock through September 15, 2022. In May 2022, the Board increased the share repurchase program by an additional 500,000 shares and extended its effectiveness through September 15, 2023. Under this stock repurchase program, management has discretion in determining the conditions under which shares may be purchased from time to time. The program does not require us to repurchase any specific number of shares, and may be modified, suspended or terminated at any time without prior notice. Under the program, the Company purchased 424,042 shares for $12,116 and retired 357,122 of these purchased shares during the nine months ended September 30, 2022, and the remaining 66,920 shares were retired on August 3, 2022.</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5" w:lineRule="auto"/>
        <w:rPr>
          <w:sz w:val="20"/>
          <w:szCs w:val="20"/>
          <w:color w:val="auto"/>
        </w:rPr>
      </w:pPr>
      <w:r>
        <w:rPr>
          <w:rFonts w:ascii="Arial" w:cs="Arial" w:eastAsia="Arial" w:hAnsi="Arial"/>
          <w:sz w:val="16"/>
          <w:szCs w:val="16"/>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September 2020, the Board of Directors approved a new stock-based compensation plan available to grant stock options, restricted stock and Restricted Stock Units (“RSU’s”) aggregating to 250,000 of Common Stock, to the Company’s directors, employees and consultants. Shareholder approval of the plan was subsequently obtained on October 28, 2020. On October 4, 2022, shareholders approved the amendment to the 2020 Plan to increase the number of shares authorized for issuance under the 2020 Plan by 375,000 of Common Stock to an aggregate of 625,000 shares. Under the 2020 Equity Incentive Plan (the “2020 Plan”), a maximum of 239,493 of Common Stock may be issued as of September 30, 2023. The Company’s previous Employee, Director and Consultant Equity Incentive Plan (the “2012 Plan”) was terminated upon receipt of shareholder approval of the 2020 Plan.</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Awards granted under the 2012 Plan remain in effect pursuant to their terms. Generally, stock options are granted with exercise prices equal to the fair market value on the date of grant, vest in four equal quarterly installments, and expire 10 years from the date of grant. RSU’s granted generally vest over a period of one year.</w:t>
      </w:r>
    </w:p>
    <w:p>
      <w:pPr>
        <w:spacing w:after="0" w:line="16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September 2020, XpresTest created a stock-based compensation plan available to grant stock options, Restricted Stock Awards (“RSAs”) and RSU’s to XpresTest’s directors, employees and consultants. Under the XpresTest 2020 Equity Incentive Plan (the “XpresTest Plan”), a maximum of 200 shares of XpresTest common stock may be awarded, which would represent 20% of the total number of shares of common stock of XpresTest as of September 30, 2023. Certain named executive officers, consultants, and directors of the Company are eligible to participate in the XpresTest Plan. As of September 30, 2023, there is $120 of unrecognized stock-based compensation related to the XpresTest Plan.</w:t>
      </w:r>
    </w:p>
    <w:p>
      <w:pPr>
        <w:spacing w:after="0" w:line="16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fair value of stock options is estimated as of the date of grant using the Black-Scholes-Merton (“Black-Scholes”) option-pricing model. The Company uses the simplified method to estimate the expected term of options due to insufficient history and high turnover in the past.</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The following variables were used as inputs in the model:</w:t>
            </w:r>
          </w:p>
        </w:tc>
        <w:tc>
          <w:tcPr>
            <w:tcW w:w="1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5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price of the Company’s Common Stock on the grant date:</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1"/>
              </w:rPr>
              <w:t>- 8.00</w:t>
            </w: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4.60</w:t>
            </w:r>
          </w:p>
        </w:tc>
        <w:tc>
          <w:tcPr>
            <w:tcW w:w="1020" w:type="dxa"/>
            <w:vAlign w:val="bottom"/>
          </w:tcPr>
          <w:p>
            <w:pPr>
              <w:jc w:val="right"/>
              <w:ind w:right="490"/>
              <w:spacing w:after="0"/>
              <w:rPr>
                <w:sz w:val="20"/>
                <w:szCs w:val="20"/>
                <w:color w:val="auto"/>
              </w:rPr>
            </w:pPr>
            <w:r>
              <w:rPr>
                <w:rFonts w:ascii="Arial" w:cs="Arial" w:eastAsia="Arial" w:hAnsi="Arial"/>
                <w:sz w:val="18"/>
                <w:szCs w:val="18"/>
                <w:color w:val="auto"/>
                <w:w w:val="91"/>
              </w:rPr>
              <w:t>- 8.00</w:t>
            </w: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3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119.41-121.04 %</w:t>
            </w: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0 %</w:t>
            </w: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average risk-free rate:</w:t>
            </w:r>
          </w:p>
        </w:tc>
        <w:tc>
          <w:tcPr>
            <w:tcW w:w="1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2"/>
              </w:rPr>
              <w:t>- 4.19 %</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6.32</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w w:val="88"/>
              </w:rPr>
              <w:t>- 6.41 years</w:t>
            </w:r>
          </w:p>
        </w:tc>
      </w:tr>
    </w:tbl>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Total stock-based compensation for the three months ended September 30, 2023 and 2022 is $594 and $483, respectively, and for the nine months ended September 30, 2023 and 2022 is $1,832 and $3,294, respectively. The Company had $1,938 and $2,506 of unrecognized stock-based compensation related to the XWELL Stock Options, as of September 30, 2023 and December 31, 2022,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sets forth the Company’s Equity Incentive activities for the nine months ended September 30, 2023:</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0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RSUs</w:t>
            </w: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w w:val="87"/>
              </w:rPr>
              <w:t>Stock options</w:t>
            </w:r>
          </w:p>
        </w:tc>
        <w:tc>
          <w:tcPr>
            <w:tcW w:w="1180" w:type="dxa"/>
            <w:vAlign w:val="bottom"/>
            <w:tcBorders>
              <w:bottom w:val="single" w:sz="8" w:color="auto"/>
            </w:tcBorders>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Exercise</w:t>
            </w:r>
          </w:p>
        </w:tc>
      </w:tr>
      <w:tr>
        <w:trPr>
          <w:trHeight w:val="216"/>
        </w:trPr>
        <w:tc>
          <w:tcPr>
            <w:tcW w:w="328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No. of</w:t>
            </w:r>
          </w:p>
        </w:tc>
        <w:tc>
          <w:tcPr>
            <w:tcW w:w="2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grant date</w:t>
            </w: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No. of</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price</w:t>
            </w:r>
          </w:p>
        </w:tc>
      </w:tr>
      <w:tr>
        <w:trPr>
          <w:trHeight w:val="234"/>
        </w:trPr>
        <w:tc>
          <w:tcPr>
            <w:tcW w:w="32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RSUs</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fair value</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options</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price</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range</w:t>
            </w: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13.00 - 49,200</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16,944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5.70</w:t>
            </w:r>
          </w:p>
        </w:tc>
        <w:tc>
          <w:tcPr>
            <w:tcW w:w="980" w:type="dxa"/>
            <w:vAlign w:val="bottom"/>
          </w:tcPr>
          <w:p>
            <w:pPr>
              <w:jc w:val="right"/>
              <w:spacing w:after="0"/>
              <w:rPr>
                <w:sz w:val="20"/>
                <w:szCs w:val="20"/>
                <w:color w:val="auto"/>
              </w:rPr>
            </w:pPr>
            <w:r>
              <w:rPr>
                <w:rFonts w:ascii="Arial" w:cs="Arial" w:eastAsia="Arial" w:hAnsi="Arial"/>
                <w:sz w:val="18"/>
                <w:szCs w:val="18"/>
                <w:color w:val="auto"/>
              </w:rPr>
              <w:t>148,069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4.60 - 8.00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Exercised/Vested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Forfeited</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8.00 - 32.20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8.00 - 38,160</w:t>
            </w:r>
          </w:p>
        </w:tc>
      </w:tr>
      <w:tr>
        <w:trPr>
          <w:trHeight w:val="249"/>
        </w:trPr>
        <w:tc>
          <w:tcPr>
            <w:tcW w:w="3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September 30, 2023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14,444</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377,717</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26.70</w:t>
            </w:r>
          </w:p>
        </w:tc>
        <w:tc>
          <w:tcPr>
            <w:tcW w:w="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4.60 - 49,200</w:t>
            </w:r>
          </w:p>
        </w:tc>
      </w:tr>
      <w:tr>
        <w:trPr>
          <w:trHeight w:val="197"/>
        </w:trPr>
        <w:tc>
          <w:tcPr>
            <w:tcW w:w="32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as of September 30, 2023</w:t>
            </w:r>
          </w:p>
        </w:tc>
        <w:tc>
          <w:tcPr>
            <w:tcW w:w="8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206,304</w:t>
            </w:r>
          </w:p>
        </w:tc>
        <w:tc>
          <w:tcPr>
            <w:tcW w:w="28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29.69</w:t>
            </w:r>
          </w:p>
        </w:tc>
        <w:tc>
          <w:tcPr>
            <w:tcW w:w="3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8.00 - 49,200</w:t>
            </w:r>
          </w:p>
        </w:tc>
      </w:tr>
      <w:tr>
        <w:trPr>
          <w:trHeight w:val="20"/>
        </w:trPr>
        <w:tc>
          <w:tcPr>
            <w:tcW w:w="3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Company’s provision for income taxes consists of federal, state, local, and foreign taxes in amounts necessary to align the Company’s year-to-date provision for income taxes with the effective tax rate that the Company expects to achieve for the full year. Each quarter, the Company updates its estimate of the annual effective tax rate and records cumulative adjustments as deemed necessary. The income tax provision for the three and nine months ended September 30, 2023 reflects an estimated global annual effective tax rate of approximately 0% from continuing operations.</w:t>
      </w:r>
    </w:p>
    <w:p>
      <w:pPr>
        <w:spacing w:after="0" w:line="161"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As of September 30, 2023, deferred tax assets generated from the Company’s U.S. activities were offset by a valuation allowance because realization depends on generating future taxable income, which, in the Company’s estimation, is not more likely than not to be generated before such net operating loss carryforwards expire. Net operating loss carryforwards generated after December 31, 2017 do not expire. The Company expects its effective tax rate for its current fiscal year to be significantly lower than the statutory rate as a result of a full valuation allowance; therefore, any loss before income taxes does not generate a corresponding income tax benefit. Income tax expense/(benefit) for the three and nine months ended September 30, 2023 was $0 which was attributed to state taxing jurisdictions in which a measure of income is utilized to determine a tax liability. The final annual tax rate cannot be determined until the end of the fiscal year; therefore, the actual tax rate could differ from current estimates.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Certain of the Company’s outstanding legal matters include speculative claims for substantial or indeterminate amounts of damages. The Company regularly evaluates developments in its legal matters that could affect the amount of any potential liability and adjusts as appropriate. A significant judgment is required to determine both the likelihood of there being any potential liability and the estimated amount of a loss related to the Company’s legal matters.</w:t>
      </w:r>
    </w:p>
    <w:p>
      <w:pPr>
        <w:spacing w:after="0" w:line="171"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 xml:space="preserve">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$449 and $963 as of September 30, 2023 and December 31, 2022, respectively, which is included in </w:t>
      </w:r>
      <w:r>
        <w:rPr>
          <w:rFonts w:ascii="Arial" w:cs="Arial" w:eastAsia="Arial" w:hAnsi="Arial"/>
          <w:sz w:val="16"/>
          <w:szCs w:val="16"/>
          <w:i w:val="1"/>
          <w:iCs w:val="1"/>
          <w:color w:val="auto"/>
        </w:rPr>
        <w:t>Accrued expenses and other current liabilities</w:t>
      </w:r>
      <w:r>
        <w:rPr>
          <w:rFonts w:ascii="Arial" w:cs="Arial" w:eastAsia="Arial" w:hAnsi="Arial"/>
          <w:sz w:val="16"/>
          <w:szCs w:val="16"/>
          <w:color w:val="auto"/>
        </w:rPr>
        <w:t xml:space="preserve"> in the condensed consolidated balance sheets.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expenses legal fees in the period in which they are incurred.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OTG Management PHL B v. XpresSpa Philadelphia Terminal B et al.</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May 9, 2022, a lawsuit was filed in the Philadelphia Court of Common Pleas by OTG Management at Philadelphia International Airport, claiming that XWELL improperly backed out of its sublease for space at Terminal B and now owes between $864 and $2,250 in accelerated rent for the 12-year contract. They claim that by refusing to complete the project, failing to commence and maintain operations, refusing to pay rent and improperly purporting to terminate the lease (among other acts and omissions), XWELL breached the lease. On October 20, 2023, the parties filed a Stipulation to Hold the Matter in Civil Suspense.</w:t>
      </w:r>
    </w:p>
    <w:p>
      <w:pPr>
        <w:spacing w:after="0" w:line="19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the event that an action is brought against the Company or one of its subsidiaries, the Company will investigate the allegation and vigorously defend itself.</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Leases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XWELL is contingently liable to a surety company under certain general indemnity agreements required by various airports relating to its lease agreements. XWELL agrees to indemnify the surety for any payments made on contracts of suretyship, guaranty, or indemnity. The Company believes that all contingent liabilities will be satisfied by its performance under the specified lease agreements.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Segment Information</w:t>
      </w:r>
    </w:p>
    <w:p>
      <w:pPr>
        <w:spacing w:after="0" w:line="229"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As a result of the Company’s transition to a pure-play wellness services company, the Company currently has three reportable operating segments: XpresSpa, XpresTest (inclusive of its Hyperpointe acquisition), Treat (inclusive of its Naples Wax acquisition). The Company analyzes the results of the Company’s business through the three reportable segments. The XpresSpa segment provides travelers premium spa services, including massage, nail and skin care, as well as spa and travel products. The XpresTest segment provided diagnostic COVID-19 tests at XpresCheck Wellness Centers in airports, to airport employees and to the traveling public but has transitioned to the CDC’s bio-surveillance program.</w:t>
      </w:r>
    </w:p>
    <w:p>
      <w:pPr>
        <w:spacing w:after="0" w:line="4" w:lineRule="exact"/>
        <w:rPr>
          <w:sz w:val="20"/>
          <w:szCs w:val="20"/>
          <w:color w:val="auto"/>
        </w:rPr>
      </w:pPr>
    </w:p>
    <w:p>
      <w:pPr>
        <w:jc w:val="both"/>
        <w:ind w:left="60" w:right="59" w:firstLine="96"/>
        <w:spacing w:after="0" w:line="273" w:lineRule="auto"/>
        <w:rPr>
          <w:sz w:val="20"/>
          <w:szCs w:val="20"/>
          <w:color w:val="auto"/>
        </w:rPr>
      </w:pPr>
      <w:r>
        <w:rPr>
          <w:rFonts w:ascii="Arial" w:cs="Arial" w:eastAsia="Arial" w:hAnsi="Arial"/>
          <w:sz w:val="17"/>
          <w:szCs w:val="17"/>
          <w:color w:val="auto"/>
        </w:rPr>
        <w:t>The Treat segment is a wellness brand that provides access to wellness services for travelers at on-site centers. HyperPointe provides a broad range of service and support options for its customers, including technical support services and advanced services. Naples Wax Center operates three high-performing locations with core products and service offerings from face and body waxing to a range of skincare and cosmetic products.</w:t>
      </w:r>
    </w:p>
    <w:p>
      <w:pPr>
        <w:spacing w:after="0" w:line="1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chief operating decision maker evaluates the operating results and performance of the Company’s segments through operating income. Expenses that can be specifically identified with a segment have been included as deductions in determining operating income. Any remaining expenses and other charges are included in Corporate and Other.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3140" w:type="dxa"/>
            <w:vAlign w:val="bottom"/>
            <w:gridSpan w:val="4"/>
          </w:tcPr>
          <w:p>
            <w:pPr>
              <w:jc w:val="right"/>
              <w:ind w:right="145"/>
              <w:spacing w:after="0"/>
              <w:rPr>
                <w:sz w:val="20"/>
                <w:szCs w:val="20"/>
                <w:color w:val="auto"/>
              </w:rPr>
            </w:pPr>
            <w:r>
              <w:rPr>
                <w:rFonts w:ascii="Arial" w:cs="Arial" w:eastAsia="Arial" w:hAnsi="Arial"/>
                <w:sz w:val="18"/>
                <w:szCs w:val="18"/>
                <w:b w:val="1"/>
                <w:bCs w:val="1"/>
                <w:color w:val="auto"/>
              </w:rPr>
              <w:t>For the three months ended</w:t>
            </w:r>
          </w:p>
        </w:tc>
        <w:tc>
          <w:tcPr>
            <w:tcW w:w="580" w:type="dxa"/>
            <w:vAlign w:val="bottom"/>
          </w:tcPr>
          <w:p>
            <w:pPr>
              <w:spacing w:after="0"/>
              <w:rPr>
                <w:sz w:val="18"/>
                <w:szCs w:val="18"/>
                <w:color w:val="auto"/>
              </w:rPr>
            </w:pPr>
          </w:p>
        </w:tc>
      </w:tr>
      <w:tr>
        <w:trPr>
          <w:trHeight w:val="234"/>
        </w:trPr>
        <w:tc>
          <w:tcPr>
            <w:tcW w:w="518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665"/>
              <w:spacing w:after="0"/>
              <w:rPr>
                <w:sz w:val="20"/>
                <w:szCs w:val="20"/>
                <w:color w:val="auto"/>
              </w:rPr>
            </w:pPr>
            <w:r>
              <w:rPr>
                <w:rFonts w:ascii="Arial" w:cs="Arial" w:eastAsia="Arial" w:hAnsi="Arial"/>
                <w:sz w:val="18"/>
                <w:szCs w:val="18"/>
                <w:b w:val="1"/>
                <w:bCs w:val="1"/>
                <w:color w:val="auto"/>
                <w:w w:val="97"/>
              </w:rPr>
              <w:t>September 30,</w:t>
            </w:r>
          </w:p>
        </w:tc>
        <w:tc>
          <w:tcPr>
            <w:tcW w:w="580" w:type="dxa"/>
            <w:vAlign w:val="bottom"/>
            <w:tcBorders>
              <w:bottom w:val="single" w:sz="8" w:color="auto"/>
            </w:tcBorders>
          </w:tcPr>
          <w:p>
            <w:pPr>
              <w:spacing w:after="0"/>
              <w:rPr>
                <w:sz w:val="20"/>
                <w:szCs w:val="20"/>
                <w:color w:val="auto"/>
              </w:rPr>
            </w:pPr>
          </w:p>
        </w:tc>
      </w:tr>
      <w:tr>
        <w:trPr>
          <w:trHeight w:val="209"/>
        </w:trPr>
        <w:tc>
          <w:tcPr>
            <w:tcW w:w="51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4,955</w:t>
            </w:r>
          </w:p>
        </w:tc>
        <w:tc>
          <w:tcPr>
            <w:tcW w:w="260" w:type="dxa"/>
            <w:vAlign w:val="bottom"/>
          </w:tcPr>
          <w:p>
            <w:pPr>
              <w:spacing w:after="0"/>
              <w:rPr>
                <w:sz w:val="18"/>
                <w:szCs w:val="18"/>
                <w:color w:val="auto"/>
              </w:rPr>
            </w:pPr>
          </w:p>
        </w:tc>
        <w:tc>
          <w:tcPr>
            <w:tcW w:w="1040" w:type="dxa"/>
            <w:vAlign w:val="bottom"/>
          </w:tcPr>
          <w:p>
            <w:pPr>
              <w:jc w:val="right"/>
              <w:ind w:right="88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3,557</w:t>
            </w: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w:t>
            </w: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Treat</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1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revenue</w:t>
            </w: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7,468</w:t>
            </w:r>
          </w:p>
        </w:tc>
        <w:tc>
          <w:tcPr>
            <w:tcW w:w="260" w:type="dxa"/>
            <w:vAlign w:val="bottom"/>
            <w:tcBorders>
              <w:bottom w:val="single" w:sz="8" w:color="CCEEFF"/>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10,736</w:t>
            </w:r>
          </w:p>
        </w:tc>
      </w:tr>
      <w:tr>
        <w:trPr>
          <w:trHeight w:val="197"/>
        </w:trPr>
        <w:tc>
          <w:tcPr>
            <w:tcW w:w="5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XpresSpa</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(2,947)</w:t>
            </w:r>
          </w:p>
        </w:tc>
        <w:tc>
          <w:tcPr>
            <w:tcW w:w="1040" w:type="dxa"/>
            <w:vAlign w:val="bottom"/>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(2,508)</w:t>
            </w: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XpresTest</w:t>
            </w:r>
          </w:p>
        </w:tc>
        <w:tc>
          <w:tcPr>
            <w:tcW w:w="1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(5,267)</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(1,885)</w:t>
            </w: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Treat</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(1,282)</w:t>
            </w: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Corporate and other</w:t>
            </w:r>
          </w:p>
        </w:tc>
        <w:tc>
          <w:tcPr>
            <w:tcW w:w="1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(2,290)</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(1,979)</w:t>
            </w:r>
          </w:p>
        </w:tc>
      </w:tr>
      <w:tr>
        <w:trPr>
          <w:trHeight w:val="210"/>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loss (including impairment)</w:t>
            </w: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(10,476)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(7,654)</w:t>
            </w:r>
          </w:p>
        </w:tc>
      </w:tr>
      <w:tr>
        <w:trPr>
          <w:trHeight w:val="20"/>
        </w:trPr>
        <w:tc>
          <w:tcPr>
            <w:tcW w:w="5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97"/>
        </w:trPr>
        <w:tc>
          <w:tcPr>
            <w:tcW w:w="5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&amp; Amortization</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421</w:t>
            </w:r>
          </w:p>
        </w:tc>
        <w:tc>
          <w:tcPr>
            <w:tcW w:w="260" w:type="dxa"/>
            <w:vAlign w:val="bottom"/>
          </w:tcPr>
          <w:p>
            <w:pPr>
              <w:spacing w:after="0"/>
              <w:rPr>
                <w:sz w:val="18"/>
                <w:szCs w:val="18"/>
                <w:color w:val="auto"/>
              </w:rPr>
            </w:pPr>
          </w:p>
        </w:tc>
        <w:tc>
          <w:tcPr>
            <w:tcW w:w="1040" w:type="dxa"/>
            <w:vAlign w:val="bottom"/>
          </w:tcPr>
          <w:p>
            <w:pPr>
              <w:jc w:val="right"/>
              <w:ind w:right="88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Treat</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520</w:t>
            </w: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HyperPointe</w:t>
            </w:r>
          </w:p>
        </w:tc>
        <w:tc>
          <w:tcPr>
            <w:tcW w:w="1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and other</w:t>
            </w: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Depreciation &amp; Amortization</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r>
      <w:tr>
        <w:trPr>
          <w:trHeight w:val="20"/>
        </w:trPr>
        <w:tc>
          <w:tcPr>
            <w:tcW w:w="5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97"/>
        </w:trPr>
        <w:tc>
          <w:tcPr>
            <w:tcW w:w="5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Impairment / loss on disposal of assets</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1,460</w:t>
            </w:r>
          </w:p>
        </w:tc>
        <w:tc>
          <w:tcPr>
            <w:tcW w:w="260" w:type="dxa"/>
            <w:vAlign w:val="bottom"/>
          </w:tcPr>
          <w:p>
            <w:pPr>
              <w:spacing w:after="0"/>
              <w:rPr>
                <w:sz w:val="18"/>
                <w:szCs w:val="18"/>
                <w:color w:val="auto"/>
              </w:rPr>
            </w:pPr>
          </w:p>
        </w:tc>
        <w:tc>
          <w:tcPr>
            <w:tcW w:w="1040" w:type="dxa"/>
            <w:vAlign w:val="bottom"/>
          </w:tcPr>
          <w:p>
            <w:pPr>
              <w:jc w:val="right"/>
              <w:ind w:right="88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Treat</w:t>
            </w:r>
          </w:p>
        </w:tc>
        <w:tc>
          <w:tcPr>
            <w:tcW w:w="1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1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180" w:type="dxa"/>
            <w:vAlign w:val="bottom"/>
          </w:tcPr>
          <w:p>
            <w:pPr>
              <w:spacing w:after="0"/>
              <w:rPr>
                <w:sz w:val="20"/>
                <w:szCs w:val="20"/>
                <w:color w:val="auto"/>
              </w:rPr>
            </w:pPr>
            <w:r>
              <w:rPr>
                <w:rFonts w:ascii="Arial" w:cs="Arial" w:eastAsia="Arial" w:hAnsi="Arial"/>
                <w:sz w:val="18"/>
                <w:szCs w:val="18"/>
                <w:b w:val="1"/>
                <w:bCs w:val="1"/>
                <w:color w:val="auto"/>
              </w:rPr>
              <w:t>Total Impairment / loss on disposal of assets</w:t>
            </w: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6,798</w:t>
            </w:r>
          </w:p>
        </w:tc>
        <w:tc>
          <w:tcPr>
            <w:tcW w:w="2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w:t>
            </w:r>
          </w:p>
        </w:tc>
      </w:tr>
      <w:tr>
        <w:trPr>
          <w:trHeight w:val="20"/>
        </w:trPr>
        <w:tc>
          <w:tcPr>
            <w:tcW w:w="5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3140" w:type="dxa"/>
            <w:vAlign w:val="bottom"/>
            <w:gridSpan w:val="4"/>
          </w:tcPr>
          <w:p>
            <w:pPr>
              <w:jc w:val="right"/>
              <w:ind w:right="161"/>
              <w:spacing w:after="0"/>
              <w:rPr>
                <w:sz w:val="20"/>
                <w:szCs w:val="20"/>
                <w:color w:val="auto"/>
              </w:rPr>
            </w:pPr>
            <w:r>
              <w:rPr>
                <w:rFonts w:ascii="Arial" w:cs="Arial" w:eastAsia="Arial" w:hAnsi="Arial"/>
                <w:sz w:val="18"/>
                <w:szCs w:val="18"/>
                <w:b w:val="1"/>
                <w:bCs w:val="1"/>
                <w:color w:val="auto"/>
              </w:rPr>
              <w:t>For the nine months ended</w:t>
            </w:r>
          </w:p>
        </w:tc>
        <w:tc>
          <w:tcPr>
            <w:tcW w:w="580" w:type="dxa"/>
            <w:vAlign w:val="bottom"/>
          </w:tcPr>
          <w:p>
            <w:pPr>
              <w:spacing w:after="0"/>
              <w:rPr>
                <w:sz w:val="18"/>
                <w:szCs w:val="18"/>
                <w:color w:val="auto"/>
              </w:rPr>
            </w:pPr>
          </w:p>
        </w:tc>
      </w:tr>
      <w:tr>
        <w:trPr>
          <w:trHeight w:val="234"/>
        </w:trPr>
        <w:tc>
          <w:tcPr>
            <w:tcW w:w="518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8"/>
                <w:szCs w:val="18"/>
                <w:b w:val="1"/>
                <w:bCs w:val="1"/>
                <w:color w:val="auto"/>
                <w:w w:val="95"/>
              </w:rPr>
              <w:t>September 30,</w:t>
            </w:r>
          </w:p>
        </w:tc>
        <w:tc>
          <w:tcPr>
            <w:tcW w:w="580" w:type="dxa"/>
            <w:vAlign w:val="bottom"/>
            <w:tcBorders>
              <w:bottom w:val="single" w:sz="8" w:color="auto"/>
            </w:tcBorders>
          </w:tcPr>
          <w:p>
            <w:pPr>
              <w:spacing w:after="0"/>
              <w:rPr>
                <w:sz w:val="20"/>
                <w:szCs w:val="20"/>
                <w:color w:val="auto"/>
              </w:rPr>
            </w:pPr>
          </w:p>
        </w:tc>
      </w:tr>
      <w:tr>
        <w:trPr>
          <w:trHeight w:val="209"/>
        </w:trPr>
        <w:tc>
          <w:tcPr>
            <w:tcW w:w="51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1200" w:type="dxa"/>
            <w:vAlign w:val="bottom"/>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14,682</w:t>
            </w:r>
          </w:p>
        </w:tc>
        <w:tc>
          <w:tcPr>
            <w:tcW w:w="260" w:type="dxa"/>
            <w:vAlign w:val="bottom"/>
          </w:tcPr>
          <w:p>
            <w:pPr>
              <w:spacing w:after="0"/>
              <w:rPr>
                <w:sz w:val="18"/>
                <w:szCs w:val="18"/>
                <w:color w:val="auto"/>
              </w:rPr>
            </w:pPr>
          </w:p>
        </w:tc>
        <w:tc>
          <w:tcPr>
            <w:tcW w:w="1040" w:type="dxa"/>
            <w:vAlign w:val="bottom"/>
          </w:tcPr>
          <w:p>
            <w:pPr>
              <w:jc w:val="right"/>
              <w:ind w:right="881"/>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9,490</w:t>
            </w: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37,781</w:t>
            </w: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Treat</w:t>
            </w: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483</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1,110</w:t>
            </w: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1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1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22,706</w:t>
            </w:r>
          </w:p>
        </w:tc>
        <w:tc>
          <w:tcPr>
            <w:tcW w:w="2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8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48,381</w:t>
            </w:r>
          </w:p>
        </w:tc>
      </w:tr>
      <w:tr>
        <w:trPr>
          <w:trHeight w:val="20"/>
        </w:trPr>
        <w:tc>
          <w:tcPr>
            <w:tcW w:w="5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(8,901)</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(8,921)</w:t>
            </w: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1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(5,067)</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Treat</w:t>
            </w:r>
          </w:p>
        </w:tc>
        <w:tc>
          <w:tcPr>
            <w:tcW w:w="1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(776)</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(4,038)</w:t>
            </w: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1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(6,744)</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(6,744)</w:t>
            </w:r>
          </w:p>
        </w:tc>
      </w:tr>
      <w:tr>
        <w:trPr>
          <w:trHeight w:val="209"/>
        </w:trPr>
        <w:tc>
          <w:tcPr>
            <w:tcW w:w="5180" w:type="dxa"/>
            <w:vAlign w:val="bottom"/>
          </w:tcPr>
          <w:p>
            <w:pPr>
              <w:spacing w:after="0"/>
              <w:rPr>
                <w:sz w:val="20"/>
                <w:szCs w:val="20"/>
                <w:color w:val="auto"/>
              </w:rPr>
            </w:pPr>
            <w:r>
              <w:rPr>
                <w:rFonts w:ascii="Arial" w:cs="Arial" w:eastAsia="Arial" w:hAnsi="Arial"/>
                <w:sz w:val="18"/>
                <w:szCs w:val="18"/>
                <w:b w:val="1"/>
                <w:bCs w:val="1"/>
                <w:color w:val="auto"/>
              </w:rPr>
              <w:t>Total operating loss (including impairment)</w:t>
            </w: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(21,488)</w:t>
            </w:r>
          </w:p>
        </w:tc>
        <w:tc>
          <w:tcPr>
            <w:tcW w:w="2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(17,872)</w:t>
            </w:r>
          </w:p>
        </w:tc>
      </w:tr>
      <w:tr>
        <w:trPr>
          <w:trHeight w:val="20"/>
        </w:trPr>
        <w:tc>
          <w:tcPr>
            <w:tcW w:w="5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18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&amp; amortization</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1,275</w:t>
            </w:r>
          </w:p>
        </w:tc>
        <w:tc>
          <w:tcPr>
            <w:tcW w:w="260" w:type="dxa"/>
            <w:vAlign w:val="bottom"/>
          </w:tcPr>
          <w:p>
            <w:pPr>
              <w:spacing w:after="0"/>
              <w:rPr>
                <w:sz w:val="18"/>
                <w:szCs w:val="18"/>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Treat</w:t>
            </w:r>
          </w:p>
        </w:tc>
        <w:tc>
          <w:tcPr>
            <w:tcW w:w="1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1,287</w:t>
            </w: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1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9"/>
        </w:trPr>
        <w:tc>
          <w:tcPr>
            <w:tcW w:w="5180" w:type="dxa"/>
            <w:vAlign w:val="bottom"/>
          </w:tcPr>
          <w:p>
            <w:pPr>
              <w:spacing w:after="0"/>
              <w:rPr>
                <w:sz w:val="20"/>
                <w:szCs w:val="20"/>
                <w:color w:val="auto"/>
              </w:rPr>
            </w:pPr>
            <w:r>
              <w:rPr>
                <w:rFonts w:ascii="Arial" w:cs="Arial" w:eastAsia="Arial" w:hAnsi="Arial"/>
                <w:sz w:val="18"/>
                <w:szCs w:val="18"/>
                <w:b w:val="1"/>
                <w:bCs w:val="1"/>
                <w:color w:val="auto"/>
              </w:rPr>
              <w:t>Total depreciation &amp; amortization</w:t>
            </w:r>
          </w:p>
        </w:tc>
        <w:tc>
          <w:tcPr>
            <w:tcW w:w="124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260" w:type="dxa"/>
            <w:vAlign w:val="bottom"/>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w:t>
            </w:r>
          </w:p>
        </w:tc>
      </w:tr>
      <w:tr>
        <w:trPr>
          <w:trHeight w:val="20"/>
        </w:trPr>
        <w:tc>
          <w:tcPr>
            <w:tcW w:w="5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5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Impairment / loss on disposal of assets</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1,468</w:t>
            </w:r>
          </w:p>
        </w:tc>
        <w:tc>
          <w:tcPr>
            <w:tcW w:w="260" w:type="dxa"/>
            <w:vAlign w:val="bottom"/>
          </w:tcPr>
          <w:p>
            <w:pPr>
              <w:spacing w:after="0"/>
              <w:rPr>
                <w:sz w:val="18"/>
                <w:szCs w:val="18"/>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Treat</w:t>
            </w:r>
          </w:p>
        </w:tc>
        <w:tc>
          <w:tcPr>
            <w:tcW w:w="12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1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Impairment / loss on disposal of assets</w:t>
            </w: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6,816</w:t>
            </w:r>
          </w:p>
        </w:tc>
        <w:tc>
          <w:tcPr>
            <w:tcW w:w="26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w:t>
            </w:r>
          </w:p>
        </w:tc>
      </w:tr>
      <w:tr>
        <w:trPr>
          <w:trHeight w:val="196"/>
        </w:trPr>
        <w:tc>
          <w:tcPr>
            <w:tcW w:w="5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XpresSpa</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XpresTest</w:t>
            </w:r>
          </w:p>
        </w:tc>
        <w:tc>
          <w:tcPr>
            <w:tcW w:w="1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Treat</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r>
      <w:tr>
        <w:trPr>
          <w:trHeight w:val="216"/>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and other</w:t>
            </w:r>
          </w:p>
        </w:tc>
        <w:tc>
          <w:tcPr>
            <w:tcW w:w="1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capital expenditures</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2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w:t>
            </w:r>
          </w:p>
        </w:tc>
      </w:tr>
      <w:tr>
        <w:trPr>
          <w:trHeight w:val="20"/>
        </w:trPr>
        <w:tc>
          <w:tcPr>
            <w:tcW w:w="5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2023</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w w:val="88"/>
              </w:rPr>
              <w:t>December 31, 2022</w:t>
            </w:r>
          </w:p>
        </w:tc>
      </w:tr>
      <w:tr>
        <w:trPr>
          <w:trHeight w:val="209"/>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Long-lived Assets</w:t>
            </w:r>
          </w:p>
        </w:tc>
        <w:tc>
          <w:tcPr>
            <w:tcW w:w="1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9,514</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11,851</w:t>
            </w: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Treat</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2,118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2,314</w:t>
            </w: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1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10"/>
        </w:trPr>
        <w:tc>
          <w:tcPr>
            <w:tcW w:w="5180" w:type="dxa"/>
            <w:vAlign w:val="bottom"/>
          </w:tcPr>
          <w:p>
            <w:pPr>
              <w:spacing w:after="0"/>
              <w:rPr>
                <w:sz w:val="20"/>
                <w:szCs w:val="20"/>
                <w:color w:val="auto"/>
              </w:rPr>
            </w:pPr>
            <w:r>
              <w:rPr>
                <w:rFonts w:ascii="Arial" w:cs="Arial" w:eastAsia="Arial" w:hAnsi="Arial"/>
                <w:sz w:val="18"/>
                <w:szCs w:val="18"/>
                <w:b w:val="1"/>
                <w:bCs w:val="1"/>
                <w:color w:val="auto"/>
              </w:rPr>
              <w:t>Total long-lived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12,217</w:t>
            </w:r>
          </w:p>
        </w:tc>
        <w:tc>
          <w:tcPr>
            <w:tcW w:w="2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18,794</w:t>
            </w: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2023</w:t>
            </w:r>
          </w:p>
        </w:tc>
        <w:tc>
          <w:tcPr>
            <w:tcW w:w="8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w w:val="94"/>
              </w:rPr>
              <w:t>December 31, 2022</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20"/>
              <w:spacing w:after="0"/>
              <w:rPr>
                <w:sz w:val="20"/>
                <w:szCs w:val="20"/>
                <w:color w:val="auto"/>
              </w:rPr>
            </w:pPr>
            <w:r>
              <w:rPr>
                <w:rFonts w:ascii="Arial" w:cs="Arial" w:eastAsia="Arial" w:hAnsi="Arial"/>
                <w:sz w:val="18"/>
                <w:szCs w:val="18"/>
                <w:color w:val="auto"/>
              </w:rPr>
              <w:t>XpresSpa</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17,626</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20"/>
              <w:spacing w:after="0"/>
              <w:rPr>
                <w:sz w:val="20"/>
                <w:szCs w:val="20"/>
                <w:color w:val="auto"/>
              </w:rPr>
            </w:pPr>
            <w:r>
              <w:rPr>
                <w:rFonts w:ascii="Arial" w:cs="Arial" w:eastAsia="Arial" w:hAnsi="Arial"/>
                <w:sz w:val="18"/>
                <w:szCs w:val="18"/>
                <w:color w:val="auto"/>
              </w:rPr>
              <w:t>Treat</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4,016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2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20,973</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44,550</w:t>
            </w:r>
          </w:p>
        </w:tc>
        <w:tc>
          <w:tcPr>
            <w:tcW w:w="2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220" w:type="dxa"/>
            <w:vAlign w:val="bottom"/>
            <w:vMerge w:val="restart"/>
          </w:tcPr>
          <w:p>
            <w:pPr>
              <w:jc w:val="right"/>
              <w:ind w:right="530"/>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96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9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2022 filed on April 17, 2023, as subsequently amended on May 1, 2023 (the “Annual Report”), our Quarterly Report on Form 10-Q for the three months and six months ended March 31, 2023 and June 30, 2023, respectively,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w:t>
      </w:r>
    </w:p>
    <w:p>
      <w:pPr>
        <w:spacing w:after="0" w:line="171"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i w:val="1"/>
          <w:iCs w:val="1"/>
          <w:color w:val="auto"/>
        </w:rPr>
        <w:t>All references in this Quarterly Report on Form 10-Q to “we,” “us” and “our” refer to XWELL, Inc., a Delaware corporation, and its consolidated subsidiaries.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On October 25, 2022, we changed our name to XWELL, Inc. (“XWELL” or the “Company”) from XpresSpa Group, Inc. Our common stock, par value $0.01 per share, which had previously been listed under the trading symbol “XSPA” on the Nasdaq Capital Market, now trades under the trading symbol “XWEL” since the opening of the trading market on October 25, 2022. We filed an amended and restated certificate of incorporation with the Delaware Secretary of State on October 24, 2022 (the “Amended and Restated Certificate”) reflecting the name change. Rebranding to XWELL aligned our corporate strategy to build a pure-play wellness services company, in both the airport and off airport marketplaces.</w:t>
      </w:r>
    </w:p>
    <w:p>
      <w:pPr>
        <w:spacing w:after="0" w:line="164" w:lineRule="exact"/>
        <w:rPr>
          <w:sz w:val="20"/>
          <w:szCs w:val="20"/>
          <w:color w:val="auto"/>
        </w:rPr>
      </w:pPr>
    </w:p>
    <w:p>
      <w:pPr>
        <w:jc w:val="both"/>
        <w:ind w:left="60" w:right="79"/>
        <w:spacing w:after="0" w:line="293" w:lineRule="auto"/>
        <w:rPr>
          <w:sz w:val="20"/>
          <w:szCs w:val="20"/>
          <w:color w:val="auto"/>
        </w:rPr>
      </w:pPr>
      <w:r>
        <w:rPr>
          <w:rFonts w:ascii="Arial" w:cs="Arial" w:eastAsia="Arial" w:hAnsi="Arial"/>
          <w:sz w:val="16"/>
          <w:szCs w:val="16"/>
          <w:color w:val="auto"/>
        </w:rPr>
        <w:t>On August 4, 2023, we filed Form S-3 with the United States Securities and Exchange Commission (“SEC”). This Form S-3 which is a Registration Statement under the Securities Act of 1933, when accepted by the SEC, would enable us to issue, from time to time at prices and on terms to be determined at or prior to the time of the offering, up to $200,000 of any combination of the securities described in the registration,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or rights.</w:t>
      </w:r>
    </w:p>
    <w:p>
      <w:pPr>
        <w:spacing w:after="0" w:line="16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8"/>
          <w:szCs w:val="18"/>
          <w:color w:val="auto"/>
        </w:rPr>
        <w:t>XWELL is a global wellness company operating multiple brands and focused on bringing restorative, regenerative and reinvigorating products and services to travelers. XWELL currently has three reportable operating segments: XpresSpa</w:t>
      </w:r>
      <w:r>
        <w:rPr>
          <w:rFonts w:ascii="Arial" w:cs="Arial" w:eastAsia="Arial" w:hAnsi="Arial"/>
          <w:sz w:val="20"/>
          <w:szCs w:val="20"/>
          <w:color w:val="auto"/>
          <w:vertAlign w:val="superscript"/>
        </w:rPr>
        <w:t>®</w:t>
      </w:r>
      <w:r>
        <w:rPr>
          <w:rFonts w:ascii="Arial" w:cs="Arial" w:eastAsia="Arial" w:hAnsi="Arial"/>
          <w:sz w:val="18"/>
          <w:szCs w:val="18"/>
          <w:color w:val="auto"/>
        </w:rPr>
        <w:t>, XpresTest</w:t>
      </w:r>
      <w:r>
        <w:rPr>
          <w:rFonts w:ascii="Arial" w:cs="Arial" w:eastAsia="Arial" w:hAnsi="Arial"/>
          <w:sz w:val="20"/>
          <w:szCs w:val="20"/>
          <w:color w:val="auto"/>
          <w:vertAlign w:val="superscript"/>
        </w:rPr>
        <w:t>®</w:t>
      </w:r>
      <w:r>
        <w:rPr>
          <w:rFonts w:ascii="Arial" w:cs="Arial" w:eastAsia="Arial" w:hAnsi="Arial"/>
          <w:sz w:val="18"/>
          <w:szCs w:val="18"/>
          <w:color w:val="auto"/>
        </w:rPr>
        <w:t>, and Treat</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XpresSpa</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XWELL’s subsidiary, XpresSpa Holdings, LLC (“XpresSpa”) has been a global airport retailer of spa services through our XpresSpa spa locations, offering travelers premium spa services, including massage, nail and skin care, as well as spa and travel products.</w:t>
      </w:r>
    </w:p>
    <w:p>
      <w:pPr>
        <w:spacing w:after="0" w:line="184"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As of September 30, 2023, there were 21 operating XpresSpa domestic locations. During 2022, we sold one location in Austin-Bergstrom International Airport to our franchisee which now operates both locations at this airport. We also had 10 international locations operating as of September 30, 2023, including two XpresSpa locations in Dubai International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Airport in the United Arab Emirates, three XpresSpa locations in Schiphol Amsterdam Airport in the Netherlands and five XpresSpa locations in Istanbul Airport in Turkey.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XpresTest</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in partnership with certain COVID-19 testing partners, successfully launched our XpresCheck Wellness Centers through our XpresTest, Inc. subsidiary (“XpresTest”), offering testing services, also in airports. During 2022, as countries continued to relax their testing requirements resulting in rapid decline of testing volumes at our XpresCheck locations, we closed all but one XpresCheck Wellness Center. As of September 30, 2023, all our XpresCheck locations have ceased operations.</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XpresTest began conducting bio-surveillance monitoring with the Centers for Disease Control and Prevention (CDC) in collaboration with Concentric by Ginkgo in 2021 and on January 31, 2022, we announced the extension of the initial program, bringing the total contract to $5,534. As of August 2022, the program was renewed in partnership with Ginkgo BioWorks for a new two-year contract term which represents approximately $7,331 in revenue (for the first year) for the XpresTest segment. Effective as of August 12, 2023, the revenue for the second year was determined to be approximately $6,675.</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reporting purposes, the former Hyperpointe segment has been consolidated into the XpresTest segment. This determination was made given that XpresTest and Hyperpointe are managed by its Chief Executive Officer, Ezra Ernst, as a single segment.</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HyperPointe, which the Company acquired in January 2022, provides a broad range of service and support options for our customers, including technical support services and advanced services.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Treat</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Treat segment, which is operating through XWELL’s subsidiary Treat, Inc. (“Treat”) is a wellness brand that provides access to wellness services for travelers at on-site centers (currently located in JFK International Airport and in Salt Lake City International Airport).</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2022, our Treat brand opened new locations in Phoenix Sky Harbor International Airport (pre-security) and Salt Lake City International Airport. With respect to these locations in Phoenix and Salt Lake City, agreements had already been executed with the airports and the decision was made to convert these locations to Treat.</w:t>
      </w:r>
    </w:p>
    <w:p>
      <w:pPr>
        <w:spacing w:after="0" w:line="18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By the third quarter of 2022, it became clear that the Treat business required a change in strategy and as a result, we began to retool the offerings within the Treat locations by providing additional retail as part of our retail strategy expansion as well as lay the foundation to bring more spa-like services into the Treat location in an attempt to unify our core offering.</w:t>
      </w:r>
    </w:p>
    <w:p>
      <w:pPr>
        <w:spacing w:after="0" w:line="14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By the fourth quarter of 2022, the decision was made to close the pre-security Treat location at Phoenix Sky Harbor Airport. As of September 30, 2023, the Treat brand operates in two locations in the airport (JFK International Airport and Salt Lake City International Airport). These remaining Treat locations offer a full retail product offering and a suite of wellness and spa services.</w:t>
      </w:r>
    </w:p>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As of September 12, 2023, XWELL acquired Naples Wax, LLC, a group of upscale hair removal boutiques in Florida, for a purchase price of approximately $1.6 million. Known for providing a memorable customer experience, Naples Wax Center operates three high-performing locations with core products and service offerings from face and body waxing to a range of skincare and cosmetic products. The acquisition of Naples Wax Center enables the company to move beyond its airport client base with a business it can adapt a larger wellness platform while also growing its retail footprint to serve its long-term financial expectations.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reporting purposes, the Naples Wax acquisition is consolidated under the Treat segment.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Although we recognize three segments of business, our strategy for the future is to create and leverage a fully integrated set of products and services that are both profitable and scalable across our portfolio of brands. Additionally, we are expanding our retail strategy, not only adding more products for sale but aligning those products more efficiently to our service offerings. This product strategy includes, for example, adding muscle relaxation patches to a neck or back massage to continue treatment after the delivery of the service.</w:t>
      </w:r>
    </w:p>
    <w:p>
      <w:pPr>
        <w:spacing w:after="0" w:line="18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also plan to build our capability for delivering wellness services outside the airport. We believe operating outside of the airport complements our offering and represents the fastest way to scale the XWELL family of brands. We will be looking to further expand internationally. With international travel slowly returning to pre-pandemic levels, we continue to be opportunistic in our approach, by taking advantage of the current market growth. We believe a strategy for international expansion further advances our ability to expand our other brands including bio-surveillance outside of the US.</w:t>
      </w:r>
    </w:p>
    <w:p>
      <w:pPr>
        <w:spacing w:after="0" w:line="16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These strategic imperatives will be accomplished through development of an infrastructure specifically focused on enabling scalable and efficient growth.</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recognize revenue from the sale of XpresSpa and Naples Wax services when they are rendered at our stores and from the sale of products at the time goods are purchased at our stores or online (usually by credit card), net of discounts and applicable sales taxes.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have entered into managed services agreements with professional medical services companies that provide healthcare services to patients in our XpresCheck and Treat Wellness Centers. The medical services companies will pay XpresTest and Treat, a monthly management fee to operate in the XpresCheck and Treat Wellness Centers. For the bio-surveillance program, XpresTest receive a flat monthly fee for its services.</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HyperPointe provides a broad range of service and support options for our customers, including technical support services and advanced services. Technical support services represent the majority of these offerings which are distinct performance obligations that are satisfied over time with revenue recognized ratably over the contract term.</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Cost of sales for our XpresSpa and Treat segments consist of store-level costs. Store-level costs include all costs that are directly attributable to the store operations, primarily payroll and related benefit costs for store personnel, occupancy costs and cost of products sold. Cost of sales of our XpresTest and Treat segments include costs related to the XpresCheck and Treat medical office business, and consists of expenses directly attributable to the operations under the terms of the MSAs, primarily payroll and related benefit costs for personnel, occupancy costs and cost of supplies.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general and administrative expenses</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Other general and administrative expenses include management and administrative personnel, overhead and occupancy costs, insurance and various professional fees, as well as stock-based compensation for directors, management and administrative personnel.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September 30, 2023 compared to the three months ended September 30, 2022</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6"/>
        </w:trPr>
        <w:tc>
          <w:tcPr>
            <w:tcW w:w="5960" w:type="dxa"/>
            <w:vAlign w:val="bottom"/>
          </w:tcPr>
          <w:p>
            <w:pPr>
              <w:spacing w:after="0"/>
              <w:rPr>
                <w:sz w:val="24"/>
                <w:szCs w:val="24"/>
                <w:color w:val="auto"/>
              </w:rPr>
            </w:pPr>
          </w:p>
        </w:tc>
        <w:tc>
          <w:tcPr>
            <w:tcW w:w="29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Three months ended September 30,</w:t>
            </w:r>
          </w:p>
        </w:tc>
      </w:tr>
      <w:tr>
        <w:trPr>
          <w:trHeight w:val="209"/>
        </w:trPr>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2023</w:t>
            </w:r>
          </w:p>
        </w:tc>
        <w:tc>
          <w:tcPr>
            <w:tcW w:w="10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2"/>
              </w:rPr>
              <w:t>Inc/(Dec)</w:t>
            </w:r>
          </w:p>
        </w:tc>
      </w:tr>
      <w:tr>
        <w:trPr>
          <w:trHeight w:val="209"/>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10,736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(3,268)</w:t>
            </w: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decrease in revenue of $3,268 or 30%, was primarily due to the reduction in patient service revenue triggered by the rapid decline of the XpresTest segment as countries continued to relax their testing requirements and we experienced decreased testing volumes at our now closed XpresCheck locations.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5980" w:type="dxa"/>
            <w:vAlign w:val="bottom"/>
          </w:tcPr>
          <w:p>
            <w:pPr>
              <w:spacing w:after="0"/>
              <w:rPr>
                <w:sz w:val="24"/>
                <w:szCs w:val="24"/>
                <w:color w:val="auto"/>
              </w:rPr>
            </w:pPr>
          </w:p>
        </w:tc>
        <w:tc>
          <w:tcPr>
            <w:tcW w:w="2940" w:type="dxa"/>
            <w:vAlign w:val="bottom"/>
            <w:gridSpan w:val="8"/>
          </w:tcPr>
          <w:p>
            <w:pPr>
              <w:jc w:val="center"/>
              <w:ind w:right="60"/>
              <w:spacing w:after="0"/>
              <w:rPr>
                <w:sz w:val="20"/>
                <w:szCs w:val="20"/>
                <w:color w:val="auto"/>
              </w:rPr>
            </w:pPr>
            <w:r>
              <w:rPr>
                <w:rFonts w:ascii="Arial" w:cs="Arial" w:eastAsia="Arial" w:hAnsi="Arial"/>
                <w:sz w:val="18"/>
                <w:szCs w:val="18"/>
                <w:b w:val="1"/>
                <w:bCs w:val="1"/>
                <w:color w:val="auto"/>
                <w:w w:val="89"/>
              </w:rPr>
              <w:t>Three months ended September 30,</w:t>
            </w:r>
          </w:p>
        </w:tc>
      </w:tr>
      <w:tr>
        <w:trPr>
          <w:trHeight w:val="209"/>
        </w:trPr>
        <w:tc>
          <w:tcPr>
            <w:tcW w:w="59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Inc/(Dec)</w:t>
            </w:r>
          </w:p>
        </w:tc>
        <w:tc>
          <w:tcPr>
            <w:tcW w:w="20" w:type="dxa"/>
            <w:vAlign w:val="bottom"/>
          </w:tcPr>
          <w:p>
            <w:pPr>
              <w:spacing w:after="0"/>
              <w:rPr>
                <w:sz w:val="18"/>
                <w:szCs w:val="18"/>
                <w:color w:val="auto"/>
              </w:rPr>
            </w:pP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9,339</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(2,962)</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decrease in cost of sales of $2,962 or 32%, is commensurate with the decrease in revenues offset by the reopening of certain XpresSpa locations. We had 31 open spa locations as of September 30, 2023, and 20 open Spa locations as of September 30, 2022. The largest component in the cost of sales are the costs of testing kits and labor costs at the location-level. Cost of sales also includes rent and related occupancy costs, which can primarily include rent based on percentage of sales, as well as other product costs directly associated with the procurement of retail inventory, and other operating costs.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40" w:type="dxa"/>
            <w:vAlign w:val="bottom"/>
            <w:gridSpan w:val="9"/>
          </w:tcPr>
          <w:p>
            <w:pPr>
              <w:jc w:val="center"/>
              <w:ind w:right="60"/>
              <w:spacing w:after="0"/>
              <w:rPr>
                <w:sz w:val="20"/>
                <w:szCs w:val="20"/>
                <w:color w:val="auto"/>
              </w:rPr>
            </w:pPr>
            <w:r>
              <w:rPr>
                <w:rFonts w:ascii="Arial" w:cs="Arial" w:eastAsia="Arial" w:hAnsi="Arial"/>
                <w:sz w:val="18"/>
                <w:szCs w:val="18"/>
                <w:b w:val="1"/>
                <w:bCs w:val="1"/>
                <w:color w:val="auto"/>
                <w:w w:val="89"/>
              </w:rPr>
              <w:t>Three months ended September 30,</w:t>
            </w: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c>
          <w:tcPr>
            <w:tcW w:w="20" w:type="dxa"/>
            <w:vAlign w:val="bottom"/>
          </w:tcPr>
          <w:p>
            <w:pPr>
              <w:spacing w:after="0"/>
              <w:rPr>
                <w:sz w:val="18"/>
                <w:szCs w:val="18"/>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decrease in depreciation and amortization of approximately 62% was primarily due to the write-off of the stores that were permanently closed since September 30, 2022. Fewer locations resulted in lower amortization of leasehold improvements. Depreciation and amortization expense also decreased because of the impairments and disposals of fixed assets during the year ended December 31, 2022.</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Impairment/loss on disposal of assets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89"/>
              </w:rPr>
              <w:t>Three months ended September 30,</w:t>
            </w: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 loss on disposal of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5,758</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increase in impairment is primarily due to the impairment of Hyperpointe-related assets including goodwill.</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Other general and administrative expenses</w:t>
            </w:r>
          </w:p>
        </w:tc>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940" w:type="dxa"/>
            <w:vAlign w:val="bottom"/>
            <w:gridSpan w:val="8"/>
          </w:tcPr>
          <w:p>
            <w:pPr>
              <w:jc w:val="center"/>
              <w:ind w:right="60"/>
              <w:spacing w:after="0"/>
              <w:rPr>
                <w:sz w:val="20"/>
                <w:szCs w:val="20"/>
                <w:color w:val="auto"/>
              </w:rPr>
            </w:pPr>
            <w:r>
              <w:rPr>
                <w:rFonts w:ascii="Arial" w:cs="Arial" w:eastAsia="Arial" w:hAnsi="Arial"/>
                <w:sz w:val="18"/>
                <w:szCs w:val="18"/>
                <w:b w:val="1"/>
                <w:bCs w:val="1"/>
                <w:color w:val="auto"/>
                <w:w w:val="89"/>
              </w:rPr>
              <w:t>Three months ended September 30,</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spacing w:after="0"/>
              <w:rPr>
                <w:sz w:val="18"/>
                <w:szCs w:val="18"/>
                <w:color w:val="auto"/>
              </w:rPr>
            </w:pPr>
          </w:p>
        </w:tc>
        <w:tc>
          <w:tcPr>
            <w:tcW w:w="2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Inc/(Dec)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general and administrative expenses</w:t>
            </w:r>
          </w:p>
        </w:tc>
        <w:tc>
          <w:tcPr>
            <w:tcW w:w="2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140" w:type="dxa"/>
            <w:vAlign w:val="bottom"/>
            <w:vMerge w:val="restart"/>
          </w:tcPr>
          <w:p>
            <w:pPr>
              <w:jc w:val="right"/>
              <w:ind w:right="1330"/>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decrease of approximately 26% was primarily due to rightsizing our existing business and optimizing our cost structure as well as reduction of functional costs associated with the operations of now closed XpresCheck Wellness Centers. We have significantly reduced operating and overhead expenses since the second half of 2022, while we continue to focus on returning to overall profitability.</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non-operating expense, net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40" w:type="dxa"/>
            <w:vAlign w:val="bottom"/>
            <w:gridSpan w:val="9"/>
          </w:tcPr>
          <w:p>
            <w:pPr>
              <w:jc w:val="center"/>
              <w:ind w:right="60"/>
              <w:spacing w:after="0"/>
              <w:rPr>
                <w:sz w:val="20"/>
                <w:szCs w:val="20"/>
                <w:color w:val="auto"/>
              </w:rPr>
            </w:pPr>
            <w:r>
              <w:rPr>
                <w:rFonts w:ascii="Arial" w:cs="Arial" w:eastAsia="Arial" w:hAnsi="Arial"/>
                <w:sz w:val="18"/>
                <w:szCs w:val="18"/>
                <w:b w:val="1"/>
                <w:bCs w:val="1"/>
                <w:color w:val="auto"/>
                <w:w w:val="89"/>
              </w:rPr>
              <w:t>Three months ended September 30,</w:t>
            </w: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2022</w:t>
            </w:r>
          </w:p>
        </w:tc>
        <w:tc>
          <w:tcPr>
            <w:tcW w:w="18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c>
          <w:tcPr>
            <w:tcW w:w="20" w:type="dxa"/>
            <w:vAlign w:val="bottom"/>
          </w:tcPr>
          <w:p>
            <w:pPr>
              <w:spacing w:after="0"/>
              <w:rPr>
                <w:sz w:val="18"/>
                <w:szCs w:val="18"/>
                <w:color w:val="auto"/>
              </w:rPr>
            </w:pP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is a summary of the transactions included in other non-operating expense, net for the three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2023 and 2022:</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b w:val="1"/>
                <w:bCs w:val="1"/>
                <w:color w:val="auto"/>
                <w:w w:val="89"/>
              </w:rPr>
              <w:t>Three months ended September 30,</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2023</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equity investments</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1"/>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Bank fees and financing charges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1"/>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Realized and unrealized foreign exchange loss</w:t>
            </w: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1"/>
          </w:tcPr>
          <w:p>
            <w:pPr>
              <w:jc w:val="right"/>
              <w:ind w:right="270"/>
              <w:spacing w:after="0"/>
              <w:rPr>
                <w:sz w:val="20"/>
                <w:szCs w:val="20"/>
                <w:color w:val="auto"/>
              </w:rPr>
            </w:pPr>
            <w:r>
              <w:rPr>
                <w:rFonts w:ascii="Arial" w:cs="Arial" w:eastAsia="Arial" w:hAnsi="Arial"/>
                <w:sz w:val="18"/>
                <w:szCs w:val="18"/>
                <w:b w:val="1"/>
                <w:bCs w:val="1"/>
                <w:color w:val="auto"/>
                <w:w w:val="92"/>
              </w:rPr>
              <w:t>Three months ended September 30,</w:t>
            </w: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Inc/(Dec)</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remeasurement gain/(loss)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Foreign exchange gain during 2023 primarily pertains to remeasurement of foreign currency transactions at our newly opened Turkish locations.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Interest income, net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tcBorders>
              <w:bottom w:val="single" w:sz="8" w:color="auto"/>
            </w:tcBorders>
            <w:gridSpan w:val="13"/>
          </w:tcPr>
          <w:p>
            <w:pPr>
              <w:jc w:val="center"/>
              <w:ind w:right="80"/>
              <w:spacing w:after="0"/>
              <w:rPr>
                <w:sz w:val="20"/>
                <w:szCs w:val="20"/>
                <w:color w:val="auto"/>
              </w:rPr>
            </w:pPr>
            <w:r>
              <w:rPr>
                <w:rFonts w:ascii="Arial" w:cs="Arial" w:eastAsia="Arial" w:hAnsi="Arial"/>
                <w:sz w:val="18"/>
                <w:szCs w:val="18"/>
                <w:b w:val="1"/>
                <w:bCs w:val="1"/>
                <w:color w:val="auto"/>
                <w:w w:val="89"/>
              </w:rPr>
              <w:t>Three months ended September 30,</w:t>
            </w: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7"/>
              </w:rPr>
              <w:t>Inc/(Dec)</w:t>
            </w: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6000" w:type="dxa"/>
            <w:vAlign w:val="bottom"/>
            <w:gridSpan w:val="3"/>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13"/>
        </w:trPr>
        <w:tc>
          <w:tcPr>
            <w:tcW w:w="7220" w:type="dxa"/>
            <w:vAlign w:val="bottom"/>
            <w:gridSpan w:val="9"/>
          </w:tcPr>
          <w:p>
            <w:pPr>
              <w:ind w:left="20"/>
              <w:spacing w:after="0"/>
              <w:rPr>
                <w:sz w:val="20"/>
                <w:szCs w:val="20"/>
                <w:color w:val="auto"/>
              </w:rPr>
            </w:pPr>
            <w:r>
              <w:rPr>
                <w:rFonts w:ascii="Arial" w:cs="Arial" w:eastAsia="Arial" w:hAnsi="Arial"/>
                <w:sz w:val="18"/>
                <w:szCs w:val="18"/>
                <w:b w:val="1"/>
                <w:bCs w:val="1"/>
                <w:i w:val="1"/>
                <w:iCs w:val="1"/>
                <w:color w:val="auto"/>
                <w:w w:val="86"/>
              </w:rPr>
              <w:t>Nine months ended September 30, 2023 compared to the Nine months ended September 30, 2022</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12"/>
          </w:tcPr>
          <w:p>
            <w:pPr>
              <w:jc w:val="center"/>
              <w:ind w:right="18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09"/>
        </w:trPr>
        <w:tc>
          <w:tcPr>
            <w:tcW w:w="20" w:type="dxa"/>
            <w:vAlign w:val="bottom"/>
            <w:tcBorders>
              <w:bottom w:val="single" w:sz="8" w:color="CCEEFF"/>
            </w:tcBorders>
          </w:tcPr>
          <w:p>
            <w:pPr>
              <w:spacing w:after="0"/>
              <w:rPr>
                <w:sz w:val="18"/>
                <w:szCs w:val="18"/>
                <w:color w:val="auto"/>
              </w:rPr>
            </w:pPr>
          </w:p>
        </w:tc>
        <w:tc>
          <w:tcPr>
            <w:tcW w:w="59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Inc/(Dec)</w:t>
            </w:r>
          </w:p>
        </w:tc>
        <w:tc>
          <w:tcPr>
            <w:tcW w:w="20" w:type="dxa"/>
            <w:vAlign w:val="bottom"/>
          </w:tcPr>
          <w:p>
            <w:pPr>
              <w:spacing w:after="0"/>
              <w:rPr>
                <w:sz w:val="18"/>
                <w:szCs w:val="18"/>
                <w:color w:val="auto"/>
              </w:rPr>
            </w:pPr>
          </w:p>
        </w:tc>
      </w:tr>
      <w:tr>
        <w:trPr>
          <w:trHeight w:val="21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22,706</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48,381</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(25,675)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decrease in revenue of $25,675, or 53%, was primarily due to the reduction in patient service revenue triggered by the rapid decline of the XpresTest segment as countries continued to relax their testing requirements and we experienced decreased testing volumes at our now closed XpresCheck locations.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4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10"/>
        </w:trPr>
        <w:tc>
          <w:tcPr>
            <w:tcW w:w="59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Inc/(Dec)</w:t>
            </w:r>
          </w:p>
        </w:tc>
        <w:tc>
          <w:tcPr>
            <w:tcW w:w="20" w:type="dxa"/>
            <w:vAlign w:val="bottom"/>
          </w:tcPr>
          <w:p>
            <w:pPr>
              <w:spacing w:after="0"/>
              <w:rPr>
                <w:sz w:val="18"/>
                <w:szCs w:val="18"/>
                <w:color w:val="auto"/>
              </w:rPr>
            </w:pP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19,903</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36,743</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(16,840)</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decrease in cost of sales of $16,840 or 46%, is commensurate with the decrease in revenues offset by the reopening of certain XpresSpa locations. We had 31 open spa locations as of September 30, 2023, and 20 open Spa locations as of September 30, 2022. The largest component in the cost of sales are the costs of testing kits and labor costs at the location-level. Cost of sales also includes rent and related occupancy costs, which can primarily include rent based on percentage of sales, as well as other product costs directly associated with the procurement of retail inventory, and other operating costs.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09"/>
        </w:trPr>
        <w:tc>
          <w:tcPr>
            <w:tcW w:w="59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Inc/(Dec)</w:t>
            </w:r>
          </w:p>
        </w:tc>
        <w:tc>
          <w:tcPr>
            <w:tcW w:w="20" w:type="dxa"/>
            <w:vAlign w:val="bottom"/>
          </w:tcPr>
          <w:p>
            <w:pPr>
              <w:spacing w:after="0"/>
              <w:rPr>
                <w:sz w:val="18"/>
                <w:szCs w:val="18"/>
                <w:color w:val="auto"/>
              </w:rPr>
            </w:pP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(2,559)</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decrease in depreciation and amortization of approximately 59% was primarily due to the write-off of the stores that were permanently closed since September 30, 2022. Fewer locations resulted in lower amortization of leasehold improvements. Depreciation and amortization expenses also decreased because of the impairments and disposals of fixed assets during the year ended December 31, 2022.</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Impairment/loss on disposal of assets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8"/>
                <w:szCs w:val="18"/>
                <w:b w:val="1"/>
                <w:bCs w:val="1"/>
                <w:color w:val="auto"/>
                <w:w w:val="88"/>
              </w:rPr>
              <w:t>Nine months ended September 30,</w:t>
            </w:r>
          </w:p>
        </w:tc>
      </w:tr>
      <w:tr>
        <w:trPr>
          <w:trHeight w:val="209"/>
        </w:trPr>
        <w:tc>
          <w:tcPr>
            <w:tcW w:w="59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 loss on disposal of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5,828</w:t>
            </w: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increase in impairment is primarily due to the impairment of Hyperpointe-related assets including goodwill.</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general and administrative expenses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4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10"/>
        </w:trPr>
        <w:tc>
          <w:tcPr>
            <w:tcW w:w="59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Inc/(Dec)</w:t>
            </w:r>
          </w:p>
        </w:tc>
        <w:tc>
          <w:tcPr>
            <w:tcW w:w="20" w:type="dxa"/>
            <w:vAlign w:val="bottom"/>
          </w:tcPr>
          <w:p>
            <w:pPr>
              <w:spacing w:after="0"/>
              <w:rPr>
                <w:sz w:val="18"/>
                <w:szCs w:val="18"/>
                <w:color w:val="auto"/>
              </w:rPr>
            </w:pP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general and administrative expenses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13,891</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18,250</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(4,359)</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decrease of approximately 24% in other general and administrative expenses was primarily due to rightsizing our existing business and optimizing our cost structure as well as reduction of functional costs associated with the operations of now closed XpresCheck Wellness Centers. We have significantly reduced operating and overhead expenses since the second half of 2022, while we continue to focus on returning to overall profitability.</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non-operating expense, net</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center"/>
              <w:ind w:right="5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10"/>
        </w:trPr>
        <w:tc>
          <w:tcPr>
            <w:tcW w:w="5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2022</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is a summary of the transactions included in other non-operating expense, net for the nine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2023 and 2022:</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27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10"/>
        </w:trPr>
        <w:tc>
          <w:tcPr>
            <w:tcW w:w="6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0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equity investments</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Bank fees and financing charges</w:t>
            </w:r>
          </w:p>
        </w:tc>
        <w:tc>
          <w:tcPr>
            <w:tcW w:w="8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(282)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200" w:type="dxa"/>
            <w:vAlign w:val="bottom"/>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(345)</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w:t>
            </w:r>
          </w:p>
        </w:tc>
      </w:tr>
      <w:tr>
        <w:trPr>
          <w:trHeight w:val="20"/>
        </w:trPr>
        <w:tc>
          <w:tcPr>
            <w:tcW w:w="6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Realized and unrealized foreign exchange loss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8"/>
          </w:tcPr>
          <w:p>
            <w:pPr>
              <w:ind w:left="160"/>
              <w:spacing w:after="0"/>
              <w:rPr>
                <w:sz w:val="20"/>
                <w:szCs w:val="20"/>
                <w:color w:val="auto"/>
              </w:rPr>
            </w:pPr>
            <w:r>
              <w:rPr>
                <w:rFonts w:ascii="Arial" w:cs="Arial" w:eastAsia="Arial" w:hAnsi="Arial"/>
                <w:sz w:val="18"/>
                <w:szCs w:val="18"/>
                <w:b w:val="1"/>
                <w:bCs w:val="1"/>
                <w:color w:val="auto"/>
              </w:rPr>
              <w:t>Nine months ended September 30,</w:t>
            </w:r>
          </w:p>
        </w:tc>
      </w:tr>
      <w:tr>
        <w:trPr>
          <w:trHeight w:val="210"/>
        </w:trPr>
        <w:tc>
          <w:tcPr>
            <w:tcW w:w="55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Inc/(Dec)</w:t>
            </w:r>
          </w:p>
        </w:tc>
        <w:tc>
          <w:tcPr>
            <w:tcW w:w="20" w:type="dxa"/>
            <w:vAlign w:val="bottom"/>
          </w:tcPr>
          <w:p>
            <w:pPr>
              <w:spacing w:after="0"/>
              <w:rPr>
                <w:sz w:val="18"/>
                <w:szCs w:val="18"/>
                <w:color w:val="auto"/>
              </w:rPr>
            </w:pPr>
          </w:p>
        </w:tc>
      </w:tr>
      <w:tr>
        <w:trPr>
          <w:trHeight w:val="20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remeasurement gain/(loss)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Foreign exchange loss during 2023 primarily pertains to remeasurement of foreign currency transactions at our newly opened Turkish locations.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Interest income, net</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center"/>
              <w:ind w:right="5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10"/>
        </w:trPr>
        <w:tc>
          <w:tcPr>
            <w:tcW w:w="5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Interest income, net increased because of increased interest rates and elimination of interest expense since the beginning of May 2022.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As of September 30, 2023, we had approximately $4,827 of cash and cash equivalents (excluding restricted cash), $21,311 in marketable securities, and total current assets of $29,962. Our total current liabilities balance, which includes accounts payable, deferred revenue, accrued expenses, and operating lease liabilities was approximately $8,157 as of September 30, 2023 and $10,956 as of December 31, 2022. The working capital surplus was $21,805 as of September 30, 2023, compared to a working capital surplus of $36,376 as of December 31, 2022.</w:t>
      </w:r>
    </w:p>
    <w:p>
      <w:pPr>
        <w:spacing w:after="0" w:line="1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carried out an assessment of our ability to continue as a going concern. As of the date of the report, we believe that our Company has sufficient liquidity to fund operations for the next twelve months. Our primary liquidity and capital requirements are for the maintenance of our current XpresSpa and Treat locations and brand, as well as the expansion of Naples Wax and our off-airport strategy. During the nine months ended September 30, 2023 and 2022, we used $12,873 and $17,406 in operations, respectively.</w:t>
      </w:r>
    </w:p>
    <w:p>
      <w:pPr>
        <w:spacing w:after="0" w:line="18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On August 31, 2021, our board of directors initially authorized a stock repurchase program that permitted the purchase and repurchase of up to 750,000 shares of our common stock through September 15, 2022. In May 2022, the Board increased the share repurchase program by an additional 500,000 shares and extended its effectiveness through September 15, 2023. Under this stock repurchase program, management has discretion in determining the conditions under which shares may be purchased from time to time. The program does not require us to repurchase any specific number of shares, and may be modified, suspended or terminated at any time without prior notice.</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Pursuant to our share repurchase program, we purchased 424,042 shares for $12,116 and retired 357,122 of these purchased shares during the nine months ended September 30, 2022, and the remaining 66,920 shares were retired on August 3, 2022. We did not repurchase any shares during the nine months ended September 30, 2023.</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audited consolidated financial statements included in our Annual Report on Form 10-K for the year ended December 31, 2022, as amended, filed with the SEC which includes a description of our critical accounting estimates that involve subjective and complex judgments that could potentially affect reported results. There have been no material changes to our critical accounting estimates as to the methodologies or assumptions we apply under them. We continue to monitor such methodologies and assumptions.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required as we are a smaller reporting company.</w:t>
      </w:r>
    </w:p>
    <w:p>
      <w:pPr>
        <w:spacing w:after="0" w:line="22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We maintain disclosure controls and procedures (as defined in Rule 13a-15(e)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Chief Financial Officer (Principal Financial and Accounting Officer), as appropriate, to allow timely decisions regarding required disclosure.</w:t>
      </w:r>
    </w:p>
    <w:p>
      <w:pPr>
        <w:spacing w:after="0" w:line="13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September 30, 2023, we carried out an evaluation, under the supervision and with the participation of our management, including our Chief Executive Officer and Chief Financial Officer, of the effectiveness of the design and operation of our disclosure controls and procedures.</w:t>
      </w:r>
    </w:p>
    <w:p>
      <w:pPr>
        <w:spacing w:after="0" w:line="18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This type of evaluation is performed on a quarterly basis so that conclusions of management, including our Chief Executive Officer and the Chief Financial Officer, concerning the effectiveness of the disclosure controls can be reported in our periodic reports on Form 10-Q and Form 10-K. The overall goals of these evaluation activities are to monitor our disclosure controls and to modify them as necessary. We intend to maintain the disclosure controls as dynamic systems that we adjust as circumstances merit. Based on the foregoing, our Chief Executive Officer and the Chief Financial Officer concluded that our disclosure controls and procedures were not effective as of September 30, 2023.</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Remediation Plan for Material Weakness in Internal Control over Financial Reporting</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Management is committed to the remediation of the Company’s material weaknesses, as well as the continued improvement of the Company’s internal control over financial reporting. Management has implemented, and continues to implement, the actions described below to remediate the underlying causes of the control deficiencies that gave rise to the material weaknesses. Until the remediation efforts described below, including any additional measures management identifies as necessary, are completed, the material weaknesses described above will continue to exist. We cannot provide any assurance that the below remediation efforts will be successful or that our internal control over financial reporting will be effective as a result of these efforts. Management has commenced the following actions and will continue to assess additional opportunities for remediation on an ongoing basis:</w:t>
      </w:r>
    </w:p>
    <w:p>
      <w:pPr>
        <w:spacing w:after="0" w:line="178" w:lineRule="exact"/>
        <w:rPr>
          <w:sz w:val="20"/>
          <w:szCs w:val="20"/>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has turned on the multi-currency features related to its cloud-based accounting systems.</w:t>
      </w:r>
    </w:p>
    <w:p>
      <w:pPr>
        <w:spacing w:after="0" w:line="225"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has engaged outside service providers to assist with the valuation, accounting, and recording of key reporting areas such as leases, revenue recognition and stock compensation expense.</w:t>
      </w:r>
    </w:p>
    <w:p>
      <w:pPr>
        <w:spacing w:after="0" w:line="146"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utilizes independent consulting firms to assist with the preparation of the Financial Statements and U.S. GAAP accounting research.</w:t>
      </w:r>
    </w:p>
    <w:p>
      <w:pPr>
        <w:spacing w:after="0" w:line="170" w:lineRule="exact"/>
        <w:rPr>
          <w:rFonts w:ascii="Arial" w:cs="Arial" w:eastAsia="Arial" w:hAnsi="Arial"/>
          <w:sz w:val="18"/>
          <w:szCs w:val="18"/>
          <w:color w:val="auto"/>
        </w:rPr>
      </w:pPr>
    </w:p>
    <w:p>
      <w:pPr>
        <w:ind w:left="720" w:right="79" w:hanging="319"/>
        <w:spacing w:after="0" w:line="342"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has engaged outside service providers to review the applicable complementary user entity controls described in the service organizations’ reports for their potential impact on the Company’s financial reporting.</w:t>
      </w:r>
    </w:p>
    <w:p>
      <w:pPr>
        <w:spacing w:after="0" w:line="123" w:lineRule="exact"/>
        <w:rPr>
          <w:rFonts w:ascii="Arial" w:cs="Arial" w:eastAsia="Arial" w:hAnsi="Arial"/>
          <w:sz w:val="16"/>
          <w:szCs w:val="16"/>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July 10, 2023, the Company hired a new permanent Chief Financial Officer.</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9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Other than as set forth in the foregoing paragraph, there have been no changes in our internal control over financial reporting that occurred during the three months ended September 30, 2023 that has materially affected, or is reasonably likely to materially affect, our internal control over financial reporting.</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For information regarding legal proceedings, see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 our notes to the condensed consolidated financial statements included in “Item 1. Condensed Consolidated Financial Statements (Unaudited).”</w:t>
      </w:r>
    </w:p>
    <w:p>
      <w:pPr>
        <w:spacing w:after="0" w:line="180"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33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There have been no material changes to the risk factors discussed in Item 1A. Risk Factors in our Annual Report on Form 10-K for the year ended December 31, 2022.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6.</w:t>
            </w:r>
          </w:p>
        </w:tc>
        <w:tc>
          <w:tcPr>
            <w:tcW w:w="8060" w:type="dxa"/>
            <w:vAlign w:val="bottom"/>
            <w:gridSpan w:val="9"/>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41"/>
        </w:trPr>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80" w:type="dxa"/>
            <w:vAlign w:val="bottom"/>
            <w:gridSpan w:val="6"/>
          </w:tcPr>
          <w:p>
            <w:pPr>
              <w:ind w:left="23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83"/>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0" w:type="dxa"/>
            <w:vAlign w:val="bottom"/>
            <w:tcBorders>
              <w:bottom w:val="single" w:sz="8" w:color="0000EE"/>
            </w:tcBorders>
            <w:gridSpan w:val="4"/>
          </w:tcPr>
          <w:p>
            <w:pPr>
              <w:spacing w:after="0"/>
              <w:rPr>
                <w:rFonts w:ascii="Arial" w:cs="Arial" w:eastAsia="Arial" w:hAnsi="Arial"/>
                <w:sz w:val="18"/>
                <w:szCs w:val="18"/>
                <w:color w:val="0000EE"/>
                <w:w w:val="92"/>
              </w:rPr>
            </w:pPr>
            <w:hyperlink r:id="rId41">
              <w:r>
                <w:rPr>
                  <w:rFonts w:ascii="Arial" w:cs="Arial" w:eastAsia="Arial" w:hAnsi="Arial"/>
                  <w:sz w:val="18"/>
                  <w:szCs w:val="18"/>
                  <w:color w:val="0000EE"/>
                  <w:w w:val="92"/>
                </w:rPr>
                <w:t>Certificate of Amendment to the Amended and Restated Certificate of Incorporation (incorporated by</w:t>
              </w:r>
            </w:hyperlink>
          </w:p>
        </w:tc>
        <w:tc>
          <w:tcPr>
            <w:tcW w:w="44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41">
              <w:r>
                <w:rPr>
                  <w:rFonts w:ascii="Arial" w:cs="Arial" w:eastAsia="Arial" w:hAnsi="Arial"/>
                  <w:sz w:val="18"/>
                  <w:szCs w:val="18"/>
                  <w:color w:val="0000EE"/>
                  <w:w w:val="91"/>
                </w:rPr>
                <w:t>reference to Exhibit 3.1 to our Current Report on Form 8-K filed with the SEC on September 27, 2023)</w:t>
              </w:r>
            </w:hyperlink>
          </w:p>
        </w:tc>
        <w:tc>
          <w:tcPr>
            <w:tcW w:w="400" w:type="dxa"/>
            <w:vAlign w:val="bottom"/>
            <w:gridSpan w:val="2"/>
          </w:tcPr>
          <w:p>
            <w:pPr>
              <w:spacing w:after="0"/>
              <w:rPr>
                <w:sz w:val="17"/>
                <w:szCs w:val="17"/>
                <w:color w:val="auto"/>
              </w:rPr>
            </w:pPr>
          </w:p>
        </w:tc>
      </w:tr>
      <w:tr>
        <w:trPr>
          <w:trHeight w:val="412"/>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Certification of Principal Executive Officer pursuant to Exchange Act, Rules 13a – 14(a) and 15d – 14(a), as</w:t>
            </w: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adopted pursuant to Section 302 of the Sarbanes-Oxley Act of 2002</w:t>
            </w:r>
          </w:p>
        </w:tc>
        <w:tc>
          <w:tcPr>
            <w:tcW w:w="2960" w:type="dxa"/>
            <w:vAlign w:val="bottom"/>
            <w:gridSpan w:val="5"/>
          </w:tcPr>
          <w:p>
            <w:pPr>
              <w:spacing w:after="0"/>
              <w:rPr>
                <w:sz w:val="17"/>
                <w:szCs w:val="17"/>
                <w:color w:val="auto"/>
              </w:rPr>
            </w:pPr>
          </w:p>
        </w:tc>
      </w:tr>
      <w:tr>
        <w:trPr>
          <w:trHeight w:val="304"/>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7"/>
          </w:tcPr>
          <w:p>
            <w:pPr>
              <w:spacing w:after="0"/>
              <w:rPr>
                <w:sz w:val="20"/>
                <w:szCs w:val="20"/>
                <w:color w:val="auto"/>
              </w:rPr>
            </w:pPr>
            <w:r>
              <w:rPr>
                <w:rFonts w:ascii="Arial" w:cs="Arial" w:eastAsia="Arial" w:hAnsi="Arial"/>
                <w:sz w:val="18"/>
                <w:szCs w:val="18"/>
                <w:color w:val="0000EE"/>
                <w:w w:val="92"/>
              </w:rPr>
              <w:t>Certification of Principal Financial Officer pursuant to Exchange Act, Rules 13a – 14(a) and 15d – 14(a), as</w:t>
            </w: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adopted pursuant to Section 302 of the Sarbanes-Oxley Act of 2002</w:t>
            </w:r>
          </w:p>
        </w:tc>
        <w:tc>
          <w:tcPr>
            <w:tcW w:w="294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7"/>
          </w:tcPr>
          <w:p>
            <w:pPr>
              <w:spacing w:after="0"/>
              <w:rPr>
                <w:sz w:val="20"/>
                <w:szCs w:val="20"/>
                <w:color w:val="auto"/>
              </w:rPr>
            </w:pPr>
            <w:r>
              <w:rPr>
                <w:rFonts w:ascii="Arial" w:cs="Arial" w:eastAsia="Arial" w:hAnsi="Arial"/>
                <w:sz w:val="18"/>
                <w:szCs w:val="18"/>
                <w:color w:val="0000EE"/>
              </w:rPr>
              <w:t>Certifications of Principal Executive Officer and Principal Financial Officer Pursuant to 18 U.S.C.</w:t>
            </w: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2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Section 1350, as adopted pursuant to Section 906 of the Sarbanes-Oxley Act of 2002</w:t>
            </w:r>
          </w:p>
        </w:tc>
        <w:tc>
          <w:tcPr>
            <w:tcW w:w="20" w:type="dxa"/>
            <w:vAlign w:val="bottom"/>
          </w:tcPr>
          <w:p>
            <w:pPr>
              <w:spacing w:after="0"/>
              <w:rPr>
                <w:sz w:val="17"/>
                <w:szCs w:val="17"/>
                <w:color w:val="auto"/>
              </w:rPr>
            </w:pPr>
          </w:p>
        </w:tc>
      </w:tr>
      <w:tr>
        <w:trPr>
          <w:trHeight w:val="345"/>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Inline XBRL Instance Document</w:t>
            </w:r>
          </w:p>
        </w:tc>
        <w:tc>
          <w:tcPr>
            <w:tcW w:w="1740" w:type="dxa"/>
            <w:vAlign w:val="bottom"/>
            <w:gridSpan w:val="4"/>
          </w:tcPr>
          <w:p>
            <w:pPr>
              <w:spacing w:after="0"/>
              <w:rPr>
                <w:sz w:val="24"/>
                <w:szCs w:val="24"/>
                <w:color w:val="auto"/>
              </w:rPr>
            </w:pPr>
          </w:p>
        </w:tc>
      </w:tr>
      <w:tr>
        <w:trPr>
          <w:trHeight w:val="324"/>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1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108"/>
        </w:trPr>
        <w:tc>
          <w:tcPr>
            <w:tcW w:w="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7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198" w:lineRule="exact"/>
        <w:rPr>
          <w:sz w:val="20"/>
          <w:szCs w:val="20"/>
          <w:color w:val="auto"/>
        </w:rPr>
      </w:pPr>
    </w:p>
    <w:p>
      <w:pPr>
        <w:ind w:left="1140" w:hanging="10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Management contract.</w:t>
      </w:r>
    </w:p>
    <w:p>
      <w:pPr>
        <w:spacing w:after="0" w:line="27" w:lineRule="exact"/>
        <w:rPr>
          <w:sz w:val="20"/>
          <w:szCs w:val="20"/>
          <w:color w:val="auto"/>
        </w:rPr>
      </w:pPr>
    </w:p>
    <w:p>
      <w:pPr>
        <w:ind w:left="1140" w:hanging="1084"/>
        <w:spacing w:after="0"/>
        <w:tabs>
          <w:tab w:leader="none" w:pos="11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Filed herewith.</w:t>
      </w:r>
    </w:p>
    <w:p>
      <w:pPr>
        <w:spacing w:after="0" w:line="9" w:lineRule="exact"/>
        <w:rPr>
          <w:sz w:val="20"/>
          <w:szCs w:val="20"/>
          <w:color w:val="auto"/>
        </w:rPr>
      </w:pPr>
    </w:p>
    <w:p>
      <w:pPr>
        <w:ind w:left="1140" w:hanging="1084"/>
        <w:spacing w:after="0"/>
        <w:tabs>
          <w:tab w:leader="none" w:pos="11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Furnished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XWELL, Inc.</w:t>
            </w:r>
          </w:p>
        </w:tc>
        <w:tc>
          <w:tcPr>
            <w:tcW w:w="3240" w:type="dxa"/>
            <w:vAlign w:val="bottom"/>
          </w:tcPr>
          <w:p>
            <w:pPr>
              <w:spacing w:after="0"/>
              <w:rPr>
                <w:sz w:val="20"/>
                <w:szCs w:val="20"/>
                <w:color w:val="auto"/>
              </w:rPr>
            </w:pPr>
          </w:p>
        </w:tc>
      </w:tr>
      <w:tr>
        <w:trPr>
          <w:trHeight w:val="675"/>
        </w:trPr>
        <w:tc>
          <w:tcPr>
            <w:tcW w:w="4340" w:type="dxa"/>
            <w:vAlign w:val="bottom"/>
            <w:gridSpan w:val="2"/>
          </w:tcPr>
          <w:p>
            <w:pPr>
              <w:spacing w:after="0"/>
              <w:rPr>
                <w:sz w:val="20"/>
                <w:szCs w:val="20"/>
                <w:color w:val="auto"/>
              </w:rPr>
            </w:pPr>
            <w:r>
              <w:rPr>
                <w:rFonts w:ascii="Arial" w:cs="Arial" w:eastAsia="Arial" w:hAnsi="Arial"/>
                <w:sz w:val="18"/>
                <w:szCs w:val="18"/>
                <w:color w:val="auto"/>
              </w:rPr>
              <w:t>Date: November 14, 2023</w:t>
            </w:r>
          </w:p>
        </w:tc>
        <w:tc>
          <w:tcPr>
            <w:tcW w:w="1320" w:type="dxa"/>
            <w:vAlign w:val="bottom"/>
            <w:gridSpan w:val="2"/>
          </w:tcPr>
          <w:p>
            <w:pPr>
              <w:ind w:left="200"/>
              <w:spacing w:after="0"/>
              <w:rPr>
                <w:sz w:val="20"/>
                <w:szCs w:val="20"/>
                <w:color w:val="auto"/>
              </w:rPr>
            </w:pPr>
            <w:r>
              <w:rPr>
                <w:rFonts w:ascii="Arial" w:cs="Arial" w:eastAsia="Arial" w:hAnsi="Arial"/>
                <w:sz w:val="18"/>
                <w:szCs w:val="18"/>
                <w:color w:val="auto"/>
              </w:rPr>
              <w:t>By:</w:t>
            </w:r>
          </w:p>
        </w:tc>
        <w:tc>
          <w:tcPr>
            <w:tcW w:w="3240" w:type="dxa"/>
            <w:vAlign w:val="bottom"/>
          </w:tcPr>
          <w:p>
            <w:pPr>
              <w:jc w:val="center"/>
              <w:ind w:right="750"/>
              <w:spacing w:after="0"/>
              <w:rPr>
                <w:sz w:val="20"/>
                <w:szCs w:val="20"/>
                <w:color w:val="auto"/>
              </w:rPr>
            </w:pPr>
            <w:r>
              <w:rPr>
                <w:rFonts w:ascii="Arial" w:cs="Arial" w:eastAsia="Arial" w:hAnsi="Arial"/>
                <w:sz w:val="18"/>
                <w:szCs w:val="18"/>
                <w:color w:val="auto"/>
                <w:w w:val="95"/>
              </w:rPr>
              <w:t>/s/ Scott R Milford</w:t>
            </w:r>
          </w:p>
        </w:tc>
      </w:tr>
      <w:tr>
        <w:trPr>
          <w:trHeight w:val="191"/>
        </w:trPr>
        <w:tc>
          <w:tcPr>
            <w:tcW w:w="42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240" w:type="dxa"/>
            <w:vAlign w:val="bottom"/>
            <w:tcBorders>
              <w:top w:val="single" w:sz="8" w:color="auto"/>
            </w:tcBorders>
          </w:tcPr>
          <w:p>
            <w:pPr>
              <w:jc w:val="center"/>
              <w:ind w:right="770"/>
              <w:spacing w:after="0" w:line="191" w:lineRule="exact"/>
              <w:rPr>
                <w:sz w:val="20"/>
                <w:szCs w:val="20"/>
                <w:color w:val="auto"/>
              </w:rPr>
            </w:pPr>
            <w:r>
              <w:rPr>
                <w:rFonts w:ascii="Arial" w:cs="Arial" w:eastAsia="Arial" w:hAnsi="Arial"/>
                <w:sz w:val="18"/>
                <w:szCs w:val="18"/>
                <w:b w:val="1"/>
                <w:bCs w:val="1"/>
                <w:color w:val="auto"/>
                <w:w w:val="94"/>
              </w:rPr>
              <w:t>Scott R. Milford</w:t>
            </w:r>
          </w:p>
        </w:tc>
      </w:tr>
      <w:tr>
        <w:trPr>
          <w:trHeight w:val="216"/>
        </w:trPr>
        <w:tc>
          <w:tcPr>
            <w:tcW w:w="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40" w:type="dxa"/>
            <w:vAlign w:val="bottom"/>
          </w:tcPr>
          <w:p>
            <w:pPr>
              <w:jc w:val="center"/>
              <w:ind w:right="770"/>
              <w:spacing w:after="0"/>
              <w:rPr>
                <w:sz w:val="20"/>
                <w:szCs w:val="20"/>
                <w:color w:val="auto"/>
              </w:rPr>
            </w:pPr>
            <w:r>
              <w:rPr>
                <w:rFonts w:ascii="Arial" w:cs="Arial" w:eastAsia="Arial" w:hAnsi="Arial"/>
                <w:sz w:val="18"/>
                <w:szCs w:val="18"/>
                <w:b w:val="1"/>
                <w:bCs w:val="1"/>
                <w:color w:val="auto"/>
                <w:w w:val="92"/>
              </w:rPr>
              <w:t>Chief Executive Officer</w:t>
            </w:r>
          </w:p>
        </w:tc>
      </w:tr>
      <w:tr>
        <w:trPr>
          <w:trHeight w:val="234"/>
        </w:trPr>
        <w:tc>
          <w:tcPr>
            <w:tcW w:w="4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40" w:type="dxa"/>
            <w:vAlign w:val="bottom"/>
          </w:tcPr>
          <w:p>
            <w:pPr>
              <w:jc w:val="center"/>
              <w:ind w:right="770"/>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648"/>
        </w:trPr>
        <w:tc>
          <w:tcPr>
            <w:tcW w:w="4340" w:type="dxa"/>
            <w:vAlign w:val="bottom"/>
            <w:gridSpan w:val="2"/>
          </w:tcPr>
          <w:p>
            <w:pPr>
              <w:spacing w:after="0"/>
              <w:rPr>
                <w:sz w:val="20"/>
                <w:szCs w:val="20"/>
                <w:color w:val="auto"/>
              </w:rPr>
            </w:pPr>
            <w:r>
              <w:rPr>
                <w:rFonts w:ascii="Arial" w:cs="Arial" w:eastAsia="Arial" w:hAnsi="Arial"/>
                <w:sz w:val="18"/>
                <w:szCs w:val="18"/>
                <w:color w:val="auto"/>
              </w:rPr>
              <w:t>Date: November 14, 2023</w:t>
            </w:r>
          </w:p>
        </w:tc>
        <w:tc>
          <w:tcPr>
            <w:tcW w:w="1320" w:type="dxa"/>
            <w:vAlign w:val="bottom"/>
            <w:gridSpan w:val="2"/>
          </w:tcPr>
          <w:p>
            <w:pPr>
              <w:ind w:left="200"/>
              <w:spacing w:after="0"/>
              <w:rPr>
                <w:sz w:val="20"/>
                <w:szCs w:val="20"/>
                <w:color w:val="auto"/>
              </w:rPr>
            </w:pPr>
            <w:r>
              <w:rPr>
                <w:rFonts w:ascii="Arial" w:cs="Arial" w:eastAsia="Arial" w:hAnsi="Arial"/>
                <w:sz w:val="18"/>
                <w:szCs w:val="18"/>
                <w:color w:val="auto"/>
              </w:rPr>
              <w:t>By:</w:t>
            </w:r>
          </w:p>
        </w:tc>
        <w:tc>
          <w:tcPr>
            <w:tcW w:w="3240" w:type="dxa"/>
            <w:vAlign w:val="bottom"/>
          </w:tcPr>
          <w:p>
            <w:pPr>
              <w:jc w:val="center"/>
              <w:ind w:right="770"/>
              <w:spacing w:after="0"/>
              <w:rPr>
                <w:sz w:val="20"/>
                <w:szCs w:val="20"/>
                <w:color w:val="auto"/>
              </w:rPr>
            </w:pPr>
            <w:r>
              <w:rPr>
                <w:rFonts w:ascii="Arial" w:cs="Arial" w:eastAsia="Arial" w:hAnsi="Arial"/>
                <w:sz w:val="18"/>
                <w:szCs w:val="18"/>
                <w:color w:val="auto"/>
                <w:w w:val="88"/>
              </w:rPr>
              <w:t>/s/ Suzanne A. Scrabis</w:t>
            </w:r>
          </w:p>
        </w:tc>
      </w:tr>
      <w:tr>
        <w:trPr>
          <w:trHeight w:val="211"/>
        </w:trPr>
        <w:tc>
          <w:tcPr>
            <w:tcW w:w="420" w:type="dxa"/>
            <w:vAlign w:val="bottom"/>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b w:val="1"/>
                <w:bCs w:val="1"/>
                <w:color w:val="auto"/>
                <w:w w:val="88"/>
              </w:rPr>
              <w:t>Suzanne A. Scrabis</w:t>
            </w:r>
          </w:p>
        </w:tc>
      </w:tr>
    </w:tbl>
    <w:p>
      <w:pPr>
        <w:jc w:val="center"/>
        <w:ind w:left="4800"/>
        <w:spacing w:after="0"/>
        <w:rPr>
          <w:sz w:val="20"/>
          <w:szCs w:val="20"/>
          <w:color w:val="auto"/>
        </w:rPr>
      </w:pPr>
      <w:r>
        <w:rPr>
          <w:rFonts w:ascii="Arial" w:cs="Arial" w:eastAsia="Arial" w:hAnsi="Arial"/>
          <w:sz w:val="18"/>
          <w:szCs w:val="18"/>
          <w:b w:val="1"/>
          <w:bCs w:val="1"/>
          <w:color w:val="auto"/>
        </w:rPr>
        <w:t>Chief Financial Officer</w:t>
      </w:r>
    </w:p>
    <w:p>
      <w:pPr>
        <w:spacing w:after="0" w:line="7" w:lineRule="exact"/>
        <w:rPr>
          <w:sz w:val="20"/>
          <w:szCs w:val="20"/>
          <w:color w:val="auto"/>
        </w:rPr>
      </w:pPr>
    </w:p>
    <w:p>
      <w:pPr>
        <w:jc w:val="center"/>
        <w:ind w:left="480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Scott R. Milford, certify that:</w:t>
      </w:r>
    </w:p>
    <w:p>
      <w:pPr>
        <w:spacing w:after="0" w:line="22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XWELL,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firstLine="8"/>
        <w:spacing w:after="0" w:line="263" w:lineRule="auto"/>
        <w:tabs>
          <w:tab w:leader="none" w:pos="182" w:val="left"/>
        </w:tabs>
        <w:numPr>
          <w:ilvl w:val="0"/>
          <w:numId w:val="7"/>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right="20" w:firstLine="8"/>
        <w:spacing w:after="0" w:line="263" w:lineRule="auto"/>
        <w:tabs>
          <w:tab w:leader="none" w:pos="219"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4"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342" w:lineRule="auto"/>
        <w:tabs>
          <w:tab w:leader="none" w:pos="186" w:val="left"/>
        </w:tabs>
        <w:numPr>
          <w:ilvl w:val="0"/>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277" w:lineRule="auto"/>
        <w:tabs>
          <w:tab w:leader="none" w:pos="193"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308" w:lineRule="auto"/>
        <w:tabs>
          <w:tab w:leader="none" w:pos="198"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firstLine="8"/>
        <w:spacing w:after="0" w:line="277" w:lineRule="auto"/>
        <w:tabs>
          <w:tab w:leader="none" w:pos="2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2023</w:t>
      </w:r>
    </w:p>
    <w:p>
      <w:pPr>
        <w:spacing w:after="0" w:line="239" w:lineRule="exact"/>
        <w:rPr>
          <w:sz w:val="20"/>
          <w:szCs w:val="20"/>
          <w:color w:val="auto"/>
        </w:rPr>
      </w:pPr>
    </w:p>
    <w:p>
      <w:pPr>
        <w:ind w:left="3980"/>
        <w:spacing w:after="0"/>
        <w:tabs>
          <w:tab w:leader="none" w:pos="4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Suzanne A. Scrabis,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XWELL,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firstLine="8"/>
        <w:spacing w:after="0" w:line="263" w:lineRule="auto"/>
        <w:tabs>
          <w:tab w:leader="none" w:pos="1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right="20" w:firstLine="8"/>
        <w:spacing w:after="0" w:line="263" w:lineRule="auto"/>
        <w:tabs>
          <w:tab w:leader="none" w:pos="2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342" w:lineRule="auto"/>
        <w:tabs>
          <w:tab w:leader="none" w:pos="1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277" w:lineRule="auto"/>
        <w:tabs>
          <w:tab w:leader="none" w:pos="1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308" w:lineRule="auto"/>
        <w:tabs>
          <w:tab w:leader="none" w:pos="198"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firstLine="8"/>
        <w:spacing w:after="0" w:line="277" w:lineRule="auto"/>
        <w:tabs>
          <w:tab w:leader="none" w:pos="2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2023</w:t>
      </w:r>
    </w:p>
    <w:p>
      <w:pPr>
        <w:spacing w:after="0" w:line="239" w:lineRule="exact"/>
        <w:rPr>
          <w:sz w:val="20"/>
          <w:szCs w:val="20"/>
          <w:color w:val="auto"/>
        </w:rPr>
      </w:pPr>
    </w:p>
    <w:p>
      <w:pPr>
        <w:ind w:left="3800"/>
        <w:spacing w:after="0"/>
        <w:tabs>
          <w:tab w:leader="none" w:pos="42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SUZANNE A. SCRABIS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left="1040" w:right="820"/>
        <w:spacing w:after="0" w:line="282"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SECTION 906 OF THE SARBANES-OXLEY ACT OF 2002</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undersigned officer of XWELL, Inc., a Delaware corporation (the “Company”), does hereby certify, to such officer’s knowledge, that: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Quarterly Report for the quarter ended September 30, 2023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2023</w:t>
      </w:r>
    </w:p>
    <w:p>
      <w:pPr>
        <w:spacing w:after="0" w:line="225" w:lineRule="exact"/>
        <w:rPr>
          <w:sz w:val="20"/>
          <w:szCs w:val="20"/>
          <w:color w:val="auto"/>
        </w:rPr>
      </w:pPr>
    </w:p>
    <w:p>
      <w:pPr>
        <w:ind w:left="3980"/>
        <w:spacing w:after="0"/>
        <w:tabs>
          <w:tab w:leader="none" w:pos="4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Scott R.Milford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3860"/>
        <w:spacing w:after="0"/>
        <w:tabs>
          <w:tab w:leader="none" w:pos="42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SUZANNE A. SCRABIS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Suzanne A. Scrabis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5"/>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5"/>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41" Type="http://schemas.openxmlformats.org/officeDocument/2006/relationships/hyperlink" Target="https://www.sec.gov/Archives/edgar/data/1410428/000110465923104093/tm2327010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2023-11-14T20:14:26Z</dcterms:created>
  <dcterms:modified xsi:type="dcterms:W3CDTF">2023-11-14T20:14:26Z</dcterms:modified>
</cp:coreProperties>
</file>