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740" w:right="1800" w:hanging="3732"/>
        <w:spacing w:after="0" w:line="473" w:lineRule="auto"/>
        <w:tabs>
          <w:tab w:leader="none" w:pos="4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2011</w:t>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60" w:type="dxa"/>
            <w:vAlign w:val="bottom"/>
            <w:gridSpan w:val="2"/>
          </w:tcPr>
          <w:p>
            <w:pPr>
              <w:ind w:left="740"/>
              <w:spacing w:after="0"/>
              <w:rPr>
                <w:sz w:val="20"/>
                <w:szCs w:val="20"/>
                <w:color w:val="auto"/>
              </w:rPr>
            </w:pPr>
            <w:r>
              <w:rPr>
                <w:rFonts w:ascii="Arial" w:cs="Arial" w:eastAsia="Arial" w:hAnsi="Arial"/>
                <w:sz w:val="18"/>
                <w:szCs w:val="18"/>
                <w:b w:val="1"/>
                <w:bCs w:val="1"/>
                <w:color w:val="auto"/>
              </w:rPr>
              <w:t>For the transition period from</w:t>
            </w:r>
          </w:p>
        </w:tc>
        <w:tc>
          <w:tcPr>
            <w:tcW w:w="4860" w:type="dxa"/>
            <w:vAlign w:val="bottom"/>
            <w:gridSpan w:val="5"/>
          </w:tcPr>
          <w:p>
            <w:pPr>
              <w:ind w:left="240"/>
              <w:spacing w:after="0"/>
              <w:rPr>
                <w:sz w:val="20"/>
                <w:szCs w:val="20"/>
                <w:color w:val="auto"/>
              </w:rPr>
            </w:pPr>
            <w:r>
              <w:rPr>
                <w:rFonts w:ascii="Arial" w:cs="Arial" w:eastAsia="Arial" w:hAnsi="Arial"/>
                <w:sz w:val="18"/>
                <w:szCs w:val="18"/>
                <w:b w:val="1"/>
                <w:bCs w:val="1"/>
                <w:color w:val="auto"/>
              </w:rPr>
              <w:t>to</w:t>
            </w:r>
          </w:p>
        </w:tc>
      </w:tr>
      <w:tr>
        <w:trPr>
          <w:trHeight w:val="432"/>
        </w:trPr>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0" w:type="dxa"/>
            <w:vAlign w:val="bottom"/>
            <w:gridSpan w:val="6"/>
          </w:tcPr>
          <w:p>
            <w:pPr>
              <w:jc w:val="center"/>
              <w:ind w:right="4260"/>
              <w:spacing w:after="0"/>
              <w:rPr>
                <w:sz w:val="20"/>
                <w:szCs w:val="20"/>
                <w:color w:val="auto"/>
              </w:rPr>
            </w:pPr>
            <w:r>
              <w:rPr>
                <w:rFonts w:ascii="Arial" w:cs="Arial" w:eastAsia="Arial" w:hAnsi="Arial"/>
                <w:sz w:val="18"/>
                <w:szCs w:val="18"/>
                <w:b w:val="1"/>
                <w:bCs w:val="1"/>
                <w:color w:val="auto"/>
                <w:w w:val="90"/>
              </w:rPr>
              <w:t>Commission file number: 001-34785</w:t>
            </w:r>
          </w:p>
        </w:tc>
      </w:tr>
      <w:tr>
        <w:trPr>
          <w:trHeight w:val="324"/>
        </w:trPr>
        <w:tc>
          <w:tcPr>
            <w:tcW w:w="1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r>
      <w:tr>
        <w:trPr>
          <w:trHeight w:val="515"/>
        </w:trPr>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tcPr>
          <w:p>
            <w:pPr>
              <w:jc w:val="center"/>
              <w:ind w:left="530"/>
              <w:spacing w:after="0"/>
              <w:rPr>
                <w:sz w:val="20"/>
                <w:szCs w:val="20"/>
                <w:color w:val="auto"/>
              </w:rPr>
            </w:pPr>
            <w:r>
              <w:rPr>
                <w:rFonts w:ascii="Arial" w:cs="Arial" w:eastAsia="Arial" w:hAnsi="Arial"/>
                <w:sz w:val="18"/>
                <w:szCs w:val="18"/>
                <w:b w:val="1"/>
                <w:bCs w:val="1"/>
                <w:color w:val="auto"/>
              </w:rPr>
              <w:t>VRINGO, INC.</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20" w:type="dxa"/>
            <w:vAlign w:val="bottom"/>
            <w:gridSpan w:val="7"/>
          </w:tcPr>
          <w:p>
            <w:pPr>
              <w:jc w:val="center"/>
              <w:ind w:right="314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r>
      <w:tr>
        <w:trPr>
          <w:trHeight w:val="324"/>
        </w:trPr>
        <w:tc>
          <w:tcPr>
            <w:tcW w:w="1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r>
      <w:tr>
        <w:trPr>
          <w:trHeight w:val="493"/>
        </w:trPr>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460" w:type="dxa"/>
            <w:vAlign w:val="bottom"/>
            <w:gridSpan w:val="2"/>
          </w:tcPr>
          <w:p>
            <w:pPr>
              <w:spacing w:after="0"/>
              <w:rPr>
                <w:sz w:val="24"/>
                <w:szCs w:val="24"/>
                <w:color w:val="auto"/>
              </w:rPr>
            </w:pPr>
          </w:p>
        </w:tc>
        <w:tc>
          <w:tcPr>
            <w:tcW w:w="4860" w:type="dxa"/>
            <w:vAlign w:val="bottom"/>
            <w:gridSpan w:val="5"/>
          </w:tcPr>
          <w:p>
            <w:pPr>
              <w:jc w:val="right"/>
              <w:ind w:right="2320"/>
              <w:spacing w:after="0"/>
              <w:rPr>
                <w:sz w:val="20"/>
                <w:szCs w:val="20"/>
                <w:color w:val="auto"/>
              </w:rPr>
            </w:pPr>
            <w:r>
              <w:rPr>
                <w:rFonts w:ascii="Arial" w:cs="Arial" w:eastAsia="Arial" w:hAnsi="Arial"/>
                <w:sz w:val="18"/>
                <w:szCs w:val="18"/>
                <w:b w:val="1"/>
                <w:bCs w:val="1"/>
                <w:color w:val="auto"/>
              </w:rPr>
              <w:t>20-4988129</w:t>
            </w:r>
          </w:p>
        </w:tc>
      </w:tr>
      <w:tr>
        <w:trPr>
          <w:trHeight w:val="20"/>
        </w:trPr>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8"/>
        </w:trPr>
        <w:tc>
          <w:tcPr>
            <w:tcW w:w="1260" w:type="dxa"/>
            <w:vAlign w:val="bottom"/>
          </w:tcPr>
          <w:p>
            <w:pPr>
              <w:spacing w:after="0"/>
              <w:rPr>
                <w:sz w:val="18"/>
                <w:szCs w:val="18"/>
                <w:color w:val="auto"/>
              </w:rPr>
            </w:pPr>
          </w:p>
        </w:tc>
        <w:tc>
          <w:tcPr>
            <w:tcW w:w="5320" w:type="dxa"/>
            <w:vAlign w:val="bottom"/>
            <w:gridSpan w:val="4"/>
          </w:tcPr>
          <w:p>
            <w:pPr>
              <w:jc w:val="center"/>
              <w:ind w:right="2250"/>
              <w:spacing w:after="0"/>
              <w:rPr>
                <w:sz w:val="20"/>
                <w:szCs w:val="20"/>
                <w:color w:val="auto"/>
              </w:rPr>
            </w:pPr>
            <w:r>
              <w:rPr>
                <w:rFonts w:ascii="Arial" w:cs="Arial" w:eastAsia="Arial" w:hAnsi="Arial"/>
                <w:sz w:val="18"/>
                <w:szCs w:val="18"/>
                <w:b w:val="1"/>
                <w:bCs w:val="1"/>
                <w:color w:val="auto"/>
                <w:w w:val="91"/>
              </w:rPr>
              <w:t>(State or other jurisdiction of</w:t>
            </w:r>
          </w:p>
        </w:tc>
        <w:tc>
          <w:tcPr>
            <w:tcW w:w="486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1260" w:type="dxa"/>
            <w:vAlign w:val="bottom"/>
          </w:tcPr>
          <w:p>
            <w:pPr>
              <w:spacing w:after="0"/>
              <w:rPr>
                <w:sz w:val="20"/>
                <w:szCs w:val="20"/>
                <w:color w:val="auto"/>
              </w:rPr>
            </w:pPr>
          </w:p>
        </w:tc>
        <w:tc>
          <w:tcPr>
            <w:tcW w:w="5320" w:type="dxa"/>
            <w:vAlign w:val="bottom"/>
            <w:gridSpan w:val="4"/>
          </w:tcPr>
          <w:p>
            <w:pPr>
              <w:jc w:val="center"/>
              <w:ind w:right="2250"/>
              <w:spacing w:after="0"/>
              <w:rPr>
                <w:sz w:val="20"/>
                <w:szCs w:val="20"/>
                <w:color w:val="auto"/>
              </w:rPr>
            </w:pPr>
            <w:r>
              <w:rPr>
                <w:rFonts w:ascii="Arial" w:cs="Arial" w:eastAsia="Arial" w:hAnsi="Arial"/>
                <w:sz w:val="18"/>
                <w:szCs w:val="18"/>
                <w:b w:val="1"/>
                <w:bCs w:val="1"/>
                <w:color w:val="auto"/>
                <w:w w:val="93"/>
              </w:rPr>
              <w:t>Incorporation or Organization)</w:t>
            </w:r>
          </w:p>
        </w:tc>
        <w:tc>
          <w:tcPr>
            <w:tcW w:w="486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3"/>
              </w:rPr>
              <w:t>Identification No.)</w:t>
            </w:r>
          </w:p>
        </w:tc>
      </w:tr>
      <w:tr>
        <w:trPr>
          <w:trHeight w:val="392"/>
        </w:trPr>
        <w:tc>
          <w:tcPr>
            <w:tcW w:w="1260" w:type="dxa"/>
            <w:vAlign w:val="bottom"/>
          </w:tcPr>
          <w:p>
            <w:pPr>
              <w:spacing w:after="0"/>
              <w:rPr>
                <w:sz w:val="24"/>
                <w:szCs w:val="24"/>
                <w:color w:val="auto"/>
              </w:rPr>
            </w:pPr>
          </w:p>
        </w:tc>
        <w:tc>
          <w:tcPr>
            <w:tcW w:w="5320" w:type="dxa"/>
            <w:vAlign w:val="bottom"/>
            <w:gridSpan w:val="4"/>
          </w:tcPr>
          <w:p>
            <w:pPr>
              <w:jc w:val="center"/>
              <w:ind w:right="2250"/>
              <w:spacing w:after="0"/>
              <w:rPr>
                <w:sz w:val="20"/>
                <w:szCs w:val="20"/>
                <w:color w:val="auto"/>
              </w:rPr>
            </w:pPr>
            <w:r>
              <w:rPr>
                <w:rFonts w:ascii="Arial" w:cs="Arial" w:eastAsia="Arial" w:hAnsi="Arial"/>
                <w:sz w:val="18"/>
                <w:szCs w:val="18"/>
                <w:b w:val="1"/>
                <w:bCs w:val="1"/>
                <w:color w:val="auto"/>
                <w:w w:val="91"/>
              </w:rPr>
              <w:t>44 W. 28th Street New York, New York</w:t>
            </w:r>
          </w:p>
        </w:tc>
        <w:tc>
          <w:tcPr>
            <w:tcW w:w="25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10001</w:t>
            </w:r>
          </w:p>
        </w:tc>
        <w:tc>
          <w:tcPr>
            <w:tcW w:w="232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gridSpan w:val="3"/>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237"/>
        </w:trPr>
        <w:tc>
          <w:tcPr>
            <w:tcW w:w="6580" w:type="dxa"/>
            <w:vAlign w:val="bottom"/>
            <w:gridSpan w:val="5"/>
          </w:tcPr>
          <w:p>
            <w:pPr>
              <w:jc w:val="center"/>
              <w:ind w:right="990"/>
              <w:spacing w:after="0"/>
              <w:rPr>
                <w:sz w:val="20"/>
                <w:szCs w:val="20"/>
                <w:color w:val="auto"/>
              </w:rPr>
            </w:pPr>
            <w:r>
              <w:rPr>
                <w:rFonts w:ascii="Arial" w:cs="Arial" w:eastAsia="Arial" w:hAnsi="Arial"/>
                <w:sz w:val="18"/>
                <w:szCs w:val="18"/>
                <w:b w:val="1"/>
                <w:bCs w:val="1"/>
                <w:color w:val="auto"/>
                <w:w w:val="90"/>
              </w:rPr>
              <w:t>j(Address of Principal Executive Offices)</w:t>
            </w:r>
          </w:p>
        </w:tc>
        <w:tc>
          <w:tcPr>
            <w:tcW w:w="1680" w:type="dxa"/>
            <w:vAlign w:val="bottom"/>
          </w:tcPr>
          <w:p>
            <w:pPr>
              <w:spacing w:after="0"/>
              <w:rPr>
                <w:sz w:val="20"/>
                <w:szCs w:val="20"/>
                <w:color w:val="auto"/>
              </w:rPr>
            </w:pPr>
          </w:p>
        </w:tc>
        <w:tc>
          <w:tcPr>
            <w:tcW w:w="318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(646) 525-4319</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18 East 16th Street, 7th Floor, New York, New York 10003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40"/>
          </w:cols>
          <w:pgMar w:left="240" w:top="351" w:right="21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160" w:space="720"/>
            <w:col w:w="4400" w:space="720"/>
            <w:col w:w="2140" w:space="720"/>
            <w:col w:w="580"/>
          </w:cols>
          <w:pgMar w:left="240" w:top="351" w:right="21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5">
            <w:col w:w="2160" w:space="720"/>
            <w:col w:w="160" w:space="80"/>
            <w:col w:w="4160" w:space="720"/>
            <w:col w:w="2140" w:space="720"/>
            <w:col w:w="580"/>
          </w:cols>
          <w:pgMar w:left="240" w:top="351" w:right="219" w:bottom="1440" w:gutter="0" w:footer="0" w:header="0"/>
          <w:type w:val="continuous"/>
        </w:sectPr>
      </w:pPr>
    </w:p>
    <w:p>
      <w:pPr>
        <w:spacing w:after="0" w:line="16"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820" w:space="180"/>
            <w:col w:w="2440"/>
          </w:cols>
          <w:pgMar w:left="240" w:top="351" w:right="21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14, 2011, 6,229,362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80" w:type="dxa"/>
            <w:vAlign w:val="bottom"/>
          </w:tcPr>
          <w:p>
            <w:pPr>
              <w:jc w:val="center"/>
              <w:ind w:right="510"/>
              <w:spacing w:after="0"/>
              <w:rPr>
                <w:sz w:val="20"/>
                <w:szCs w:val="20"/>
                <w:color w:val="auto"/>
              </w:rPr>
            </w:pPr>
            <w:r>
              <w:rPr>
                <w:rFonts w:ascii="Arial" w:cs="Arial" w:eastAsia="Arial" w:hAnsi="Arial"/>
                <w:sz w:val="18"/>
                <w:szCs w:val="18"/>
                <w:b w:val="1"/>
                <w:bCs w:val="1"/>
                <w:color w:val="auto"/>
              </w:rPr>
              <w:t>VRINGO,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8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680" w:type="dxa"/>
            <w:vAlign w:val="bottom"/>
            <w:shd w:val="clear" w:color="auto" w:fill="CCFFCC"/>
          </w:tcPr>
          <w:p>
            <w:pPr>
              <w:ind w:left="540"/>
              <w:spacing w:after="0"/>
              <w:rPr>
                <w:sz w:val="20"/>
                <w:szCs w:val="20"/>
                <w:color w:val="auto"/>
              </w:rPr>
            </w:pPr>
            <w:r>
              <w:rPr>
                <w:rFonts w:ascii="Arial" w:cs="Arial" w:eastAsia="Arial" w:hAnsi="Arial"/>
                <w:sz w:val="18"/>
                <w:szCs w:val="18"/>
                <w:color w:val="auto"/>
              </w:rPr>
              <w:t>Financial Statements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tcPr>
          <w:p>
            <w:pPr>
              <w:ind w:left="5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680" w:type="dxa"/>
            <w:vAlign w:val="bottom"/>
            <w:shd w:val="clear" w:color="auto" w:fill="CCFFCC"/>
          </w:tcPr>
          <w:p>
            <w:pPr>
              <w:ind w:left="54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4T.</w:t>
            </w:r>
          </w:p>
        </w:tc>
        <w:tc>
          <w:tcPr>
            <w:tcW w:w="9680" w:type="dxa"/>
            <w:vAlign w:val="bottom"/>
          </w:tcPr>
          <w:p>
            <w:pPr>
              <w:ind w:left="54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96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tcPr>
          <w:p>
            <w:pPr>
              <w:ind w:left="54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680" w:type="dxa"/>
            <w:vAlign w:val="bottom"/>
            <w:shd w:val="clear" w:color="auto" w:fill="CCFFCC"/>
          </w:tcPr>
          <w:p>
            <w:pPr>
              <w:ind w:left="54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tcPr>
          <w:p>
            <w:pPr>
              <w:ind w:left="54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680" w:type="dxa"/>
            <w:vAlign w:val="bottom"/>
            <w:shd w:val="clear" w:color="auto" w:fill="CCFFCC"/>
          </w:tcPr>
          <w:p>
            <w:pPr>
              <w:ind w:left="54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tcPr>
          <w:p>
            <w:pPr>
              <w:ind w:left="540"/>
              <w:spacing w:after="0"/>
              <w:rPr>
                <w:sz w:val="20"/>
                <w:szCs w:val="20"/>
                <w:color w:val="auto"/>
              </w:rPr>
            </w:pPr>
            <w:r>
              <w:rPr>
                <w:rFonts w:ascii="Arial" w:cs="Arial" w:eastAsia="Arial" w:hAnsi="Arial"/>
                <w:sz w:val="18"/>
                <w:szCs w:val="18"/>
                <w:color w:val="auto"/>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680" w:type="dxa"/>
            <w:vAlign w:val="bottom"/>
            <w:shd w:val="clear" w:color="auto" w:fill="CCFFCC"/>
          </w:tcPr>
          <w:p>
            <w:pPr>
              <w:ind w:left="54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80" w:type="dxa"/>
            <w:vAlign w:val="bottom"/>
          </w:tcPr>
          <w:p>
            <w:pPr>
              <w:jc w:val="center"/>
              <w:ind w:right="530"/>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96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00" w:type="dxa"/>
            <w:vAlign w:val="bottom"/>
          </w:tcPr>
          <w:p>
            <w:pPr>
              <w:jc w:val="center"/>
              <w:ind w:left="1610"/>
              <w:spacing w:after="0"/>
              <w:rPr>
                <w:sz w:val="20"/>
                <w:szCs w:val="20"/>
                <w:color w:val="auto"/>
              </w:rPr>
            </w:pPr>
            <w:r>
              <w:rPr>
                <w:rFonts w:ascii="Arial" w:cs="Arial" w:eastAsia="Arial" w:hAnsi="Arial"/>
                <w:sz w:val="18"/>
                <w:szCs w:val="18"/>
                <w:b w:val="1"/>
                <w:bCs w:val="1"/>
                <w:color w:val="auto"/>
              </w:rPr>
              <w:t>Part I — FINANCIAL INFORMATION</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Vringo, Inc. and Subsidiary</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00" w:type="dxa"/>
            <w:vAlign w:val="bottom"/>
          </w:tcPr>
          <w:p>
            <w:pPr>
              <w:jc w:val="center"/>
              <w:ind w:left="1610"/>
              <w:spacing w:after="0"/>
              <w:rPr>
                <w:sz w:val="20"/>
                <w:szCs w:val="20"/>
                <w:color w:val="auto"/>
              </w:rPr>
            </w:pPr>
            <w:r>
              <w:rPr>
                <w:rFonts w:ascii="Arial" w:cs="Arial" w:eastAsia="Arial" w:hAnsi="Arial"/>
                <w:sz w:val="18"/>
                <w:szCs w:val="18"/>
                <w:b w:val="1"/>
                <w:bCs w:val="1"/>
                <w:color w:val="auto"/>
                <w:w w:val="89"/>
              </w:rPr>
              <w:t>(a Development Stage Company)</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0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CONSOLIDATED BALANCE SHEETS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0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16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1,713</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Short-term deposit (restricted)</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92</w:t>
            </w:r>
          </w:p>
        </w:tc>
        <w:tc>
          <w:tcPr>
            <w:tcW w:w="20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current assets</w:t>
            </w: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2,084</w:t>
            </w:r>
          </w:p>
        </w:tc>
        <w:tc>
          <w:tcPr>
            <w:tcW w:w="20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Long-term deposit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7900" w:type="dxa"/>
            <w:vAlign w:val="bottom"/>
            <w:shd w:val="clear" w:color="auto" w:fill="CCFFCC"/>
          </w:tcPr>
          <w:p>
            <w:pPr>
              <w:spacing w:after="0"/>
              <w:rPr>
                <w:sz w:val="2"/>
                <w:szCs w:val="2"/>
                <w:color w:val="auto"/>
              </w:rPr>
            </w:pPr>
          </w:p>
        </w:tc>
        <w:tc>
          <w:tcPr>
            <w:tcW w:w="1160" w:type="dxa"/>
            <w:vAlign w:val="bottom"/>
            <w:tcBorders>
              <w:right w:val="single" w:sz="8" w:color="CCFFCC"/>
            </w:tcBorders>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3"/>
              </w:rPr>
              <w:t>Property and equipment</w:t>
            </w:r>
            <w:r>
              <w:rPr>
                <w:rFonts w:ascii="Arial" w:cs="Arial" w:eastAsia="Arial" w:hAnsi="Arial"/>
                <w:sz w:val="18"/>
                <w:szCs w:val="18"/>
                <w:color w:val="auto"/>
                <w:w w:val="93"/>
              </w:rPr>
              <w:t>, at cost, net of $449 and $393 accumulated depreciation and amortization, as of September</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154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20" w:type="dxa"/>
            <w:vAlign w:val="bottom"/>
            <w:gridSpan w:val="3"/>
          </w:tcPr>
          <w:p>
            <w:pPr>
              <w:spacing w:after="0"/>
              <w:rPr>
                <w:sz w:val="20"/>
                <w:szCs w:val="20"/>
                <w:color w:val="auto"/>
              </w:rPr>
            </w:pPr>
            <w:r>
              <w:rPr>
                <w:rFonts w:ascii="Arial" w:cs="Arial" w:eastAsia="Arial" w:hAnsi="Arial"/>
                <w:sz w:val="18"/>
                <w:szCs w:val="18"/>
                <w:color w:val="auto"/>
              </w:rPr>
              <w:t>30, 2011 and December 31, 2010, respectively</w:t>
            </w:r>
          </w:p>
        </w:tc>
        <w:tc>
          <w:tcPr>
            <w:tcW w:w="1360" w:type="dxa"/>
            <w:vAlign w:val="bottom"/>
            <w:gridSpan w:val="2"/>
            <w:vMerge w:val="continue"/>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Deferred tax assets—long-term</w:t>
            </w:r>
          </w:p>
        </w:tc>
        <w:tc>
          <w:tcPr>
            <w:tcW w:w="116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w w:val="84"/>
              </w:rPr>
              <w:t>Total assets</w:t>
            </w:r>
          </w:p>
        </w:tc>
        <w:tc>
          <w:tcPr>
            <w:tcW w:w="79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2,272</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Note</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Deferred short-term tax liabilities,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567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Accrued employee compensation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Convertible notes</w:t>
            </w:r>
          </w:p>
        </w:tc>
        <w:tc>
          <w:tcPr>
            <w:tcW w:w="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2,447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Accrued short-term severance pay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maturities of venture loan</w:t>
            </w:r>
          </w:p>
        </w:tc>
        <w:tc>
          <w:tcPr>
            <w:tcW w:w="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Accrued severance pay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Venture loan</w:t>
            </w:r>
          </w:p>
        </w:tc>
        <w:tc>
          <w:tcPr>
            <w:tcW w:w="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Derivative liabilities on account of warrants</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long-term liabilities</w:t>
            </w:r>
          </w:p>
        </w:tc>
        <w:tc>
          <w:tcPr>
            <w:tcW w:w="2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2,326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FFCC"/>
            </w:tcBorders>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6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7</w:t>
            </w: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Deficit in stockholders' equity</w:t>
            </w:r>
          </w:p>
        </w:tc>
        <w:tc>
          <w:tcPr>
            <w:tcW w:w="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$0.01 par value per share; 5,000,000 authorized; none issued and outstanding as of</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spacing w:after="0"/>
              <w:rPr>
                <w:sz w:val="20"/>
                <w:szCs w:val="20"/>
                <w:color w:val="auto"/>
              </w:rPr>
            </w:pPr>
            <w:r>
              <w:rPr>
                <w:rFonts w:ascii="Arial" w:cs="Arial" w:eastAsia="Arial" w:hAnsi="Arial"/>
                <w:sz w:val="18"/>
                <w:szCs w:val="18"/>
                <w:color w:val="auto"/>
              </w:rPr>
              <w:t>September 30, 2011 and December 31, 2010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Common stock, $0.01 par value per share 28,000,000 authorized; 6,163,196 and 5,405,080 issued</w:t>
            </w:r>
          </w:p>
        </w:tc>
        <w:tc>
          <w:tcPr>
            <w:tcW w:w="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62</w:t>
            </w: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and outstanding as of September 30, 2011 and December 31, 2010 respectively</w:t>
            </w:r>
          </w:p>
        </w:tc>
        <w:tc>
          <w:tcPr>
            <w:tcW w:w="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gridSpan w:val="2"/>
            <w:vMerge w:val="continue"/>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31,275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(34,730</w:t>
            </w: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(3,393</w:t>
            </w: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right="2240" w:hanging="2492"/>
        <w:spacing w:after="0" w:line="624" w:lineRule="auto"/>
        <w:tabs>
          <w:tab w:leader="none" w:pos="489" w:val="left"/>
        </w:tabs>
        <w:numPr>
          <w:ilvl w:val="0"/>
          <w:numId w:val="3"/>
        </w:numPr>
        <w:rPr>
          <w:rFonts w:ascii="Arial" w:cs="Arial" w:eastAsia="Arial" w:hAnsi="Arial"/>
          <w:sz w:val="16"/>
          <w:szCs w:val="16"/>
          <w:color w:val="auto"/>
        </w:rPr>
      </w:pPr>
      <w:r>
        <w:rPr>
          <w:rFonts w:ascii="Arial" w:cs="Arial" w:eastAsia="Arial" w:hAnsi="Arial"/>
          <w:sz w:val="16"/>
          <w:szCs w:val="16"/>
          <w:color w:val="auto"/>
        </w:rPr>
        <w:t>Amounts recorded as of September 30, 2011 and December 31, 2010, include $2 and $20 to a related party, respectively. The accompanying notes form an integral part of these consolidated financial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ind w:left="4680"/>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1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7"/>
              </w:rPr>
              <w:t>Three months ended September 30,</w:t>
            </w:r>
          </w:p>
        </w:tc>
        <w:tc>
          <w:tcPr>
            <w:tcW w:w="27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8"/>
              </w:rPr>
              <w:t>Nine months ended September 30,</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7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182</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556</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revenue</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480</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668</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1,459</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Marketing</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517</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721</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478</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2,076</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1,699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1, 727</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5,409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4,795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(1,517</w:t>
            </w:r>
            <w:r>
              <w:rPr>
                <w:rFonts w:ascii="Arial" w:cs="Arial" w:eastAsia="Arial" w:hAnsi="Arial"/>
                <w:sz w:val="18"/>
                <w:szCs w:val="18"/>
                <w:color w:val="auto"/>
              </w:rPr>
              <w:t>)</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(1, 673)</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(4,853</w:t>
            </w:r>
            <w:r>
              <w:rPr>
                <w:rFonts w:ascii="Arial" w:cs="Arial" w:eastAsia="Arial" w:hAnsi="Arial"/>
                <w:sz w:val="18"/>
                <w:szCs w:val="18"/>
                <w:color w:val="auto"/>
              </w:rPr>
              <w:t>)</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(4,667)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w:t>
            </w:r>
          </w:p>
        </w:tc>
        <w:tc>
          <w:tcPr>
            <w:tcW w:w="17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Non-operating expenses</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w:t>
            </w: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w:t>
            </w: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Interest and amortization of debt discount expense</w:t>
            </w:r>
          </w:p>
        </w:tc>
        <w:tc>
          <w:tcPr>
            <w:tcW w:w="17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(40</w:t>
            </w:r>
            <w:r>
              <w:rPr>
                <w:rFonts w:ascii="Arial" w:cs="Arial" w:eastAsia="Arial" w:hAnsi="Arial"/>
                <w:sz w:val="18"/>
                <w:szCs w:val="18"/>
                <w:color w:val="auto"/>
              </w:rPr>
              <w:t>)</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(155)</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(267</w:t>
            </w:r>
            <w:r>
              <w:rPr>
                <w:rFonts w:ascii="Arial" w:cs="Arial" w:eastAsia="Arial" w:hAnsi="Arial"/>
                <w:sz w:val="18"/>
                <w:szCs w:val="18"/>
                <w:color w:val="auto"/>
              </w:rPr>
              <w:t>)</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(4,164)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Gain (loss) on revaluation of warrants</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(431</w:t>
            </w: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(966)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(386</w:t>
            </w: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Gain on restructuring of venture loan</w:t>
            </w:r>
          </w:p>
        </w:tc>
        <w:tc>
          <w:tcPr>
            <w:tcW w:w="2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963</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Loss before taxes on income</w:t>
            </w: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(2,818)</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(4,579</w:t>
            </w: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(9,389)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(40</w:t>
            </w:r>
            <w:r>
              <w:rPr>
                <w:rFonts w:ascii="Arial" w:cs="Arial" w:eastAsia="Arial" w:hAnsi="Arial"/>
                <w:sz w:val="18"/>
                <w:szCs w:val="18"/>
                <w:color w:val="auto"/>
              </w:rPr>
              <w:t>)</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(84</w:t>
            </w:r>
            <w:r>
              <w:rPr>
                <w:rFonts w:ascii="Arial" w:cs="Arial" w:eastAsia="Arial" w:hAnsi="Arial"/>
                <w:sz w:val="18"/>
                <w:szCs w:val="18"/>
                <w:color w:val="auto"/>
              </w:rPr>
              <w:t>)</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(2,050</w:t>
            </w:r>
            <w:r>
              <w:rPr>
                <w:rFonts w:ascii="Arial" w:cs="Arial" w:eastAsia="Arial" w:hAnsi="Arial"/>
                <w:sz w:val="18"/>
                <w:szCs w:val="18"/>
                <w:color w:val="auto"/>
              </w:rPr>
              <w:t>)</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(2,832)</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(4,663</w:t>
            </w:r>
            <w:r>
              <w:rPr>
                <w:rFonts w:ascii="Arial" w:cs="Arial" w:eastAsia="Arial" w:hAnsi="Arial"/>
                <w:sz w:val="18"/>
                <w:szCs w:val="18"/>
                <w:color w:val="auto"/>
              </w:rPr>
              <w:t>)</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(9,441)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(34,730)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(0.32</w:t>
            </w: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(0.78</w:t>
            </w: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w w:val="94"/>
              </w:rPr>
              <w:t>Weighted average number of shares used in computing</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basic and dilutive net loss per common share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6,362,046</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5,574,992</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5,969,225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2,276,447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1,374,461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recorded for the three and nine months ending September 30, 2011 and 2010 and the cumulative period from inception include $49, $211, $154, $325 and $1,262, respectively, to related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Deficit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Series 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accumulated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convertible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during the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preferred</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Common stock</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paid-in 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stage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Issuance of series A convertible preferred stock, net of</w:t>
            </w: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issuance costs of $33</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2,321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 dividend</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Balance as of December 31, 2006 (Audited)</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2,288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Issuance of common stock as part of conversion of convertible</w:t>
            </w:r>
          </w:p>
        </w:tc>
        <w:tc>
          <w:tcPr>
            <w:tcW w:w="118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loan</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Discounts to temporary equity</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 for the year</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(5,163)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2007 (Audited)</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2,578</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(6,644)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(4,020)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Issuance of warrants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 for the year</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(7,332)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Deficit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Series 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accumulated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convertible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during the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preferred</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Common stock</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paid-in 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stage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2008 (Audited)</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2,960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(13,976)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(10,970)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Issuance of warrants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Loan modification</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Grants of stock options, net of forfeiture—non 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year</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(6,149)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Balance as of December 31, 2009 (Audited)</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3,701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w w:val="98"/>
              </w:rPr>
              <w:t>Issuance of common stock, net of issuance costs of $1,768</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9,239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5"/>
              </w:rPr>
              <w:t>Exchange of series A convertible preferred stock for common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stock</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Conversion of Bridge notes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2,536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883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 to charity</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Grants of warrants to lead investors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Grants of warrants to charity</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 dividend</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Reverse stock split</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5"/>
              </w:rPr>
              <w:t>Exchange of series B convertible preferred stock for common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stock</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11,925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Cashless exercise of warrants to charity</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 for the year</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(9,942)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2010 (Audited)</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29,774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(30,067)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warrants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to a consultant</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5"/>
              </w:rPr>
              <w:t>Issuance of shares in connection with restructuring of venture</w:t>
            </w: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210</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loan</w:t>
            </w:r>
          </w:p>
        </w:tc>
        <w:tc>
          <w:tcPr>
            <w:tcW w:w="142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Grants of warrants to charity</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Beneficial conversion feature recorded in connection with</w:t>
            </w:r>
          </w:p>
        </w:tc>
        <w:tc>
          <w:tcPr>
            <w:tcW w:w="1420" w:type="dxa"/>
            <w:vAlign w:val="bottom"/>
            <w:gridSpan w:val="2"/>
            <w:vMerge w:val="restart"/>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89</w:t>
            </w:r>
          </w:p>
        </w:tc>
        <w:tc>
          <w:tcPr>
            <w:tcW w:w="20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 payable</w:t>
            </w:r>
          </w:p>
        </w:tc>
        <w:tc>
          <w:tcPr>
            <w:tcW w:w="1420" w:type="dxa"/>
            <w:vAlign w:val="bottom"/>
            <w:gridSpan w:val="2"/>
            <w:vMerge w:val="continue"/>
            <w:shd w:val="clear" w:color="auto" w:fill="CCFFCC"/>
          </w:tcPr>
          <w:p>
            <w:pPr>
              <w:spacing w:after="0"/>
              <w:rPr>
                <w:sz w:val="20"/>
                <w:szCs w:val="20"/>
                <w:color w:val="auto"/>
              </w:rPr>
            </w:pPr>
          </w:p>
        </w:tc>
        <w:tc>
          <w:tcPr>
            <w:tcW w:w="1360" w:type="dxa"/>
            <w:vAlign w:val="bottom"/>
            <w:gridSpan w:val="2"/>
            <w:vMerge w:val="continue"/>
            <w:shd w:val="clear" w:color="auto" w:fill="CCFFCC"/>
          </w:tcPr>
          <w:p>
            <w:pPr>
              <w:spacing w:after="0"/>
              <w:rPr>
                <w:sz w:val="20"/>
                <w:szCs w:val="20"/>
                <w:color w:val="auto"/>
              </w:rPr>
            </w:pPr>
          </w:p>
        </w:tc>
        <w:tc>
          <w:tcPr>
            <w:tcW w:w="1140" w:type="dxa"/>
            <w:vAlign w:val="bottom"/>
            <w:vMerge w:val="continue"/>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60" w:type="dxa"/>
            <w:vAlign w:val="bottom"/>
            <w:gridSpan w:val="2"/>
            <w:vMerge w:val="continue"/>
            <w:shd w:val="clear" w:color="auto" w:fill="CCFFCC"/>
          </w:tcPr>
          <w:p>
            <w:pPr>
              <w:spacing w:after="0"/>
              <w:rPr>
                <w:sz w:val="20"/>
                <w:szCs w:val="20"/>
                <w:color w:val="auto"/>
              </w:rPr>
            </w:pPr>
          </w:p>
        </w:tc>
        <w:tc>
          <w:tcPr>
            <w:tcW w:w="1240" w:type="dxa"/>
            <w:vAlign w:val="bottom"/>
            <w:gridSpan w:val="2"/>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(4,663</w:t>
            </w: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(4,663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September 30, 2011 (Unaudited)</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31,275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(34,730</w:t>
            </w: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(3,393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9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Nine months ended September 30,</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2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(4,663</w:t>
            </w: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(9,441)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(34,730)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25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56</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accrued severance pay</w:t>
            </w:r>
          </w:p>
        </w:tc>
        <w:tc>
          <w:tcPr>
            <w:tcW w:w="2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(179</w:t>
            </w:r>
            <w:r>
              <w:rPr>
                <w:rFonts w:ascii="Arial" w:cs="Arial" w:eastAsia="Arial" w:hAnsi="Arial"/>
                <w:sz w:val="18"/>
                <w:szCs w:val="18"/>
                <w:color w:val="auto"/>
              </w:rPr>
              <w:t>)</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1,202</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2,108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 expense</w:t>
            </w:r>
          </w:p>
        </w:tc>
        <w:tc>
          <w:tcPr>
            <w:tcW w:w="25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98</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2,457</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(gain) on revaluation of warrants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386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518</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Gain on restructuring of venture loan</w:t>
            </w:r>
          </w:p>
        </w:tc>
        <w:tc>
          <w:tcPr>
            <w:tcW w:w="2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(963</w:t>
            </w:r>
            <w:r>
              <w:rPr>
                <w:rFonts w:ascii="Arial" w:cs="Arial" w:eastAsia="Arial" w:hAnsi="Arial"/>
                <w:sz w:val="18"/>
                <w:szCs w:val="18"/>
                <w:color w:val="auto"/>
              </w:rPr>
              <w:t>)</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discount in connection with convertible notes</w:t>
            </w:r>
          </w:p>
        </w:tc>
        <w:tc>
          <w:tcPr>
            <w:tcW w:w="25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36</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Exchange rate (gains) losses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Increase in receivables, prepaid expenses and other current assets</w:t>
            </w:r>
          </w:p>
        </w:tc>
        <w:tc>
          <w:tcPr>
            <w:tcW w:w="2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(122</w:t>
            </w: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payables and accruals</w:t>
            </w:r>
          </w:p>
        </w:tc>
        <w:tc>
          <w:tcPr>
            <w:tcW w:w="11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43</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(297)</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(4,094</w:t>
            </w: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(4,734)</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2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(32</w:t>
            </w: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lease deposits</w:t>
            </w:r>
          </w:p>
        </w:tc>
        <w:tc>
          <w:tcPr>
            <w:tcW w:w="25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Proceeds from (investment in) restricted short-term deposits</w:t>
            </w:r>
          </w:p>
        </w:tc>
        <w:tc>
          <w:tcPr>
            <w:tcW w:w="1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2,582</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(used in) investing activities</w:t>
            </w:r>
          </w:p>
        </w:tc>
        <w:tc>
          <w:tcPr>
            <w:tcW w:w="11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(31</w:t>
            </w:r>
            <w:r>
              <w:rPr>
                <w:rFonts w:ascii="Arial" w:cs="Arial" w:eastAsia="Arial" w:hAnsi="Arial"/>
                <w:sz w:val="18"/>
                <w:szCs w:val="18"/>
                <w:color w:val="auto"/>
              </w:rPr>
              <w:t>)</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2,517</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66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Nine months ended September 30,</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Receipt of venture loan</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Receipt of convertible notes</w:t>
            </w:r>
          </w:p>
        </w:tc>
        <w:tc>
          <w:tcPr>
            <w:tcW w:w="2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2,500</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Repayment on account of venture loan</w:t>
            </w:r>
          </w:p>
        </w:tc>
        <w:tc>
          <w:tcPr>
            <w:tcW w:w="2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(2,085</w:t>
            </w: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and warrants, net</w:t>
            </w:r>
          </w:p>
        </w:tc>
        <w:tc>
          <w:tcPr>
            <w:tcW w:w="8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9,263</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Issuance of warrants</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Receipt of convertible loans</w:t>
            </w:r>
          </w:p>
        </w:tc>
        <w:tc>
          <w:tcPr>
            <w:tcW w:w="8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Issuance of convertible preferred stock</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Exercise of common stock options and warrants</w:t>
            </w:r>
          </w:p>
        </w:tc>
        <w:tc>
          <w:tcPr>
            <w:tcW w:w="8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8,856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(3,694</w:t>
            </w: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6,650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5,407</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744</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7,394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8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paid</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151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8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Extinguishment of debt</w:t>
            </w:r>
          </w:p>
        </w:tc>
        <w:tc>
          <w:tcPr>
            <w:tcW w:w="8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Allocation of fair value of loan warrants</w:t>
            </w:r>
          </w:p>
        </w:tc>
        <w:tc>
          <w:tcPr>
            <w:tcW w:w="8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Allocation of fair value of conversion warrants</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1,564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8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11,971</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Conversion of bridge notes into common stock</w:t>
            </w:r>
          </w:p>
        </w:tc>
        <w:tc>
          <w:tcPr>
            <w:tcW w:w="8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2,545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8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in consideration of restructuring of venture loan</w:t>
            </w:r>
          </w:p>
        </w:tc>
        <w:tc>
          <w:tcPr>
            <w:tcW w:w="2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213</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Beneficial conversion feature recorded in connection with convertible notes</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engaged in developing software platforms and applications for mobile phones. The Company provides a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is still significant doubt as to the ability of the Company to continue operating as a "going concern". The Company has incurred significant losses since its inception and expects that it will continue to operate at a net loss in the foreseeable future. For the three and nine month periods ended September 30, 2011 and for the cumulative period from inception until September 30, 2011, the Company incurred net losses of $2.0 million, $4.7 million and $34.7 million, respectively. The Company's deficit in stockholders' equity as of September 30, 2011 was $3.4 million.</w:t>
      </w:r>
    </w:p>
    <w:p>
      <w:pPr>
        <w:spacing w:after="0" w:line="19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July 2011, the Company raised an aggregate amount of $2.5 million through the issuance of convertible notes (“Convertible Notes”) in a private placement and intends to seek additional financing (see Note 4). In November 2011, the Company filed a preliminary proxy statement to obtain stockholder approval of the shares issuable in the private placement and the additional financing pursuant to section 713 of the NYSE Amex rules, since such shares in the aggregate are in excess of 19.99% of the Company’s outstanding common stock (see Note 9b). There is no assurance that the subsequent financing will be consummated. Should the subsequent financing be consummated and the Convertible Notes be converted, the Company believes it would have sufficient funds to meet planned operating needs at least into the second quarter of 2012. Should the subsequent financing not be consummated by January 1, 2012 and the Convertible Notes are voluntarily converted before such date, the Company believes it would then have sufficient funds to meet planned operating needs only into the first quarter of 2012. Should the subsequent financing not be consummated by January 1, 2012 and the Convertible Notes have not been voluntarily converted before such date, the Convertible Notes and the accrued interest thereon will become due and payable. The Company does not currently have sufficient funds to repay the Convertible Notes and the accrued interest due upon maturity. The Company is exploring further opportunities, including acquisitions, to raise funds necessary to ensure that the Company is a going concern. There can be no assurance, however, that any such opportunities will materialize.</w:t>
      </w:r>
    </w:p>
    <w:p>
      <w:pPr>
        <w:spacing w:after="0" w:line="20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14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approximately $397 thousand of the Company's net assets were located outside of the United States.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generally accepted accounting principles in the United States of America ("U.S. GAAP"). All significant intercompany balances and transactions have been eliminated in consolidation.</w:t>
      </w:r>
    </w:p>
    <w:p>
      <w:pPr>
        <w:spacing w:after="0" w:line="181"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These financial statements should be read in conjunction with the consolidated financial statements and related notes for the year ended December 31, 2010. The results of operations for the three and nine month period ended September 30, 2011 are not necessarily indicative of the results that may be expected for the entire fiscal year or for any other interim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At September 30, 2011, the exchange rate was U.S. $1 = NIS 3.712 (December 31, 2010—U.S. $1 = NIS 3.549). The average exchange rate for the three and nine months ended September 30, 2011 was U.S. $1 = 3.548 NIS and U.S. $1 = 3.530 NIS, respectively (three and nine months ended September 30, 2010— U.S. $1 = NIS 3.794 and U.S. $1 = NIS 3.778, respectively).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and liabilities, valuation of warrants, valuation of common stock share-based compensation, income tax uncertainties and other contingencies. The current economic environment has increased the degree of uncertainty inherent in those estimates and assumptions.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Accounting for share-based compensation</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Share-based compensation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fair value of stock options granted to management, employees and directors (except for the $5.50 options granted in 2010 and in 2011) is estimated at the date of grant using the Black-Scholes-Merton option-pricing model, which takes into consideration the share price at the date of grant, the exercise price of the option, the expected life of the option, risk-free interest rate, expected dividend and the expected volatility. The fair value of the stock options granted to management, employees and directors at an exercise price of $5.50 was valued using the Lattice model, which takes into consideration the share price at the date of grant, the exercise price of the option, the expected life of the option, risk free interest rate, expected dividend, and the expected volatility. The Company uses the Lattice option pricing model for the valuation of options that are not plain vanilla that are issued to management, employees and directors.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fair value of stock options granted to consultants is estimated at the date of grant using the Black-Scholes-Merton option-pricing model. In cases where no measurement date has been reached nor is there a counter-party performance commitment, the options are revalued at the reporting date. The options are valued using the share price, the exercise price of the option, the expected life of the option, risk-free interest rates and the expected volatility, at the reporting period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Impact of new accounting standards not yet adopted</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May 2011, the FASB issued guidance to amend the accounting and disclosure requirements on fair value measurements (ASU 2011-04). The new guidance limits the highest-and-best-use measure to nonfinancial assets, permits certain financial assets and liabilities with offsetting positions in market or counterparty credit risks to be measured at a net basis, and provides guidance on the applicability of premiums and discounts. Additionally, the new guidance expands the disclosures on Level 3 inputs by requiring quantitative disclosure of the unobservable inputs and assumptions, as well as description of the valuation processes and the sensitivity of the fair value to changes in unobservable inputs. The new guidance will be effective beginning January 1, 2012. The Company does not anticipate a material impact on its financial statements upon adoption of the new requirements.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Net loss per share data</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7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0"/>
              </w:rPr>
              <w:t>Three months ended September</w:t>
            </w:r>
          </w:p>
        </w:tc>
        <w:tc>
          <w:tcPr>
            <w:tcW w:w="27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except share and</w:t>
            </w:r>
          </w:p>
        </w:tc>
        <w:tc>
          <w:tcPr>
            <w:tcW w:w="15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1"/>
              </w:rPr>
              <w:t>per share data)</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loss attributable to common stock shares (basic and</w:t>
            </w:r>
          </w:p>
        </w:tc>
        <w:tc>
          <w:tcPr>
            <w:tcW w:w="142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(2,050</w:t>
            </w:r>
            <w:r>
              <w:rPr>
                <w:rFonts w:ascii="Arial" w:cs="Arial" w:eastAsia="Arial" w:hAnsi="Arial"/>
                <w:sz w:val="18"/>
                <w:szCs w:val="18"/>
                <w:color w:val="auto"/>
              </w:rPr>
              <w:t>)</w:t>
            </w: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40" w:type="dxa"/>
            <w:vAlign w:val="bottom"/>
            <w:gridSpan w:val="2"/>
            <w:vMerge w:val="restart"/>
            <w:shd w:val="clear" w:color="auto" w:fill="CCFFCC"/>
          </w:tcPr>
          <w:p>
            <w:pPr>
              <w:jc w:val="right"/>
              <w:ind w:right="50"/>
              <w:spacing w:after="0"/>
              <w:rPr>
                <w:sz w:val="20"/>
                <w:szCs w:val="20"/>
                <w:color w:val="auto"/>
              </w:rPr>
            </w:pPr>
            <w:r>
              <w:rPr>
                <w:rFonts w:ascii="Arial" w:cs="Arial" w:eastAsia="Arial" w:hAnsi="Arial"/>
                <w:sz w:val="18"/>
                <w:szCs w:val="18"/>
                <w:b w:val="1"/>
                <w:bCs w:val="1"/>
                <w:color w:val="auto"/>
              </w:rPr>
              <w:t>(4,663</w:t>
            </w:r>
            <w:r>
              <w:rPr>
                <w:rFonts w:ascii="Arial" w:cs="Arial" w:eastAsia="Arial" w:hAnsi="Arial"/>
                <w:sz w:val="18"/>
                <w:szCs w:val="18"/>
                <w:color w:val="auto"/>
              </w:rPr>
              <w:t>)</w:t>
            </w: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diluted)</w:t>
            </w:r>
          </w:p>
        </w:tc>
        <w:tc>
          <w:tcPr>
            <w:tcW w:w="1420" w:type="dxa"/>
            <w:vAlign w:val="bottom"/>
            <w:gridSpan w:val="2"/>
            <w:vMerge w:val="continue"/>
            <w:shd w:val="clear" w:color="auto" w:fill="CCFFCC"/>
          </w:tcPr>
          <w:p>
            <w:pPr>
              <w:spacing w:after="0"/>
              <w:rPr>
                <w:sz w:val="20"/>
                <w:szCs w:val="20"/>
                <w:color w:val="auto"/>
              </w:rPr>
            </w:pP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(2,832)</w:t>
            </w:r>
          </w:p>
        </w:tc>
        <w:tc>
          <w:tcPr>
            <w:tcW w:w="1340" w:type="dxa"/>
            <w:vAlign w:val="bottom"/>
            <w:gridSpan w:val="2"/>
            <w:vMerge w:val="continue"/>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(9,441)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common stock shares outstanding</w:t>
            </w:r>
          </w:p>
        </w:tc>
        <w:tc>
          <w:tcPr>
            <w:tcW w:w="116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6,133,530</w:t>
            </w: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5,816,215</w:t>
            </w:r>
          </w:p>
        </w:tc>
        <w:tc>
          <w:tcPr>
            <w:tcW w:w="2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during the period (basic and diluted)</w:t>
            </w:r>
          </w:p>
        </w:tc>
        <w:tc>
          <w:tcPr>
            <w:tcW w:w="1160" w:type="dxa"/>
            <w:vAlign w:val="bottom"/>
            <w:vMerge w:val="continue"/>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5,092,278</w:t>
            </w:r>
          </w:p>
        </w:tc>
        <w:tc>
          <w:tcPr>
            <w:tcW w:w="1140" w:type="dxa"/>
            <w:vAlign w:val="bottom"/>
            <w:vMerge w:val="continue"/>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2,099,464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1,319,796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2"/>
              </w:rPr>
              <w:t>Weighted average number of penny stock options and warrants</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228,516</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153,010</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1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482,714</w:t>
            </w:r>
          </w:p>
        </w:tc>
        <w:tc>
          <w:tcPr>
            <w:tcW w:w="1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176,983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54,665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and diluted common stock share outstanding</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6,362,046</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5,574,992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5,969,225</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2,276,447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1,374,461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Basic and diluted net losses per common stock share</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(0.32</w:t>
            </w:r>
            <w:r>
              <w:rPr>
                <w:rFonts w:ascii="Arial" w:cs="Arial" w:eastAsia="Arial" w:hAnsi="Arial"/>
                <w:sz w:val="18"/>
                <w:szCs w:val="18"/>
                <w:color w:val="auto"/>
              </w:rPr>
              <w:t>)</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(0.51)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(0.78</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Reclassification</w:t>
      </w:r>
    </w:p>
    <w:p>
      <w:pPr>
        <w:spacing w:after="0" w:line="252" w:lineRule="exact"/>
        <w:rPr>
          <w:sz w:val="20"/>
          <w:szCs w:val="20"/>
          <w:color w:val="auto"/>
        </w:rPr>
      </w:pPr>
    </w:p>
    <w:p>
      <w:pPr>
        <w:ind w:left="5620" w:right="5620" w:hanging="5615"/>
        <w:spacing w:after="0" w:line="536" w:lineRule="auto"/>
        <w:rPr>
          <w:sz w:val="20"/>
          <w:szCs w:val="20"/>
          <w:color w:val="auto"/>
        </w:rPr>
      </w:pPr>
      <w:r>
        <w:rPr>
          <w:rFonts w:ascii="Arial" w:cs="Arial" w:eastAsia="Arial" w:hAnsi="Arial"/>
          <w:sz w:val="16"/>
          <w:szCs w:val="16"/>
          <w:color w:val="auto"/>
        </w:rPr>
        <w:t>Certain balances have been reclassified to conform to current year presentation.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measures fair value in accordance with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(formerly SFAS 157,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ASC 820-10 clarifies that fair value is an exit price, representing the amount that would be received to sell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 1 Inputs</w:t>
      </w:r>
      <w:r>
        <w:rPr>
          <w:rFonts w:ascii="Arial" w:cs="Arial" w:eastAsia="Arial" w:hAnsi="Arial"/>
          <w:sz w:val="17"/>
          <w:szCs w:val="17"/>
          <w:color w:val="auto"/>
        </w:rPr>
        <w:t>: Unadjusted quoted prices in active markets for identical assets or liabilities accessible to the reporting entity at the measurement date.</w:t>
      </w:r>
    </w:p>
    <w:p>
      <w:pPr>
        <w:spacing w:after="0" w:line="23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Other than quoted prices included in Level 1 inputs that are observable for the asset or liability, either directly or indirectly, for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term of the asset or liability.</w:t>
      </w:r>
    </w:p>
    <w:p>
      <w:pPr>
        <w:spacing w:after="0" w:line="162"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 xml:space="preserve">Level 3 Inputs: </w:t>
      </w:r>
      <w:r>
        <w:rPr>
          <w:rFonts w:ascii="Arial" w:cs="Arial" w:eastAsia="Arial" w:hAnsi="Arial"/>
          <w:sz w:val="16"/>
          <w:szCs w:val="16"/>
          <w:color w:val="auto"/>
        </w:rPr>
        <w:t>Unobservable inputs for the asset or liability used to measure fair value to the extent that observable inputs are not available. The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hierarchy also requires an entity to maximize the use of observable inputs and minimize the use of unobservable inputs when measuring fair value.</w:t>
      </w:r>
    </w:p>
    <w:p>
      <w:pPr>
        <w:spacing w:after="0" w:line="12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and the Monte-Carlo models (as these warrants include a down-round protection clause, see Note 4) which utilize significant inputs that are unobservable in the market such as the expected stock price volatility, dividend yield, probability and timing of the down-round being triggered and the remaining period of time the warrants will be outstanding before they expire.</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September 30, 2011 and December 31, 2010, aggregated by the level in the fair-value hierarchy within which those measurements fall:</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7"/>
          </w:tcPr>
          <w:p>
            <w:pPr>
              <w:ind w:left="260"/>
              <w:spacing w:after="0"/>
              <w:rPr>
                <w:sz w:val="20"/>
                <w:szCs w:val="20"/>
                <w:color w:val="auto"/>
              </w:rPr>
            </w:pPr>
            <w:r>
              <w:rPr>
                <w:rFonts w:ascii="Arial" w:cs="Arial" w:eastAsia="Arial" w:hAnsi="Arial"/>
                <w:sz w:val="18"/>
                <w:szCs w:val="18"/>
                <w:b w:val="1"/>
                <w:bCs w:val="1"/>
                <w:color w:val="auto"/>
                <w:w w:val="98"/>
              </w:rPr>
              <w:t>Fair value measurement at reporting date using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130"/>
              <w:spacing w:after="0" w:line="198" w:lineRule="exact"/>
              <w:rPr>
                <w:sz w:val="20"/>
                <w:szCs w:val="20"/>
                <w:color w:val="auto"/>
              </w:rPr>
            </w:pPr>
            <w:r>
              <w:rPr>
                <w:rFonts w:ascii="Arial" w:cs="Arial" w:eastAsia="Arial" w:hAnsi="Arial"/>
                <w:sz w:val="18"/>
                <w:szCs w:val="18"/>
                <w:b w:val="1"/>
                <w:bCs w:val="1"/>
                <w:color w:val="auto"/>
                <w:w w:val="88"/>
              </w:rPr>
              <w:t>Quoted prices in</w:t>
            </w: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active markets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Significant other</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for identical</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assets (Level 1)</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7"/>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ind w:left="800"/>
              <w:spacing w:after="0"/>
              <w:rPr>
                <w:sz w:val="20"/>
                <w:szCs w:val="20"/>
                <w:color w:val="auto"/>
              </w:rPr>
            </w:pPr>
            <w:r>
              <w:rPr>
                <w:rFonts w:ascii="Arial" w:cs="Arial" w:eastAsia="Arial" w:hAnsi="Arial"/>
                <w:sz w:val="18"/>
                <w:szCs w:val="18"/>
                <w:b w:val="1"/>
                <w:bCs w:val="1"/>
                <w:color w:val="auto"/>
                <w:w w:val="97"/>
              </w:rPr>
              <w:t>U.S.$</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2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Derivative liabilities on account of warrants</w:t>
            </w:r>
          </w:p>
        </w:tc>
        <w:tc>
          <w:tcPr>
            <w:tcW w:w="26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2,156</w:t>
            </w:r>
          </w:p>
        </w:tc>
        <w:tc>
          <w:tcPr>
            <w:tcW w:w="100" w:type="dxa"/>
            <w:vAlign w:val="bottom"/>
          </w:tcPr>
          <w:p>
            <w:pPr>
              <w:spacing w:after="0"/>
              <w:rPr>
                <w:sz w:val="18"/>
                <w:szCs w:val="18"/>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gridSpan w:val="2"/>
            <w:shd w:val="clear" w:color="auto" w:fill="CCFFCC"/>
          </w:tcPr>
          <w:p>
            <w:pPr>
              <w:spacing w:after="0"/>
              <w:rPr>
                <w:sz w:val="20"/>
                <w:szCs w:val="20"/>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2,156</w:t>
            </w:r>
          </w:p>
        </w:tc>
        <w:tc>
          <w:tcPr>
            <w:tcW w:w="10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520" w:type="dxa"/>
            <w:vAlign w:val="bottom"/>
            <w:gridSpan w:val="3"/>
          </w:tcPr>
          <w:p>
            <w:pPr>
              <w:jc w:val="right"/>
              <w:ind w:right="10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Note 3—Fair Value Measurements—(cont'd)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gridSpan w:val="7"/>
          </w:tcPr>
          <w:p>
            <w:pPr>
              <w:ind w:left="260"/>
              <w:spacing w:after="0"/>
              <w:rPr>
                <w:sz w:val="20"/>
                <w:szCs w:val="20"/>
                <w:color w:val="auto"/>
              </w:rPr>
            </w:pPr>
            <w:r>
              <w:rPr>
                <w:rFonts w:ascii="Arial" w:cs="Arial" w:eastAsia="Arial" w:hAnsi="Arial"/>
                <w:sz w:val="18"/>
                <w:szCs w:val="18"/>
                <w:b w:val="1"/>
                <w:bCs w:val="1"/>
                <w:color w:val="auto"/>
                <w:w w:val="98"/>
              </w:rPr>
              <w:t>Fair value measurement at reporting date using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130"/>
              <w:spacing w:after="0" w:line="198" w:lineRule="exact"/>
              <w:rPr>
                <w:sz w:val="20"/>
                <w:szCs w:val="20"/>
                <w:color w:val="auto"/>
              </w:rPr>
            </w:pPr>
            <w:r>
              <w:rPr>
                <w:rFonts w:ascii="Arial" w:cs="Arial" w:eastAsia="Arial" w:hAnsi="Arial"/>
                <w:sz w:val="18"/>
                <w:szCs w:val="18"/>
                <w:b w:val="1"/>
                <w:bCs w:val="1"/>
                <w:color w:val="auto"/>
                <w:w w:val="88"/>
              </w:rPr>
              <w:t>Quoted prices in</w:t>
            </w: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active markets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Significant other</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18"/>
                <w:szCs w:val="18"/>
                <w:color w:val="auto"/>
              </w:rPr>
            </w:pPr>
          </w:p>
        </w:tc>
        <w:tc>
          <w:tcPr>
            <w:tcW w:w="14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for identical</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assets (Level 1)</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7"/>
        </w:trPr>
        <w:tc>
          <w:tcPr>
            <w:tcW w:w="5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ind w:left="800"/>
              <w:spacing w:after="0"/>
              <w:rPr>
                <w:sz w:val="20"/>
                <w:szCs w:val="20"/>
                <w:color w:val="auto"/>
              </w:rPr>
            </w:pPr>
            <w:r>
              <w:rPr>
                <w:rFonts w:ascii="Arial" w:cs="Arial" w:eastAsia="Arial" w:hAnsi="Arial"/>
                <w:sz w:val="18"/>
                <w:szCs w:val="18"/>
                <w:b w:val="1"/>
                <w:bCs w:val="1"/>
                <w:color w:val="auto"/>
                <w:w w:val="97"/>
              </w:rPr>
              <w:t>U.S.$</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4,542</w:t>
            </w:r>
          </w:p>
        </w:tc>
        <w:tc>
          <w:tcPr>
            <w:tcW w:w="22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4,542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4,542</w:t>
            </w:r>
          </w:p>
        </w:tc>
        <w:tc>
          <w:tcPr>
            <w:tcW w:w="220" w:type="dxa"/>
            <w:vAlign w:val="bottom"/>
            <w:shd w:val="clear" w:color="auto" w:fill="CCFFCC"/>
          </w:tcPr>
          <w:p>
            <w:pPr>
              <w:spacing w:after="0"/>
              <w:rPr>
                <w:sz w:val="22"/>
                <w:szCs w:val="22"/>
                <w:color w:val="auto"/>
              </w:rPr>
            </w:pPr>
          </w:p>
        </w:tc>
        <w:tc>
          <w:tcPr>
            <w:tcW w:w="14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4,542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FFCC"/>
            </w:tcBorders>
            <w:gridSpan w:val="2"/>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Derivative liability on account of warrants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1,770</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1,770</w:t>
            </w:r>
          </w:p>
        </w:tc>
        <w:tc>
          <w:tcPr>
            <w:tcW w:w="22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the above, the Company's financial instruments at September 30, 2011 and December 31, 2010, consisted of cash, accounts receivable, long-term deposits, accrued expenses, Convertible Notes (September 30, 2011, only) and the venture loan (December 31, 2010, only). The carrying amounts of all the aforementioned financial instruments, approximate fair value, except the venture loan (see below).</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nine months ended September 30,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9"/>
              </w:rPr>
              <w:t>Special Bridge</w:t>
            </w:r>
          </w:p>
        </w:tc>
        <w:tc>
          <w:tcPr>
            <w:tcW w:w="108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86"/>
              </w:rPr>
              <w:t>Conversion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200" w:type="dxa"/>
            <w:vAlign w:val="bottom"/>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Warrants</w:t>
            </w:r>
          </w:p>
        </w:tc>
        <w:tc>
          <w:tcPr>
            <w:tcW w:w="200" w:type="dxa"/>
            <w:vAlign w:val="bottom"/>
          </w:tcPr>
          <w:p>
            <w:pPr>
              <w:spacing w:after="0"/>
              <w:rPr>
                <w:sz w:val="20"/>
                <w:szCs w:val="20"/>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U.S.$ thousands</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Original allocated amount</w:t>
            </w:r>
          </w:p>
        </w:tc>
        <w:tc>
          <w:tcPr>
            <w:tcW w:w="21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1,070</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Additional allocated amount (upon IPO)</w:t>
            </w:r>
          </w:p>
        </w:tc>
        <w:tc>
          <w:tcPr>
            <w:tcW w:w="2180" w:type="dxa"/>
            <w:vAlign w:val="bottom"/>
            <w:gridSpan w:val="3"/>
          </w:tcPr>
          <w:p>
            <w:pPr>
              <w:jc w:val="right"/>
              <w:ind w:right="200"/>
              <w:spacing w:after="0"/>
              <w:rPr>
                <w:sz w:val="20"/>
                <w:szCs w:val="20"/>
                <w:color w:val="auto"/>
              </w:rPr>
            </w:pPr>
            <w:r>
              <w:rPr>
                <w:rFonts w:ascii="Arial" w:cs="Arial" w:eastAsia="Arial" w:hAnsi="Arial"/>
                <w:sz w:val="18"/>
                <w:szCs w:val="18"/>
                <w:color w:val="auto"/>
              </w:rPr>
              <w:t>88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1,564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included in statement of operations</w:t>
            </w:r>
          </w:p>
        </w:tc>
        <w:tc>
          <w:tcPr>
            <w:tcW w:w="8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(382)</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(570)</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Balance at December 31, 2010</w:t>
            </w:r>
          </w:p>
        </w:tc>
        <w:tc>
          <w:tcPr>
            <w:tcW w:w="8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994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included in statement of operations</w:t>
            </w:r>
          </w:p>
        </w:tc>
        <w:tc>
          <w:tcPr>
            <w:tcW w:w="8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556</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(170)</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Balance at September 30, 2011</w:t>
            </w:r>
          </w:p>
        </w:tc>
        <w:tc>
          <w:tcPr>
            <w:tcW w:w="8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1,332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80" w:type="dxa"/>
            <w:vAlign w:val="bottom"/>
            <w:gridSpan w:val="2"/>
          </w:tcPr>
          <w:p>
            <w:pPr>
              <w:jc w:val="right"/>
              <w:ind w:right="97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Note 3—Fair Value Measurements—(cont'd)</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40" w:type="dxa"/>
            <w:vAlign w:val="bottom"/>
            <w:gridSpan w:val="5"/>
          </w:tcPr>
          <w:p>
            <w:pPr>
              <w:spacing w:after="0"/>
              <w:rPr>
                <w:sz w:val="20"/>
                <w:szCs w:val="20"/>
                <w:color w:val="auto"/>
              </w:rPr>
            </w:pPr>
            <w:r>
              <w:rPr>
                <w:rFonts w:ascii="Arial" w:cs="Arial" w:eastAsia="Arial" w:hAnsi="Arial"/>
                <w:sz w:val="18"/>
                <w:szCs w:val="18"/>
                <w:color w:val="auto"/>
                <w:w w:val="90"/>
              </w:rPr>
              <w:t>Carrying amounts and the related estimated fair value of the venture loan are as follows (see also Note 5):</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540" w:type="dxa"/>
            <w:vAlign w:val="bottom"/>
            <w:gridSpan w:val="4"/>
          </w:tcPr>
          <w:p>
            <w:pPr>
              <w:ind w:left="520"/>
              <w:spacing w:after="0"/>
              <w:rPr>
                <w:sz w:val="20"/>
                <w:szCs w:val="20"/>
                <w:color w:val="auto"/>
              </w:rPr>
            </w:pPr>
            <w:r>
              <w:rPr>
                <w:rFonts w:ascii="Arial" w:cs="Arial" w:eastAsia="Arial" w:hAnsi="Arial"/>
                <w:sz w:val="18"/>
                <w:szCs w:val="18"/>
                <w:b w:val="1"/>
                <w:bCs w:val="1"/>
                <w:color w:val="auto"/>
              </w:rPr>
              <w:t>September 30, 2011</w:t>
            </w:r>
          </w:p>
        </w:tc>
        <w:tc>
          <w:tcPr>
            <w:tcW w:w="200" w:type="dxa"/>
            <w:vAlign w:val="bottom"/>
          </w:tcPr>
          <w:p>
            <w:pPr>
              <w:spacing w:after="0"/>
              <w:rPr>
                <w:sz w:val="24"/>
                <w:szCs w:val="24"/>
                <w:color w:val="auto"/>
              </w:rPr>
            </w:pPr>
          </w:p>
        </w:tc>
        <w:tc>
          <w:tcPr>
            <w:tcW w:w="2600" w:type="dxa"/>
            <w:vAlign w:val="bottom"/>
            <w:gridSpan w:val="4"/>
          </w:tcPr>
          <w:p>
            <w:pPr>
              <w:ind w:left="520"/>
              <w:spacing w:after="0"/>
              <w:rPr>
                <w:sz w:val="20"/>
                <w:szCs w:val="20"/>
                <w:color w:val="auto"/>
              </w:rPr>
            </w:pPr>
            <w:r>
              <w:rPr>
                <w:rFonts w:ascii="Arial" w:cs="Arial" w:eastAsia="Arial" w:hAnsi="Arial"/>
                <w:sz w:val="18"/>
                <w:szCs w:val="18"/>
                <w:b w:val="1"/>
                <w:bCs w:val="1"/>
                <w:color w:val="auto"/>
              </w:rPr>
              <w:t>December 31, 2010</w:t>
            </w: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560" w:type="dxa"/>
            <w:vAlign w:val="bottom"/>
            <w:tcBorders>
              <w:top w:val="single" w:sz="8" w:color="auto"/>
            </w:tcBorders>
            <w:gridSpan w:val="3"/>
          </w:tcPr>
          <w:p>
            <w:pPr>
              <w:jc w:val="center"/>
              <w:ind w:right="420"/>
              <w:spacing w:after="0" w:line="198" w:lineRule="exact"/>
              <w:rPr>
                <w:sz w:val="20"/>
                <w:szCs w:val="20"/>
                <w:color w:val="auto"/>
              </w:rPr>
            </w:pPr>
            <w:r>
              <w:rPr>
                <w:rFonts w:ascii="Arial" w:cs="Arial" w:eastAsia="Arial" w:hAnsi="Arial"/>
                <w:sz w:val="18"/>
                <w:szCs w:val="18"/>
                <w:b w:val="1"/>
                <w:bCs w:val="1"/>
                <w:color w:val="auto"/>
                <w:w w:val="94"/>
              </w:rPr>
              <w:t>Carrying</w:t>
            </w: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130"/>
              <w:spacing w:after="0" w:line="198" w:lineRule="exact"/>
              <w:rPr>
                <w:sz w:val="20"/>
                <w:szCs w:val="20"/>
                <w:color w:val="auto"/>
              </w:rPr>
            </w:pPr>
            <w:r>
              <w:rPr>
                <w:rFonts w:ascii="Arial" w:cs="Arial" w:eastAsia="Arial" w:hAnsi="Arial"/>
                <w:sz w:val="18"/>
                <w:szCs w:val="18"/>
                <w:b w:val="1"/>
                <w:bCs w:val="1"/>
                <w:color w:val="auto"/>
                <w:w w:val="94"/>
              </w:rPr>
              <w:t>Carrying</w:t>
            </w: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U.S.$</w:t>
            </w: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9"/>
                <w:szCs w:val="19"/>
                <w:color w:val="auto"/>
              </w:rPr>
            </w:pP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U.S.$</w:t>
            </w:r>
          </w:p>
        </w:tc>
        <w:tc>
          <w:tcPr>
            <w:tcW w:w="136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w w:val="76"/>
              </w:rPr>
              <w:t>thousands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Venture loan</w:t>
            </w:r>
          </w:p>
        </w:tc>
        <w:tc>
          <w:tcPr>
            <w:tcW w:w="1160" w:type="dxa"/>
            <w:vAlign w:val="bottom"/>
            <w:shd w:val="clear" w:color="auto" w:fill="CCFFCC"/>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3,173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3,317</w:t>
            </w:r>
          </w:p>
        </w:tc>
      </w:tr>
      <w:tr>
        <w:trPr>
          <w:trHeight w:val="27"/>
        </w:trPr>
        <w:tc>
          <w:tcPr>
            <w:tcW w:w="20" w:type="dxa"/>
            <w:vAlign w:val="bottom"/>
          </w:tcPr>
          <w:p>
            <w:pPr>
              <w:spacing w:after="0"/>
              <w:rPr>
                <w:sz w:val="2"/>
                <w:szCs w:val="2"/>
                <w:color w:val="auto"/>
              </w:rPr>
            </w:pPr>
          </w:p>
        </w:tc>
        <w:tc>
          <w:tcPr>
            <w:tcW w:w="60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4—Convertible Notes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July, 2011, the Company entered into agreements (“Securities Purchase Agreements”) with selected accredited investors (the “Purchasers”) to sell and issue Convertible Notes in the aggregate amount of $2.5 million. The Convertible Notes mature on January 1, 2012 (the “Maturity Date”) unless earlier converted, and bear interest at a rate of 1.25% per annum. Interest on the Convertible Notes is due on the Maturity Date unless earlier converted. The Company’s obligations under the Convertible Notes are secured by a security interest in all of the Company’s assets, including a pledge over the shares of its wholly-owned subsidiary, pursuant to the Security Purchase Agreements.</w:t>
      </w:r>
    </w:p>
    <w:p>
      <w:pPr>
        <w:spacing w:after="0" w:line="21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Convertible Notes are convertible into shares of common stock at a conversion price equal to the lower of (i) the closing price of the Company’s common stock on the announcement date of the note offering, (ii) the closing price of the Company’s common stock on the closing date of the note offering and (iii) a ten percent (10%) discount to the price at which the securities are sold in the new stock offering (see Note 9b).</w:t>
      </w:r>
    </w:p>
    <w:p>
      <w:pPr>
        <w:spacing w:after="0" w:line="19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Should the Company consummate a future stock offering, such as the one described in Note 9b, the Convertible Notes and any accrued interest would automatically convert into the same securities and contain the same terms (other than the conversion price, which is set forth above) as in the subsequent stock offering. In addition, the holders of the Convertible Notes may voluntarily convert the Convertible Notes and any accrued interest into shares of our common stock at any time at a conversion price equal to the lower of (i) and (ii) above.</w:t>
      </w: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conversion of the Convertible Notes would trigger anti-dilution provisions in certain of our outstanding warrants, which would decrease the exercise price of these warrants to the conversion price of the Convertible Notes and require that the Company increase the number of shares issuable under certain of the warrants. Specifically, the exercise prices of the outstanding Special Bridge Warrants to purchase 864,332 shares of common stock at an exercise price of $2.75 per share and Conversion Warrants to purchase 1,728,664 shares of common stock at an exercise price of $5.06 per share would be reduced to the conversion price of the Convertible Notes. In addition, the Company would be required to issue additional Special Bridge Warrants at the reduced exercise price. The issuances would have a dilutive impact on the Company’s earnings (losses) per share in future periods and could result in a decline in the market price of the Company’s common stock.</w:t>
      </w:r>
    </w:p>
    <w:p>
      <w:pPr>
        <w:spacing w:after="0" w:line="2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Convertible Notes contain certain covenants and restrictions, including, among others, that, for so long as the Convertible Notes are outstanding, the Company will not pay any dividends or distributions, permit any liens on its property or assets or enter into merger or acquisition or sell all or substantially all of its assets, subject to certain exceptions. Events of default under the Convertible Notes include, among others, payment defaults, transfer of a substantial portion of the Company’s assets and certain bankruptcy-type events involving the Company or its subsidiary. Upon an event of default, all obligations under the Convertible Notes would become due and payable and the interest rate would increase to 4.25%.</w:t>
      </w:r>
    </w:p>
    <w:p>
      <w:pPr>
        <w:spacing w:after="0" w:line="20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the date of the issuance of the Convertible Notes, an amount of $89 thousand was allocated to additional paid-in capital in respect of the beneficial conversion feature, with a corresponding discount to the Convertible Notes, to be amortized as interest expense over the repayment period of the Convertible Notes. Amortization expenses for the three and nine months ended September 30, 2011 amounted to $36 thousand.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Convertible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Notes</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Discount</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3"/>
              </w:rPr>
              <w:t>U.S.$ thousands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Original allocated amount</w:t>
            </w:r>
          </w:p>
        </w:tc>
        <w:tc>
          <w:tcPr>
            <w:tcW w:w="11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2,500</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(89)</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2,411</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Amortization of discount, included in statement of operations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at September 30, 2011</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2,500</w:t>
            </w: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(53)</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2,447</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5—Venture Loan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On June 8, 2011, the Company entered into a Settlement Agreement (the “Agreement”) with the lenders of the venture loan (the "Lenders"),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which the Lenders agreed to accept less than the full amount owed to them by the Company. As part of the Agreement, the Company immediately repaid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$331 thousand, and placed an additional $1,051 thousand as collateral into a restricted account. In addition, the Company issued the Lenders 250,000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its common stock, in exchange for 250,000 Senior Lender Warrants, which were cancelled. In July 2011, the Company repaid the outstanding $1,051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thousand balance of its venture loan, using the funds set aside in the restricted account.</w:t>
      </w:r>
    </w:p>
    <w:p>
      <w:pPr>
        <w:spacing w:after="0" w:line="21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the date of the Agreement, subsequent to the repayment of the $331 thousand, the loan balance was recorded down to $1,051 thousand. The difference between the fair market value of the shares of common stock issued and the fair market value of the cancelled Senior Lender Warrants, amounting to $231 thousand, was recorded in the statement of stockholders’ equity. In addition, the difference between the carrying value of the loan and the total sum of future payments on the loan, including the above mentioned $231 thousand, net of legal fees, resulted in a gain on restructuring of debt, in the total amount of $963 thousand, recorded in the statements of operations. Basic and diluted per share gain on restructuring of venture loan is $0.16.</w:t>
      </w:r>
    </w:p>
    <w:p>
      <w:pPr>
        <w:sectPr>
          <w:pgSz w:w="11900" w:h="16838" w:orient="portrait"/>
          <w:cols w:equalWidth="0" w:num="1">
            <w:col w:w="11420"/>
          </w:cols>
          <w:pgMar w:left="240" w:top="486"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January 31, 2011, the Company granted 480 thousand options to purchase shares of common stock to its employees, management and consultants (see below).</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and nine month period ended September 30, 2011, 78 thousand and 314 thousand stock options were forfeited and 200 thousand and 220 thousand stock options were exercised, respectively. In addition, during the three and nine month period ended September 30, 2011, the Company issued 24 thousand and 51 thousand shares of common stock to its consultants, respectively, as a result, compensation expense in the total amount of approximately $24 and $70 thousand was recorded.</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January 2011, the Company granted warrants to purchase 40 thousand shares of common stock as a charitable donation. 20 thousand of these warrants were granted at an exercise price of $5.50 per share and the remaining 20 thousand at an exercise price of $0.01 per share. The total fair value of approximately $43 thousand was calculated using the Black-Scholes-Merton model, using the following assumptions: stock price of $1.68, expected life of 6 years, risk-free interest rate of 2.38%, expected volatility of 56.41% and no dividend yield. The total fair value of the grant was recorded as an additional share-based payment expense in the nine month period ended September 30, 2011. In April 2011, the Company issued 19,862 shares of common stock upon exercise of 20 thousand charitable warrants with an exercise price of $0.01 per share.</w:t>
      </w:r>
    </w:p>
    <w:p>
      <w:pPr>
        <w:spacing w:after="0" w:line="17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As of September 30, 2011, there was approximately $2.1 million of total unrecognized share-based payment costs related to non-vested share-based compensation arrangements granted under the Company’s incentive plans. That cost is expected to be recognized over an estimated 3 years period.</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6—Stockholders' Equity—(cont'd)</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January 31, 2011, the Company's Board of Directors (the "Board") approved the granting of 216 thousand options to management, employees and consultants at an exercise price of $0.01 per share. These options will vest yearly over three and four year periods (according to the applicable schedule of each optionee). The Board also approved the granting of 264 thousand options at an exercise price of $5.50 to its management, employees and consultants. These options will vest over three and four years (according to the applicable schedule of each optionee).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there were approximately 11 million shares of common stock available for future grants.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option activity for the year 2011 to balance sheet date, by grant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No. of options granted</w:t>
            </w:r>
          </w:p>
        </w:tc>
        <w:tc>
          <w:tcPr>
            <w:tcW w:w="2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No. of options granted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w:t>
            </w: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fair value of</w:t>
            </w:r>
          </w:p>
        </w:tc>
      </w:t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Employees</w:t>
            </w:r>
          </w:p>
        </w:tc>
        <w:tc>
          <w:tcPr>
            <w:tcW w:w="12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Non-Employees</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price</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8"/>
              </w:rPr>
              <w:t>granted option</w:t>
            </w: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January 31, 2011</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194,000</w:t>
            </w:r>
          </w:p>
        </w:tc>
        <w:tc>
          <w:tcPr>
            <w:tcW w:w="20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22,000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0.01</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January 31, 2011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252,500</w:t>
            </w:r>
          </w:p>
        </w:tc>
        <w:tc>
          <w:tcPr>
            <w:tcW w:w="2020" w:type="dxa"/>
            <w:vAlign w:val="bottom"/>
            <w:gridSpan w:val="3"/>
          </w:tcPr>
          <w:p>
            <w:pPr>
              <w:jc w:val="right"/>
              <w:ind w:right="200"/>
              <w:spacing w:after="0"/>
              <w:rPr>
                <w:sz w:val="20"/>
                <w:szCs w:val="20"/>
                <w:color w:val="auto"/>
              </w:rPr>
            </w:pPr>
            <w:r>
              <w:rPr>
                <w:rFonts w:ascii="Arial" w:cs="Arial" w:eastAsia="Arial" w:hAnsi="Arial"/>
                <w:sz w:val="18"/>
                <w:szCs w:val="18"/>
                <w:color w:val="auto"/>
              </w:rPr>
              <w:t>12,000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0.42</w:t>
            </w:r>
          </w:p>
        </w:tc>
      </w:tr>
      <w:tr>
        <w:trPr>
          <w:trHeight w:val="216"/>
        </w:trPr>
        <w:tc>
          <w:tcPr>
            <w:tcW w:w="20" w:type="dxa"/>
            <w:vAlign w:val="bottom"/>
          </w:tcPr>
          <w:p>
            <w:pPr>
              <w:spacing w:after="0"/>
              <w:rPr>
                <w:sz w:val="18"/>
                <w:szCs w:val="18"/>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June 16, 2011</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14,000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0.01</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1.53</w:t>
            </w: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September 1, 2011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200"/>
              <w:spacing w:after="0"/>
              <w:rPr>
                <w:sz w:val="20"/>
                <w:szCs w:val="20"/>
                <w:color w:val="auto"/>
              </w:rPr>
            </w:pPr>
            <w:r>
              <w:rPr>
                <w:rFonts w:ascii="Arial" w:cs="Arial" w:eastAsia="Arial" w:hAnsi="Arial"/>
                <w:sz w:val="18"/>
                <w:szCs w:val="18"/>
                <w:color w:val="auto"/>
              </w:rPr>
              <w:t>10,000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1.38</w:t>
            </w:r>
          </w:p>
        </w:tc>
      </w:tr>
    </w:tbl>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fair value of the $0.01 options granted January 31, 2011, to management employees and directors was calculated using the Black-Scholes-Merton model with an expected life of 4-4.25 years, a risk-free interest rate of 1.44%-1.55% and an expected volatility of 47.9%-52.2% and no dividend yield. The fair value of the common stock used for this calculation was $1.68.</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fair value of the $5.50 options granted January 31, 2011, to employees and directors was calculated using the Lattice model with an expected life of 6 years, a risk-free interest rate of 2.38% and an expected volatility of 56.41% and no dividend yield. The fair value of the common stock used for this calculation was $1.68.</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total fair value of all options granted to non-employees, is calculated using the Black-Scholes-Merton model with an expected life of 2.25-6.00 years, stock price of $1.42, a risk free interest rate of 0.31%-1.94% and an expected volatility of 49.73%-57.38% and no dividend yield.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Note 7—Commitments and Contingencies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180" w:type="dxa"/>
            <w:vAlign w:val="bottom"/>
            <w:gridSpan w:val="2"/>
          </w:tcPr>
          <w:p>
            <w:pPr>
              <w:spacing w:after="0"/>
              <w:rPr>
                <w:sz w:val="20"/>
                <w:szCs w:val="20"/>
                <w:color w:val="auto"/>
              </w:rPr>
            </w:pPr>
            <w:r>
              <w:rPr>
                <w:rFonts w:ascii="Arial" w:cs="Arial" w:eastAsia="Arial" w:hAnsi="Arial"/>
                <w:sz w:val="18"/>
                <w:szCs w:val="18"/>
                <w:color w:val="auto"/>
                <w:w w:val="90"/>
              </w:rPr>
              <w:t>Future minimum lease payments under non-cancelable operating leases for office space and cars, as of September 30, 2011, are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U.S.$</w:t>
            </w:r>
          </w:p>
        </w:tc>
      </w:tr>
      <w:tr>
        <w:trPr>
          <w:trHeight w:val="241"/>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thousands</w:t>
            </w:r>
          </w:p>
        </w:tc>
      </w:tr>
      <w:tr>
        <w:trPr>
          <w:trHeight w:val="216"/>
        </w:trPr>
        <w:tc>
          <w:tcPr>
            <w:tcW w:w="20" w:type="dxa"/>
            <w:vAlign w:val="bottom"/>
          </w:tcPr>
          <w:p>
            <w:pPr>
              <w:spacing w:after="0"/>
              <w:rPr>
                <w:sz w:val="18"/>
                <w:szCs w:val="18"/>
                <w:color w:val="auto"/>
              </w:rPr>
            </w:pPr>
          </w:p>
        </w:tc>
        <w:tc>
          <w:tcPr>
            <w:tcW w:w="10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Year ending December 31,</w:t>
            </w: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2011 (three months ending December 31, 2011)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016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2013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Rental expense for operating leases for both office space and cars for the nine months ended September 30, 2011 and 2010 was $128 thousand, and $122 thousand, respectively. Rental expense for operating leases for both office space and cars for the three months ended September 30, 2011 and 2010 was $38 thousand, and $37 thousand,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8—Risks and Uncertainties</w:t>
      </w:r>
    </w:p>
    <w:p>
      <w:pPr>
        <w:spacing w:after="0" w:line="256" w:lineRule="exact"/>
        <w:rPr>
          <w:sz w:val="20"/>
          <w:szCs w:val="20"/>
          <w:color w:val="auto"/>
        </w:rPr>
      </w:pPr>
    </w:p>
    <w:p>
      <w:pPr>
        <w:ind w:left="980" w:right="1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continue operating as a going concern, the Company needs to raise capital through further debt or equity transactions. The Company is thus exposed to a market risk that it will not be able to raise this capital, as disclosed in Note 1.</w:t>
      </w:r>
    </w:p>
    <w:p>
      <w:pPr>
        <w:spacing w:after="0" w:line="197" w:lineRule="exact"/>
        <w:rPr>
          <w:rFonts w:ascii="Arial" w:cs="Arial" w:eastAsia="Arial" w:hAnsi="Arial"/>
          <w:sz w:val="18"/>
          <w:szCs w:val="18"/>
          <w:color w:val="auto"/>
        </w:rPr>
      </w:pPr>
    </w:p>
    <w:p>
      <w:pPr>
        <w:ind w:left="980" w:right="20" w:hanging="324"/>
        <w:spacing w:after="0" w:line="290"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order for the Company to raise capital through equity or equity-linked transactions, stockholder approval is required to enable the Company to issue more than 19.99% of its outstanding shares of common stock pursuant to the rules and regulations of the NYSE Amex. Should stockholders not approve such issuances, the Company’s sole means to raise capital would be through debt, which could have a material adverse effect on the Company’s balance sheet and overall financial condition. The Company’s inability to issue adequate shares for full conversion of the Convertible Notes (see Note 4) may require the Company to utilize cash to repay the $2.5 million of principal and accrued interest due under the note offering by January 1, 2012, which would reduce the amount of cash available to the Company to operate its business. The Company does not currently have sufficient funds in cash to repay the Convertible Notes. In addition, without stockholder’s approval, the Company would not be able to consummate the new stock offering (see Note 9b) and will be required to return all related funds deposited by investors.</w:t>
      </w:r>
    </w:p>
    <w:p>
      <w:pPr>
        <w:spacing w:after="0" w:line="193" w:lineRule="exact"/>
        <w:rPr>
          <w:rFonts w:ascii="Arial" w:cs="Arial" w:eastAsia="Arial" w:hAnsi="Arial"/>
          <w:sz w:val="16"/>
          <w:szCs w:val="16"/>
          <w:color w:val="auto"/>
        </w:rPr>
      </w:pPr>
    </w:p>
    <w:p>
      <w:pPr>
        <w:ind w:left="980" w:right="5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197" w:lineRule="exact"/>
        <w:rPr>
          <w:rFonts w:ascii="Arial" w:cs="Arial" w:eastAsia="Arial" w:hAnsi="Arial"/>
          <w:sz w:val="18"/>
          <w:szCs w:val="18"/>
          <w:color w:val="auto"/>
        </w:rPr>
      </w:pPr>
    </w:p>
    <w:p>
      <w:pPr>
        <w:ind w:left="980" w:right="30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150" w:lineRule="exact"/>
        <w:rPr>
          <w:rFonts w:ascii="Arial" w:cs="Arial" w:eastAsia="Arial" w:hAnsi="Arial"/>
          <w:sz w:val="16"/>
          <w:szCs w:val="16"/>
          <w:color w:val="auto"/>
        </w:rPr>
      </w:pPr>
    </w:p>
    <w:p>
      <w:pPr>
        <w:ind w:left="980" w:right="220" w:hanging="324"/>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Facetones™ application creates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173" w:lineRule="exact"/>
        <w:rPr>
          <w:rFonts w:ascii="Arial" w:cs="Arial" w:eastAsia="Arial" w:hAnsi="Arial"/>
          <w:sz w:val="16"/>
          <w:szCs w:val="16"/>
          <w:color w:val="auto"/>
        </w:rPr>
      </w:pPr>
    </w:p>
    <w:p>
      <w:pPr>
        <w:jc w:val="both"/>
        <w:ind w:left="980" w:right="14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256" w:lineRule="exact"/>
        <w:rPr>
          <w:sz w:val="20"/>
          <w:szCs w:val="20"/>
          <w:color w:val="auto"/>
        </w:rPr>
      </w:pPr>
    </w:p>
    <w:p>
      <w:pPr>
        <w:ind w:left="980" w:right="40" w:hanging="324"/>
        <w:spacing w:after="0" w:line="29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October 4, 2011, the Company announced a Cooperation Agreement with Zlango Ltd., a mobile messaging company ("Zlango"). Under the terms of the Cooperation Agreement, the parties agreed to cooperate on projects while retaining their respective intellectual property and independent operations. The Cooperation Agreement supersedes prior arrangements and proposed transactions between the companies, including the non-binding Letter of Intent ("LOI") entered into between the parties announced on July 25, 2011, pursuant to which the Company agreed to acquire and merge operations with Zlango, subject to certain conditions, which the parties have agreed to terminate.</w:t>
      </w:r>
    </w:p>
    <w:p>
      <w:pPr>
        <w:spacing w:after="0" w:line="185" w:lineRule="exact"/>
        <w:rPr>
          <w:rFonts w:ascii="Arial" w:cs="Arial" w:eastAsia="Arial" w:hAnsi="Arial"/>
          <w:sz w:val="16"/>
          <w:szCs w:val="16"/>
          <w:color w:val="auto"/>
        </w:rPr>
      </w:pPr>
    </w:p>
    <w:p>
      <w:pPr>
        <w:ind w:left="980" w:right="18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November 1, 2011, the Company filed a preliminary proxy statement with the SEC to commence a new stock offering with selected accredited investors to purchase shares of the Company’s common stock at an offering price equal to 80% of the price of the Company’s common stock on the date offering amounts are funded. The funds for the new stock offering will remain in an escrow account, pending stockholder approval (see Note 8b) to issue shares of common stock in excess of 19.99% of current shares outstanding in connection with this new stock offering and in connection with the conversion of the Convertible Notes (see Note 4). In the event stockholders fail to approve the issuance of common stock, the funds will be returned to their owners.</w:t>
      </w:r>
    </w:p>
    <w:p>
      <w:pPr>
        <w:spacing w:after="0" w:line="220" w:lineRule="exact"/>
        <w:rPr>
          <w:rFonts w:ascii="Arial" w:cs="Arial" w:eastAsia="Arial" w:hAnsi="Arial"/>
          <w:sz w:val="18"/>
          <w:szCs w:val="18"/>
          <w:color w:val="auto"/>
        </w:rPr>
      </w:pPr>
    </w:p>
    <w:p>
      <w:pPr>
        <w:ind w:left="980" w:right="34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November 11, 2011 the Company announced an agreement with ZTE Corporation, the largest handset maker in China and fourth-largest globally, to preload Facetones™ application on Android handsets, manufactured by ZTE. These handsets will be sold via mobile phone operators and through various OEM contracts to brand name handset manufacturers.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289" w:gutter="0" w:footer="0" w:header="0"/>
        </w:sectPr>
      </w:pPr>
    </w:p>
    <w:bookmarkStart w:id="20" w:name="page21"/>
    <w:bookmarkEnd w:id="20"/>
    <w:p>
      <w:pPr>
        <w:spacing w:after="0" w:line="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herein and in our Annual Report on Form 10-K filed on March 31, 2011.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Our video ringtone solutions and other mobile social and video applications, which encompasses a suite of mobile and PC-based tools, enables users to create, download and share video and other social content with ease as part of the normal communication process, and provides our business partners with a consumer-friendly and easy-to-integrate monetization platform.</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48" w:lineRule="exact"/>
        <w:rPr>
          <w:sz w:val="20"/>
          <w:szCs w:val="20"/>
          <w:color w:val="auto"/>
        </w:rPr>
      </w:pPr>
    </w:p>
    <w:p>
      <w:pPr>
        <w:ind w:left="1220" w:right="40" w:hanging="321"/>
        <w:spacing w:after="0" w:line="282" w:lineRule="auto"/>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video ringtones for mobile phones;</w:t>
      </w:r>
    </w:p>
    <w:p>
      <w:pPr>
        <w:spacing w:after="0" w:line="188" w:lineRule="exact"/>
        <w:rPr>
          <w:rFonts w:ascii="Arial" w:cs="Arial" w:eastAsia="Arial" w:hAnsi="Arial"/>
          <w:sz w:val="18"/>
          <w:szCs w:val="18"/>
          <w:b w:val="1"/>
          <w:bCs w:val="1"/>
          <w:color w:val="auto"/>
        </w:rPr>
      </w:pPr>
    </w:p>
    <w:p>
      <w:pPr>
        <w:ind w:left="1220" w:hanging="321"/>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52" w:lineRule="exact"/>
        <w:rPr>
          <w:rFonts w:ascii="Arial" w:cs="Arial" w:eastAsia="Arial" w:hAnsi="Arial"/>
          <w:sz w:val="18"/>
          <w:szCs w:val="18"/>
          <w:b w:val="1"/>
          <w:bCs w:val="1"/>
          <w:color w:val="auto"/>
        </w:rPr>
      </w:pPr>
    </w:p>
    <w:p>
      <w:pPr>
        <w:ind w:left="1220" w:right="280" w:hanging="321"/>
        <w:spacing w:after="0" w:line="282" w:lineRule="auto"/>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88" w:lineRule="exact"/>
        <w:rPr>
          <w:rFonts w:ascii="Arial" w:cs="Arial" w:eastAsia="Arial" w:hAnsi="Arial"/>
          <w:sz w:val="18"/>
          <w:szCs w:val="18"/>
          <w:b w:val="1"/>
          <w:bCs w:val="1"/>
          <w:color w:val="auto"/>
        </w:rPr>
      </w:pPr>
    </w:p>
    <w:p>
      <w:pPr>
        <w:ind w:left="1220" w:right="40" w:hanging="321"/>
        <w:spacing w:after="0" w:line="282" w:lineRule="auto"/>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 stars</w:t>
      </w:r>
      <w:r>
        <w:rPr>
          <w:rFonts w:ascii="Arial" w:cs="Arial" w:eastAsia="Arial" w:hAnsi="Arial"/>
          <w:sz w:val="18"/>
          <w:szCs w:val="18"/>
          <w:b w:val="1"/>
          <w:bCs w:val="1"/>
          <w:color w:val="auto"/>
        </w:rPr>
        <w:t xml:space="preserve"> </w:t>
      </w:r>
      <w:r>
        <w:rPr>
          <w:rFonts w:ascii="Arial" w:cs="Arial" w:eastAsia="Arial" w:hAnsi="Arial"/>
          <w:sz w:val="18"/>
          <w:szCs w:val="18"/>
          <w:color w:val="auto"/>
        </w:rPr>
        <w:t>and vote for contestants.</w:t>
      </w:r>
    </w:p>
    <w:p>
      <w:pPr>
        <w:spacing w:after="0" w:line="193" w:lineRule="exact"/>
        <w:rPr>
          <w:sz w:val="20"/>
          <w:szCs w:val="20"/>
          <w:color w:val="auto"/>
        </w:rPr>
      </w:pPr>
    </w:p>
    <w:p>
      <w:pPr>
        <w:ind w:right="540" w:firstLine="486"/>
        <w:spacing w:after="0" w:line="286" w:lineRule="auto"/>
        <w:rPr>
          <w:sz w:val="20"/>
          <w:szCs w:val="20"/>
          <w:color w:val="auto"/>
        </w:rPr>
      </w:pPr>
      <w:r>
        <w:rPr>
          <w:rFonts w:ascii="Arial" w:cs="Arial" w:eastAsia="Arial" w:hAnsi="Arial"/>
          <w:sz w:val="17"/>
          <w:szCs w:val="17"/>
          <w:color w:val="auto"/>
        </w:rPr>
        <w:t>Over the past year, Vringo developed the three new product platforms in addition to our core Video Ringtone platform. To develop these new platforms, we have leveraged our existing technology, intellectual property and our extensive experience with mobile video, personalization and social applications. We believe that these new platforms will represent a major component of our business going forward.</w:t>
      </w:r>
    </w:p>
    <w:p>
      <w:pPr>
        <w:spacing w:after="0" w:line="19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were incorporated in January 2006 and are still a development stage company. Our principal executive offices are located in New York, New York and we have a subsidiary, Vringo (Israel) Ltd., located in Bet-Shemesh, Israel.</w:t>
      </w:r>
    </w:p>
    <w:p>
      <w:pPr>
        <w:spacing w:after="0" w:line="197"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On July 21, 2011, the NYSE Amex (the "Exchange") accepted our plan for regaining compliance with the Exchange's listing standards (the "Plan"). The Plan was submitted on September 23, 2011, in response to a notice received on May 24, 2011 from the Exchange regarding our non-compliance with certain continued listing standards. While we are not yet in compliance with the Exchange's listing standards, with the Exchange's acceptance of the Plan, our listing is now continued under an extension with a target completion date of December 31, 2011. We continue to provide the Exchange staff with updates relating to the initiatives detailed in the Plan. While the NYSE has not initiated delisting proceedings, there is no assurance that it will not do so in the future.</w:t>
      </w:r>
    </w:p>
    <w:p>
      <w:pPr>
        <w:spacing w:after="0" w:line="185"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The continuation of our business is dependent upon us raising additional funding. We believe that current cash levels will be sufficient to support our activity into the first quarter of 2012. Should the planned subsequent financing be consummated, we believe cash levels will be sufficient to support our activities at least into the second quarter of 2012. However, if we are required to repay our Convertible Notes in full on January 1, 2012, we do not currently have sufficient funds to repay the Convertible Notes. We are exploring further opportunities, including acquisitions, to raise funds necessary to ensure that we are a going concern. There can be no assurance, however, that any such opportunities will materialize. The issuance of additional equity securities by us could result in a substantial dilution to our current stockholders. Obtaining commercial loans, assuming those loans would be available, will increase our liabilities and future cash commitments.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Since inception through the close of the third quarter 2011, we have generated only $787 thousand in revenues, which includes: $497 thousand from revenue-share subscription services, $109 thousand from one-time setup fees, $98 thousand from Facetones™, $45 thousand from Fan Loyalty application formats, and $30 thousand from Video ReMix platform. From inception and until September 30, 2011, we recorded losses of $34.7 million and net cash outflow from operations of $28 million. We believe that current cash levels will be sufficient to support our activities into the first quarter of 2012. Should the planned subsequent financing be consummated, we believe cash levels will be sufficient to support our activities at least into the second quarter of 2012. Should the subsequent financing not be consummated by January 1, 2012 and the Convertible Notes have not been voluntarily converted before such date, the Convertible Notes and the accrued interest thereon will become due and payable. We do not currently have sufficient funds to repay the Convertible Notes and the accrued interest due upon maturity (see Liquidity and Capital Resources section below). We are exploring further opportunities, including acquisitions, to raise funds necessary to ensure that we are a going concern. There can be no assurance, however, that any such opportunities will</w:t>
      </w:r>
    </w:p>
    <w:p>
      <w:pPr>
        <w:sectPr>
          <w:pgSz w:w="11900" w:h="16865" w:orient="portrait"/>
          <w:cols w:equalWidth="0" w:num="1">
            <w:col w:w="11400"/>
          </w:cols>
          <w:pgMar w:left="240" w:top="513" w:right="259" w:bottom="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t>materialize. The continuation of our business is dependent upon us raising additional financing. The issuance of additional equity securities by us is subject to shareholder approval, and could result in a substantial dilution to our current stockholders. All of our audited consolidated financial statements since inception have contained a going concern reference by our auditors, which means that our auditors have substantial doubt about our ability to continue as a going concern.</w:t>
      </w: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22" w:name="page23"/>
    <w:bookmarkEnd w:id="22"/>
    <w:p>
      <w:pPr>
        <w:spacing w:after="0" w:line="80"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Our video ringtone platform was our initial product focus since inception.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VringFoward™ video ringtone technology allows users to enjoy a rich social experience by sharing video ringtones from our library or which they created.</w:t>
      </w:r>
    </w:p>
    <w:p>
      <w:pPr>
        <w:spacing w:after="0" w:line="19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We have been moving to a paid service model together with mobile carriers and other partners around the world. The initial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three of which have been issued to date, and we continue to create new intellectual property.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November 14, 2011, we have commercial video ringtone services with the following seven partners:</w:t>
      </w:r>
    </w:p>
    <w:p>
      <w:pPr>
        <w:spacing w:after="0" w:line="252" w:lineRule="exact"/>
        <w:rPr>
          <w:sz w:val="20"/>
          <w:szCs w:val="20"/>
          <w:color w:val="auto"/>
        </w:rPr>
      </w:pPr>
    </w:p>
    <w:p>
      <w:pPr>
        <w:ind w:left="660" w:right="1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Celcom Axiata Berhad, or Celcom, a mobile carrier in Malaysia, with 11.0 million subscribers. Celcom is one of the largest mobile telecommunications operators in Malaysia with the widest national 2G and 3G coverage in the country. Celcom is a Vodafone partner and is part of the Axiata Group of Companies, one of the world’s largest telecommunications companies with more than 160 million customers across 10 Asian markets (launched in October 2011).</w:t>
      </w:r>
    </w:p>
    <w:p>
      <w:pPr>
        <w:spacing w:after="0" w:line="21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272 thousand subscribers to our paid service and an additional 15 thousand subscribers on a free trial basis (launched in September 2009);</w:t>
      </w:r>
    </w:p>
    <w:p>
      <w:pPr>
        <w:spacing w:after="0" w:line="197"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23 thousand subscribers to our paid service, and which has more than 94.0 million subscribers worldwide (launched in January 2010);</w:t>
      </w:r>
    </w:p>
    <w:p>
      <w:pPr>
        <w:spacing w:after="0" w:line="208"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Everything Everywhere Limited (EEL), a mobile carrier with almost 30.0 million subscribers in the United Kingdom. Our video ringtone platform launched was with Orange UK, a large mobile communications company and subsidiary of EEL, with 16.0 million subscribers and we have 15 thousand subscribers to our paid service (launched in February 2011);</w:t>
      </w:r>
    </w:p>
    <w:p>
      <w:pPr>
        <w:spacing w:after="0" w:line="20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Starhub, a mobile carrier with 2.0 million subscribers in Singapore (initially launched in February 2011 and anticipated to be relaunched in the fourth quarter 2011);</w:t>
      </w:r>
    </w:p>
    <w:p>
      <w:pPr>
        <w:spacing w:after="0" w:line="19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RTL in Belgium, part of the Bertelsman RTL Television network, has offered together with us, a subscription service on all three Belgian mobile operators (with a combined subscriber base of 1 million) that includes RTL content (launched in June 2010 with limited subscribers due to regulatory limitations introduced on mobile services); and</w:t>
      </w:r>
    </w:p>
    <w:p>
      <w:pPr>
        <w:spacing w:after="0" w:line="208"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Hungama a content and mobile services aggregator in India. The service with Hungama is being offered to customers of 15 different mobile carriers in India, and we have 23 thousand subscribers to our paid service. Our paid service is on temporary hold pending clarification of regional legalities in India.</w:t>
      </w:r>
    </w:p>
    <w:p>
      <w:pPr>
        <w:spacing w:after="0" w:line="20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9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According to a recent study by the United Nations, there were 5 billion global mobile subscribers in 2010. As of November 14, 2011, our partners have an aggregate of approximately 700 million subscribers, of which 340 thousand are paid subscribers to our service, and another 25 thousand subscribers have enrolled on a free-trial basis. This compares to 86 thousand paid subscribers across all of our launches as of September 30, 2010, an increase of over 295%.</w:t>
      </w:r>
    </w:p>
    <w:p>
      <w:pPr>
        <w:spacing w:after="0" w:line="214" w:lineRule="exact"/>
        <w:rPr>
          <w:sz w:val="20"/>
          <w:szCs w:val="20"/>
          <w:color w:val="auto"/>
        </w:rPr>
      </w:pPr>
    </w:p>
    <w:p>
      <w:pPr>
        <w:ind w:right="440" w:firstLine="486"/>
        <w:spacing w:after="0" w:line="297" w:lineRule="auto"/>
        <w:rPr>
          <w:sz w:val="20"/>
          <w:szCs w:val="20"/>
          <w:color w:val="auto"/>
        </w:rPr>
      </w:pPr>
      <w:r>
        <w:rPr>
          <w:rFonts w:ascii="Arial" w:cs="Arial" w:eastAsia="Arial" w:hAnsi="Arial"/>
          <w:sz w:val="16"/>
          <w:szCs w:val="16"/>
          <w:color w:val="auto"/>
        </w:rPr>
        <w:t>We have recently launched our new Facetones™ social ringtone platform. This platform generates social visual ringtone content automatically by aggregating and displaying your friends’ pictures from social networks and then displaying as a video ringtone, as well as a video ringback tone. These ringtones do not replace, but rather enhance, standard ringtone and ringback tones with relevant, current social content that is visually displayed. The Facetones™ product is available for mobile phones with Android and the Symbian S3 operating systems. We are working on an iPhone version of this product as well as planning for other versions for other operating systems such as Windows Phone and feature phones such as the S40 Nokia platform.</w:t>
      </w:r>
    </w:p>
    <w:p>
      <w:pPr>
        <w:spacing w:after="0" w:line="18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Facetones™ is experiencing fast growth both in consumer downloads and in the number of commercial deals with major partners already announced. The product is being made available to consumers in several different configurations and with a variety of distribution and monetization methods. As of November 4, 2011, the Facetones™ free ad-supported version had more than 200 thousand downloads and is generating 15.3 million requests in mobile ad inventory on a weekly basis. These results have been achieved in approximately ten weeks of active promotion of the product.</w:t>
      </w:r>
    </w:p>
    <w:p>
      <w:pPr>
        <w:spacing w:after="0" w:line="19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Facetones™ is offered direct to consumers via leading mobile application stores and download sites where both for purchase versions (at prices ranging from a few to several dollars) as well as ad-supported free versions are available. We have announced placement deals for the app with GetJar, the world’s largest independent app store, and with Mobango. In July 2011, we launched Facetones™ with BlueVia, the new global software developer platform of Telefonica, the largest mobile operator in the Spanish speaking world and fourth largest globally. Facetones™ will be initially available on Telefonica's application store (Mstore) in several global markets. In August 2011, we launched Facetones™ in Japan for Android users through the DOCOMO market, a mobile internet portal operated by NTT DOCOMO, INC., the largest mobile phone operator in Japan, with more than 50 million users. In October 2011, Verizon, the largest mobile operator in the US, announced the launch of Facetones™ as a subscription service for Verizon subscribers for $0.99 a month. We</w:t>
      </w:r>
    </w:p>
    <w:p>
      <w:pPr>
        <w:sectPr>
          <w:pgSz w:w="11900" w:h="16919" w:orient="portrait"/>
          <w:cols w:equalWidth="0" w:num="1">
            <w:col w:w="11420"/>
          </w:cols>
          <w:pgMar w:left="240" w:top="517" w:right="239" w:bottom="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continue to pursue business for Facetones™ together with handset manufacturers. A preliminary deal with Nokia was concluded to support development services of the Facetones™ application for the S3 platform and was recently launched on the Ovi Store.</w:t>
      </w:r>
    </w:p>
    <w:p>
      <w:pPr>
        <w:spacing w:after="0" w:line="34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25" w:right="639" w:bottom="1440" w:gutter="0" w:footer="0" w:header="0"/>
        </w:sectPr>
      </w:pPr>
    </w:p>
    <w:bookmarkStart w:id="24" w:name="page25"/>
    <w:bookmarkEnd w:id="24"/>
    <w:p>
      <w:pPr>
        <w:ind w:firstLine="648"/>
        <w:spacing w:after="0" w:line="255" w:lineRule="auto"/>
        <w:rPr>
          <w:sz w:val="20"/>
          <w:szCs w:val="20"/>
          <w:color w:val="auto"/>
        </w:rPr>
      </w:pPr>
      <w:r>
        <w:rPr>
          <w:rFonts w:ascii="Arial" w:cs="Arial" w:eastAsia="Arial" w:hAnsi="Arial"/>
          <w:sz w:val="18"/>
          <w:szCs w:val="18"/>
          <w:color w:val="auto"/>
        </w:rPr>
        <w:t>In the first quarter of 2011, we launched our new Video Remix platform that allows users to download an application for iOS (iPhone, iPad, iPod) or Android phones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22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initial Video Remix application “Booty Symphony” was developed with Nappy Boy Enterprises, the music production company of the artist T-Pain. Booty Symphony was released in an ad-supported free Android version as well as paid versions for iOS and Android. Our newest application on our Video ReMix platform was delivered in the second quarter of 2011 to partner Corso Communications and its client Heineken. This sponsored version highlighted music and video of the group Dirty Vegas, and was used by Heineken “brand ambassadors” at the Coachella Music festival. Vringo continues to seek new business for this platform with other recording artists and sponsored by additional major brands.</w:t>
      </w:r>
    </w:p>
    <w:p>
      <w:pPr>
        <w:spacing w:after="0" w:line="20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second quarter of 2011, we launched our Fan Loyalty platform by co-branding our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features exclusive content and fully integrated live voting capabilities for the blockbuster "Star Academy" reality music show, which reaches over 300 million viewers and is available in over 10 countries in the region.</w:t>
      </w:r>
    </w:p>
    <w:p>
      <w:pPr>
        <w:spacing w:after="0" w:line="22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Fan Loyalty application for Star Academy was made available exclusively for download on the Ovi Store, and had more than 200 thousand downloads during the season. Vringo is in discussions with several other entertainment groups regarding potential deals for this Fan Loyalty platform.</w:t>
      </w:r>
    </w:p>
    <w:p>
      <w:pPr>
        <w:spacing w:after="0" w:line="15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November 2011, we announced an agreement with ZTE Corporation, the largest handset maker in China and fourth-largest globally, to preload the Facetones™ application on Android handsets, manufactured by ZTE. These handsets will be sold via mobile phone operators and through various OEM contracts to brand name handset manufacturers.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Finance Overview</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are a development stage company. From inception through September 30, 2011, we have raised approximately $28.5 million. These amounts have been used to finance our operations, as until now, we have not yet generated any significant revenues. From inception and until September 30, 2011, we recorded losses of $34.7 million and net cash outflow from operations of $28 million.</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July 2011, we raised an aggregate amount of $2.5 million through the issuance of Convertible Notes in a private placement and intend to seek additional financing. On November 1, 2011, we filed a preliminary proxy statement to obtain stockholder approval of the shares issuable in the private placement and the additional financing pursuant to section 713 of the NYSE Amex rules, since such shares in the aggregate are in excess of 19.99% of our outstanding common stock. There is no assurance that the subsequent financing will be consummated. Should the subsequent financing be consummated and the Convertible Notes be converted, we believe we would have sufficient funds to meet planned operating needs at least into the second quarter of 2012. Should the subsequent financing not be consummated by January 1, 2012 and the Convertible Notes are voluntarily converted before such date, we believe we would then have sufficient funds to meet planned operating needs only into the first quarter of 2012. Should the subsequent financing not be consummated by January 1, 2012 and the Convertible Notes have not been voluntarily converted before such date, the Covertible Notes and the accrued interest thereon will become due and payable. We do not currently have sufficient funds to repay the Convertible Notes and the accrued interest due upon maturity. We are exploring further opportunities, including acquisitions, to raise funds necessary to ensure that we are a going concern. There can be no assurance, however, that any such opportunities will materialize.</w:t>
      </w:r>
    </w:p>
    <w:p>
      <w:pPr>
        <w:spacing w:after="0" w:line="18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we are not able to continue as a going concern. As of September 30, 2011, we had approximately $1.7 million in cash and cash equivalents. Our average monthly burn rate from operations for the nine month period ended September 30, 2011, was approximately $0.45 million. In order to conserve funds we underwent resource reductions in the first half of 2011.</w:t>
      </w:r>
    </w:p>
    <w:p>
      <w:pPr>
        <w:spacing w:after="0" w:line="15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 substantial portion of our revenues and anticipated revenues are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recognize revenue from monthly subscription from carriers, development projects and content sales when all the conditions for revenue recognition are met: (i) persuasive evidence of an arrangement exists, (ii) collection of the fee is probable, (iii) the sales price is fixed and determinable and</w:t>
      </w:r>
    </w:p>
    <w:p>
      <w:pPr>
        <w:ind w:right="60" w:firstLine="8"/>
        <w:spacing w:after="0" w:line="290" w:lineRule="auto"/>
        <w:tabs>
          <w:tab w:leader="none" w:pos="305"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delivery has occurred or services have been rendered. Our subscription service arrangements are evidenced by a written document signed by both parties. Our revenues from monthly subscription fees, content purchases and advertisement revenues are recognized when we have received confirmation that the amount is due to us, which provides proof that the services have been rendered, and making collection probable. We recognize revenue from non-refundable up-front fees relating to set-up and billing integration across the period of the contract for the subscription service as these fees are part of hosting solution that we provide to the carrier. The hosting is provided on our servers for the entire period of the arrangement with this carrier, and the revenues relating to the monthly subscription, set-up fees and billing integration have been recognized over the period in the agreement.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revenue consists primarily of expenses directly related to providing our service in launched markets. These expenses include the costs associated with production servers serving the end-users, royalty fees for content sales, amortization of prepaid content licenses, the direct costs of billing services and text messaging providers. In addition, cost of revenue includes certain set-up and other direct costs incurred in connection with adjustments made to our products for each individual client.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Marketing expenses include the salary of all business development and marketing personnel, travel expenses relating to business development activity and tradeshows, as well as public relations, advertising and customer acquisition expenses. As we increase our sales, certain commissions to agents will also be included in sales and marketing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General and administrative expenses include the salary of our finance and administrative personnel, rental costs, legal and accounting fees, insurance, telephone and other office expenses including depreciation and amortization. Following the consummation of our IPO, general and administrative expenses increased significantly as we incurred additional costs of being a public company. These costs include increased legal and accounting costs, additional insurance costs, director compensation and increased share based compensation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and interest and discount amortization expenses on venture loan and Convertible Notes. In addition, non-operating income (expenses) includes a gain on restructuring of venture loan in light of the settlement agreement signed June 8, 2011. Fair value adjustments of derivative liabilities on account of the Special Bridge Warrants and the Conversion Warrants, which are highly influenced by our stock price at the period end (revaluation date), are recorded in non-operating income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 owned subsidiary. At September 30, 2011, our deferred tax assets generated from our U.S. activities were entirely offset by a valuation allowance because realization depends on generating future taxable income, which, in our estimation, is not more likely than not to be realized. The deferred tax assets and liabilities generated from our subsidiary's operations are not offset by an allowance, as in our estimation, it is more likely than not to be realized.</w:t>
      </w:r>
    </w:p>
    <w:p>
      <w:pPr>
        <w:spacing w:after="0" w:line="17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subsidiary generates net taxable income from services it provides to us. The subsidiary charges us for research and development and certain management services provided to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and 2008. In January 2011, new legislation amending the Investment Law was enacted. According to the amendment, the uniform tax rate applicable to the zone where the production facilities of the subsidiary are located would be 15% in 2011 and 2012, 12.5% in 2013 and 2014, and 12% in 2015 and thereafter. Under the transitory provisions of the new legislation, the subsidiary irrevocably implemented the new law while waiving benefits provided under the current law.</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February 2011, the Israeli tax authorities commenced an audit of the subsidiary's Israeli tax returns for the 2007 through 2009 tax years. To date, the subsidiary has not yet received any findings from the audit by the Israeli tax authorities.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and Nine months ended September 30, 2011 and 2010 and the development stage period (cumulative from inception through September 30, 2011)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from inception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60" w:type="dxa"/>
            <w:vAlign w:val="bottom"/>
            <w:gridSpan w:val="6"/>
          </w:tcPr>
          <w:p>
            <w:pPr>
              <w:jc w:val="center"/>
              <w:ind w:right="160"/>
              <w:spacing w:after="0"/>
              <w:rPr>
                <w:sz w:val="20"/>
                <w:szCs w:val="20"/>
                <w:color w:val="auto"/>
              </w:rPr>
            </w:pPr>
            <w:r>
              <w:rPr>
                <w:rFonts w:ascii="Arial" w:cs="Arial" w:eastAsia="Arial" w:hAnsi="Arial"/>
                <w:sz w:val="18"/>
                <w:szCs w:val="18"/>
                <w:color w:val="auto"/>
                <w:w w:val="89"/>
              </w:rPr>
              <w:t>Three months Ended September 30,</w:t>
            </w:r>
          </w:p>
        </w:tc>
        <w:tc>
          <w:tcPr>
            <w:tcW w:w="3580" w:type="dxa"/>
            <w:vAlign w:val="bottom"/>
            <w:gridSpan w:val="7"/>
          </w:tcPr>
          <w:p>
            <w:pPr>
              <w:jc w:val="center"/>
              <w:ind w:right="160"/>
              <w:spacing w:after="0"/>
              <w:rPr>
                <w:sz w:val="20"/>
                <w:szCs w:val="20"/>
                <w:color w:val="auto"/>
              </w:rPr>
            </w:pPr>
            <w:r>
              <w:rPr>
                <w:rFonts w:ascii="Arial" w:cs="Arial" w:eastAsia="Arial" w:hAnsi="Arial"/>
                <w:sz w:val="18"/>
                <w:szCs w:val="18"/>
                <w:color w:val="auto"/>
                <w:w w:val="88"/>
              </w:rPr>
              <w:t>Nine months Ended September 30,</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1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182</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556</w:t>
            </w:r>
          </w:p>
        </w:tc>
        <w:tc>
          <w:tcPr>
            <w:tcW w:w="15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128</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428</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2011, Compared to Three Months Ended September 30, 2010</w:t>
      </w:r>
    </w:p>
    <w:p>
      <w:pPr>
        <w:spacing w:after="0" w:line="225" w:lineRule="exact"/>
        <w:rPr>
          <w:sz w:val="20"/>
          <w:szCs w:val="20"/>
          <w:color w:val="auto"/>
        </w:rPr>
      </w:pPr>
    </w:p>
    <w:p>
      <w:pPr>
        <w:ind w:left="660" w:right="80" w:firstLine="648"/>
        <w:spacing w:after="0" w:line="279" w:lineRule="auto"/>
        <w:rPr>
          <w:sz w:val="20"/>
          <w:szCs w:val="20"/>
          <w:color w:val="auto"/>
        </w:rPr>
      </w:pPr>
      <w:r>
        <w:rPr>
          <w:rFonts w:ascii="Arial" w:cs="Arial" w:eastAsia="Arial" w:hAnsi="Arial"/>
          <w:sz w:val="17"/>
          <w:szCs w:val="17"/>
          <w:color w:val="auto"/>
        </w:rPr>
        <w:t>During the three month period ended September 30, 2011, we recorded revenues of $182 thousand, which represents an increase of $128 thousand (or 237%) from revenues recorded for the three month period ended September 30, 2010. The increase was mainly due to increased revenue in Malaysia ($84 thousand in the third quarter of 2011, compared to the $26 thousand recorded in the third quarter of 2010) and completion of Facetones™ development projects ($45 thousand recognized in the third quarter of 2011).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2011, Compared to Nine Months Ended September 30, 2010</w:t>
      </w:r>
    </w:p>
    <w:p>
      <w:pPr>
        <w:spacing w:after="0" w:line="225" w:lineRule="exact"/>
        <w:rPr>
          <w:sz w:val="20"/>
          <w:szCs w:val="20"/>
          <w:color w:val="auto"/>
        </w:rPr>
      </w:pPr>
    </w:p>
    <w:p>
      <w:pPr>
        <w:ind w:left="660" w:firstLine="648"/>
        <w:spacing w:after="0" w:line="293" w:lineRule="auto"/>
        <w:rPr>
          <w:sz w:val="20"/>
          <w:szCs w:val="20"/>
          <w:color w:val="auto"/>
        </w:rPr>
      </w:pPr>
      <w:r>
        <w:rPr>
          <w:rFonts w:ascii="Arial" w:cs="Arial" w:eastAsia="Arial" w:hAnsi="Arial"/>
          <w:sz w:val="16"/>
          <w:szCs w:val="16"/>
          <w:color w:val="auto"/>
        </w:rPr>
        <w:t>During the nine month period ended September 30, 2011, we recorded revenues of $556 thousand, which represents an increase of $428 thousand (or 334%) from revenues recorded for the nine month period ended September 30, 2010. The increase was mainly due to increased revenue in Malaysia ($239 thousand in the first nine months of 2011, compared to the $52 thousand in the first nine months of 2010), development of Facetones™ ($95 thousand recognized in the first nine months of 2011), development of Fan Loyalty application ($45 thousand recognized in the first nine months of 2011), delivery of Video ReMix platform ($30 thousand recognized in the first nine months of 2011), and revenue recorded in connection with set-up fees for the agreement in Singapore ($28 thousand recognized in the first nine months of 2011).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2011</w:t>
      </w:r>
    </w:p>
    <w:p>
      <w:pPr>
        <w:spacing w:after="0" w:line="225"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color w:val="auto"/>
        </w:rPr>
        <w:t>From inception through September 30, 2011, we recorded revenues of $787 thousand, which includes $497 thousand from revenue share subscription services, $109 thousand from one-time setup fees, $98 thousand from Facetones™, $45 thousand from Fan Loyalty application formats, $30 thousand from Video ReMix platform and $8 thousand from applications sold.</w:t>
      </w:r>
    </w:p>
    <w:p>
      <w:pPr>
        <w:spacing w:after="0" w:line="181" w:lineRule="exact"/>
        <w:rPr>
          <w:sz w:val="20"/>
          <w:szCs w:val="20"/>
          <w:color w:val="auto"/>
        </w:rPr>
      </w:pPr>
    </w:p>
    <w:p>
      <w:pPr>
        <w:ind w:left="660" w:right="180" w:firstLine="648"/>
        <w:spacing w:after="0" w:line="264" w:lineRule="auto"/>
        <w:rPr>
          <w:sz w:val="20"/>
          <w:szCs w:val="20"/>
          <w:color w:val="auto"/>
        </w:rPr>
      </w:pPr>
      <w:r>
        <w:rPr>
          <w:rFonts w:ascii="Arial" w:cs="Arial" w:eastAsia="Arial" w:hAnsi="Arial"/>
          <w:sz w:val="18"/>
          <w:szCs w:val="18"/>
          <w:color w:val="auto"/>
        </w:rPr>
        <w:t>We expect to continue to generate a substantial portion of our revenues for the remainder of the year from: (i) Facetones™, Video Remix, and Fan Loyalty application platforms, (ii) revenue-sharing agreements in Malaysia, (iii) services provided in the United Arab Emirates, (iv) agreement with Everything Everywhere Limited in the UK.</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from inception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00" w:type="dxa"/>
            <w:vAlign w:val="bottom"/>
            <w:gridSpan w:val="5"/>
          </w:tcPr>
          <w:p>
            <w:pPr>
              <w:jc w:val="center"/>
              <w:spacing w:after="0"/>
              <w:rPr>
                <w:sz w:val="20"/>
                <w:szCs w:val="20"/>
                <w:color w:val="auto"/>
              </w:rPr>
            </w:pPr>
            <w:r>
              <w:rPr>
                <w:rFonts w:ascii="Arial" w:cs="Arial" w:eastAsia="Arial" w:hAnsi="Arial"/>
                <w:sz w:val="18"/>
                <w:szCs w:val="18"/>
                <w:color w:val="auto"/>
                <w:w w:val="88"/>
              </w:rPr>
              <w:t>Three months Ended September 30,</w:t>
            </w:r>
          </w:p>
        </w:tc>
        <w:tc>
          <w:tcPr>
            <w:tcW w:w="220" w:type="dxa"/>
            <w:vAlign w:val="bottom"/>
          </w:tcPr>
          <w:p>
            <w:pPr>
              <w:spacing w:after="0"/>
              <w:rPr>
                <w:sz w:val="20"/>
                <w:szCs w:val="20"/>
                <w:color w:val="auto"/>
              </w:rPr>
            </w:pPr>
          </w:p>
        </w:tc>
        <w:tc>
          <w:tcPr>
            <w:tcW w:w="4140" w:type="dxa"/>
            <w:vAlign w:val="bottom"/>
            <w:gridSpan w:val="7"/>
          </w:tcPr>
          <w:p>
            <w:pPr>
              <w:jc w:val="center"/>
              <w:ind w:right="220"/>
              <w:spacing w:after="0"/>
              <w:rPr>
                <w:sz w:val="20"/>
                <w:szCs w:val="20"/>
                <w:color w:val="auto"/>
              </w:rPr>
            </w:pPr>
            <w:r>
              <w:rPr>
                <w:rFonts w:ascii="Arial" w:cs="Arial" w:eastAsia="Arial" w:hAnsi="Arial"/>
                <w:sz w:val="18"/>
                <w:szCs w:val="18"/>
                <w:color w:val="auto"/>
                <w:w w:val="89"/>
              </w:rPr>
              <w:t>Nine months Ended September 30,</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60" w:type="dxa"/>
            <w:vAlign w:val="bottom"/>
            <w:tcBorders>
              <w:top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6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64</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4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105</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131</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color w:val="auto"/>
        </w:rPr>
        <w:t>Our cost of revenue is mainly comprised of cost of services related to the provision of content to end-users and cost of hosted servers needed to support our service in markets where we have launched our product. The decrease in cost of revenue recorded during three and nine month period ended September 30, 2011, compared with three and nine month period ended September 30, 2010, is mainly related to a decrease in content purchases and related amortization expenses.</w:t>
      </w:r>
    </w:p>
    <w:p>
      <w:pPr>
        <w:spacing w:after="0" w:line="187" w:lineRule="exact"/>
        <w:rPr>
          <w:sz w:val="20"/>
          <w:szCs w:val="20"/>
          <w:color w:val="auto"/>
        </w:rPr>
      </w:pPr>
    </w:p>
    <w:p>
      <w:pPr>
        <w:ind w:left="660" w:right="200" w:firstLine="648"/>
        <w:spacing w:after="0" w:line="264" w:lineRule="auto"/>
        <w:rPr>
          <w:sz w:val="20"/>
          <w:szCs w:val="20"/>
          <w:color w:val="auto"/>
        </w:rPr>
      </w:pPr>
      <w:r>
        <w:rPr>
          <w:rFonts w:ascii="Arial" w:cs="Arial" w:eastAsia="Arial" w:hAnsi="Arial"/>
          <w:sz w:val="18"/>
          <w:szCs w:val="18"/>
          <w:color w:val="auto"/>
        </w:rPr>
        <w:t>We expect that cost of revenue will increase, as we diversify the portfolio of our products. As some of these costs are fixed irrespective of our revenues, we expect our gross margin to increase, as our revenues increase. From inception through September 30, 2011, our total cost of revenue was $316 thousand.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212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8"/>
              </w:rPr>
              <w:t>Research and Development</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from inception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gridSpan w:val="7"/>
          </w:tcPr>
          <w:p>
            <w:pPr>
              <w:jc w:val="center"/>
              <w:ind w:right="520"/>
              <w:spacing w:after="0"/>
              <w:rPr>
                <w:sz w:val="20"/>
                <w:szCs w:val="20"/>
                <w:color w:val="auto"/>
              </w:rPr>
            </w:pPr>
            <w:r>
              <w:rPr>
                <w:rFonts w:ascii="Arial" w:cs="Arial" w:eastAsia="Arial" w:hAnsi="Arial"/>
                <w:sz w:val="18"/>
                <w:szCs w:val="18"/>
                <w:color w:val="auto"/>
                <w:w w:val="88"/>
              </w:rPr>
              <w:t>Three months Ended September 30,</w:t>
            </w:r>
          </w:p>
        </w:tc>
        <w:tc>
          <w:tcPr>
            <w:tcW w:w="412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Nine months Ended September 30,</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2011</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Research and</w:t>
            </w:r>
          </w:p>
        </w:tc>
        <w:tc>
          <w:tcPr>
            <w:tcW w:w="9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480</w:t>
            </w:r>
          </w:p>
        </w:tc>
        <w:tc>
          <w:tcPr>
            <w:tcW w:w="1580" w:type="dxa"/>
            <w:vAlign w:val="bottom"/>
            <w:gridSpan w:val="3"/>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668</w:t>
            </w:r>
          </w:p>
        </w:tc>
        <w:tc>
          <w:tcPr>
            <w:tcW w:w="132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(188)</w:t>
            </w:r>
          </w:p>
        </w:tc>
        <w:tc>
          <w:tcPr>
            <w:tcW w:w="1320" w:type="dxa"/>
            <w:vAlign w:val="bottom"/>
            <w:gridSpan w:val="2"/>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1,459</w:t>
            </w:r>
          </w:p>
        </w:tc>
        <w:tc>
          <w:tcPr>
            <w:tcW w:w="1480" w:type="dxa"/>
            <w:vAlign w:val="bottom"/>
            <w:gridSpan w:val="2"/>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1,848</w:t>
            </w:r>
          </w:p>
        </w:tc>
        <w:tc>
          <w:tcPr>
            <w:tcW w:w="132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(389)</w:t>
            </w:r>
          </w:p>
        </w:tc>
        <w:tc>
          <w:tcPr>
            <w:tcW w:w="13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development</w:t>
            </w: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2011, Compared to Three Months Ended September 30, 2010</w:t>
      </w:r>
    </w:p>
    <w:p>
      <w:pPr>
        <w:spacing w:after="0" w:line="225" w:lineRule="exact"/>
        <w:rPr>
          <w:sz w:val="20"/>
          <w:szCs w:val="20"/>
          <w:color w:val="auto"/>
        </w:rPr>
      </w:pPr>
    </w:p>
    <w:p>
      <w:pPr>
        <w:ind w:left="660" w:right="20" w:firstLine="648"/>
        <w:spacing w:after="0" w:line="302" w:lineRule="auto"/>
        <w:rPr>
          <w:sz w:val="20"/>
          <w:szCs w:val="20"/>
          <w:color w:val="auto"/>
        </w:rPr>
      </w:pPr>
      <w:r>
        <w:rPr>
          <w:rFonts w:ascii="Arial" w:cs="Arial" w:eastAsia="Arial" w:hAnsi="Arial"/>
          <w:sz w:val="16"/>
          <w:szCs w:val="16"/>
          <w:color w:val="auto"/>
        </w:rPr>
        <w:t>Research and development expenses decreased from $668 thousand to $480 thousand (-28%) during the three month period ended September 30, 2011, compared to the three month period ended September 30, 2010. The decrease was mainly due to lower salary and compensation expenses (a decrease of $106 thousand compared to the third quarter of 2010), and a decrease in development services provided by subcontractors (a decrease of $70 thousand compared to the third quarter of 2010), all as part of the cost saving plan implemented by us earlier in the year.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2011, Compared to Nine Months Ended September 30, 2010</w:t>
      </w:r>
    </w:p>
    <w:p>
      <w:pPr>
        <w:spacing w:after="0" w:line="225" w:lineRule="exact"/>
        <w:rPr>
          <w:sz w:val="20"/>
          <w:szCs w:val="20"/>
          <w:color w:val="auto"/>
        </w:rPr>
      </w:pPr>
    </w:p>
    <w:p>
      <w:pPr>
        <w:ind w:left="660" w:right="80" w:firstLine="648"/>
        <w:spacing w:after="0" w:line="259" w:lineRule="auto"/>
        <w:rPr>
          <w:sz w:val="20"/>
          <w:szCs w:val="20"/>
          <w:color w:val="auto"/>
        </w:rPr>
      </w:pPr>
      <w:r>
        <w:rPr>
          <w:rFonts w:ascii="Arial" w:cs="Arial" w:eastAsia="Arial" w:hAnsi="Arial"/>
          <w:sz w:val="18"/>
          <w:szCs w:val="18"/>
          <w:color w:val="auto"/>
        </w:rPr>
        <w:t>Research and development expenses decreased from $1,848 thousand to $1,459 thousand (-21%) during the nine month period ended September 30, 2011, compared to the nine month period ended September 30, 2010. The decrease is mainly due to lower salary and compensation expenses (a decrease of $276 thousand compared to the first nine months of 2010) in connection with a separation agreement signed with one of our officers, as part of the cost saving plan implemented by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2011</w:t>
      </w:r>
    </w:p>
    <w:p>
      <w:pPr>
        <w:spacing w:after="0" w:line="225" w:lineRule="exact"/>
        <w:rPr>
          <w:sz w:val="20"/>
          <w:szCs w:val="20"/>
          <w:color w:val="auto"/>
        </w:rPr>
      </w:pPr>
    </w:p>
    <w:p>
      <w:pPr>
        <w:ind w:left="660" w:firstLine="648"/>
        <w:spacing w:after="0" w:line="312" w:lineRule="auto"/>
        <w:rPr>
          <w:sz w:val="20"/>
          <w:szCs w:val="20"/>
          <w:color w:val="auto"/>
        </w:rPr>
      </w:pPr>
      <w:r>
        <w:rPr>
          <w:rFonts w:ascii="Arial" w:cs="Arial" w:eastAsia="Arial" w:hAnsi="Arial"/>
          <w:sz w:val="16"/>
          <w:szCs w:val="16"/>
          <w:color w:val="auto"/>
        </w:rPr>
        <w:t>From inception through September 30, 2011, research and development expenses amounted to approximately $12.8 million. Of this amount, approximately $8.7 million was attributed to salaries and related expenses, $1.9 million was attributed to sub-contracting and consulting services, $0.8 million was attributed to operating expenses, $0.6 was attributed to overhead and $0.8 million was attributed to patent expenses.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1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Marketing</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from inception to</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60" w:type="dxa"/>
            <w:vAlign w:val="bottom"/>
            <w:gridSpan w:val="7"/>
          </w:tcPr>
          <w:p>
            <w:pPr>
              <w:jc w:val="center"/>
              <w:ind w:right="180"/>
              <w:spacing w:after="0"/>
              <w:rPr>
                <w:sz w:val="20"/>
                <w:szCs w:val="20"/>
                <w:color w:val="auto"/>
              </w:rPr>
            </w:pPr>
            <w:r>
              <w:rPr>
                <w:rFonts w:ascii="Arial" w:cs="Arial" w:eastAsia="Arial" w:hAnsi="Arial"/>
                <w:sz w:val="18"/>
                <w:szCs w:val="18"/>
                <w:color w:val="auto"/>
                <w:w w:val="88"/>
              </w:rPr>
              <w:t>Three months Ended September 30,</w:t>
            </w:r>
          </w:p>
        </w:tc>
        <w:tc>
          <w:tcPr>
            <w:tcW w:w="3560" w:type="dxa"/>
            <w:vAlign w:val="bottom"/>
            <w:gridSpan w:val="7"/>
          </w:tcPr>
          <w:p>
            <w:pPr>
              <w:jc w:val="center"/>
              <w:ind w:right="160"/>
              <w:spacing w:after="0"/>
              <w:rPr>
                <w:sz w:val="20"/>
                <w:szCs w:val="20"/>
                <w:color w:val="auto"/>
              </w:rPr>
            </w:pPr>
            <w:r>
              <w:rPr>
                <w:rFonts w:ascii="Arial" w:cs="Arial" w:eastAsia="Arial" w:hAnsi="Arial"/>
                <w:sz w:val="18"/>
                <w:szCs w:val="18"/>
                <w:color w:val="auto"/>
                <w:w w:val="89"/>
              </w:rPr>
              <w:t>Nine months Ended September 30,</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2010</w:t>
            </w: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1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1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vMerge w:val="restart"/>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Marketing</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463</w:t>
            </w:r>
          </w:p>
        </w:tc>
        <w:tc>
          <w:tcPr>
            <w:tcW w:w="15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517</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1,769</w:t>
            </w:r>
          </w:p>
        </w:tc>
        <w:tc>
          <w:tcPr>
            <w:tcW w:w="15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1,624</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145</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2011, Compared to Three Months Ended September 30, 2010</w:t>
      </w:r>
    </w:p>
    <w:p>
      <w:pPr>
        <w:spacing w:after="0" w:line="225" w:lineRule="exact"/>
        <w:rPr>
          <w:sz w:val="20"/>
          <w:szCs w:val="20"/>
          <w:color w:val="auto"/>
        </w:rPr>
      </w:pPr>
    </w:p>
    <w:p>
      <w:pPr>
        <w:ind w:left="660" w:firstLine="648"/>
        <w:spacing w:after="0" w:line="302" w:lineRule="auto"/>
        <w:rPr>
          <w:sz w:val="20"/>
          <w:szCs w:val="20"/>
          <w:color w:val="auto"/>
        </w:rPr>
      </w:pPr>
      <w:r>
        <w:rPr>
          <w:rFonts w:ascii="Arial" w:cs="Arial" w:eastAsia="Arial" w:hAnsi="Arial"/>
          <w:sz w:val="16"/>
          <w:szCs w:val="16"/>
          <w:color w:val="auto"/>
        </w:rPr>
        <w:t>Marketing expenses decreased from $517 thousand to $463 thousand (-10%) during the three month period ended September 30, 2011, compared to the three month period ended September 30, 2010. The decrease was mainly due to lower salary and compensation expenses (a decrease of $118 thousand compared to the third quarter 2010), due to reduction in workforce, all as part of cost saving plan implemented by us. In addition, we incurred higher advertising costs in connection with Facetones™ launch ($62 thousand compared to the third quarter 2010).</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2011, Compared to Nine Months Ended September 30, 2010</w:t>
      </w:r>
    </w:p>
    <w:p>
      <w:pPr>
        <w:spacing w:after="0" w:line="225" w:lineRule="exact"/>
        <w:rPr>
          <w:sz w:val="20"/>
          <w:szCs w:val="20"/>
          <w:color w:val="auto"/>
        </w:rPr>
      </w:pPr>
    </w:p>
    <w:p>
      <w:pPr>
        <w:ind w:left="660" w:right="40" w:firstLine="648"/>
        <w:spacing w:after="0" w:line="255" w:lineRule="auto"/>
        <w:rPr>
          <w:sz w:val="20"/>
          <w:szCs w:val="20"/>
          <w:color w:val="auto"/>
        </w:rPr>
      </w:pPr>
      <w:r>
        <w:rPr>
          <w:rFonts w:ascii="Arial" w:cs="Arial" w:eastAsia="Arial" w:hAnsi="Arial"/>
          <w:sz w:val="18"/>
          <w:szCs w:val="18"/>
          <w:color w:val="auto"/>
        </w:rPr>
        <w:t>Marketing expenses increased from $1,624 thousand to $1,769 thousand (9%) during the nine month period ended September 30, 2011, compared to the nine month period ended September 30, 2010. The increase is mainly due to higher share based compensation expenses (an increase of $119 thousand compared to the first nine months of 2010), which was offset by lower salary expenses ($42 thousand compared to the first nine months of 2010), due to reduction in workforce (offset by an increase in salary related to hiring of our President in the US), all as part of the cost saving plan implemented by us. In addition, we incurred higher advertising costs in connection with Facetones™ launch ($62 thousand compared to the first nine months of 2010).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2011</w:t>
      </w:r>
    </w:p>
    <w:p>
      <w:pPr>
        <w:spacing w:after="0" w:line="225" w:lineRule="exact"/>
        <w:rPr>
          <w:sz w:val="20"/>
          <w:szCs w:val="20"/>
          <w:color w:val="auto"/>
        </w:rPr>
      </w:pPr>
    </w:p>
    <w:p>
      <w:pPr>
        <w:ind w:left="660" w:right="80" w:firstLine="648"/>
        <w:spacing w:after="0" w:line="259" w:lineRule="auto"/>
        <w:rPr>
          <w:sz w:val="20"/>
          <w:szCs w:val="20"/>
          <w:color w:val="auto"/>
        </w:rPr>
      </w:pPr>
      <w:r>
        <w:rPr>
          <w:rFonts w:ascii="Arial" w:cs="Arial" w:eastAsia="Arial" w:hAnsi="Arial"/>
          <w:sz w:val="18"/>
          <w:szCs w:val="18"/>
          <w:color w:val="auto"/>
        </w:rPr>
        <w:t>From inception through September 30, 2011, marketing expenses amounted to approximately $11.1 million. Of this amount, approximately $5.7 million was attributed to salaries and related expenses, $2.2 million was attributed to travel and tradeshows, $1.5 million was attributed to sub-contracting and consulting services, $1.0 million was attributed to public relations services and customer acquisition expenses and $0.7 was attributed to overhead expenses.</w:t>
      </w:r>
    </w:p>
    <w:p>
      <w:pPr>
        <w:spacing w:after="0" w:line="187" w:lineRule="exact"/>
        <w:rPr>
          <w:sz w:val="20"/>
          <w:szCs w:val="20"/>
          <w:color w:val="auto"/>
        </w:rPr>
      </w:pPr>
    </w:p>
    <w:p>
      <w:pPr>
        <w:ind w:left="660" w:right="20" w:firstLine="648"/>
        <w:spacing w:after="0" w:line="255" w:lineRule="auto"/>
        <w:rPr>
          <w:sz w:val="20"/>
          <w:szCs w:val="20"/>
          <w:color w:val="auto"/>
        </w:rPr>
      </w:pPr>
      <w:r>
        <w:rPr>
          <w:rFonts w:ascii="Arial" w:cs="Arial" w:eastAsia="Arial" w:hAnsi="Arial"/>
          <w:sz w:val="18"/>
          <w:szCs w:val="18"/>
          <w:color w:val="auto"/>
        </w:rPr>
        <w:t>A significant portion of our marketing activity relates to the launching of services with our global partners and building a pipeline for further agreements. In addition, we conduct direct-to-consumer marketing activities in countries where we have launched our services to build on the efforts of our partners. While we do not expect to invest heavily in direct-to-consumer marketing activities in the future, we do expect an increase in marketing expenses as we continue launching our service in different global markets. In certain markets, our marketing efforts may include hiring local personnel to introduce us to the market and purchasing rights to certain local content. As our market reach grows, we expect our marketing expenses to continue to increase our visibility to potential partners.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21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0"/>
              </w:rPr>
              <w:t>General and Administrative</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from inception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7"/>
          </w:tcPr>
          <w:p>
            <w:pPr>
              <w:jc w:val="center"/>
              <w:ind w:right="540"/>
              <w:spacing w:after="0"/>
              <w:rPr>
                <w:sz w:val="20"/>
                <w:szCs w:val="20"/>
                <w:color w:val="auto"/>
              </w:rPr>
            </w:pPr>
            <w:r>
              <w:rPr>
                <w:rFonts w:ascii="Arial" w:cs="Arial" w:eastAsia="Arial" w:hAnsi="Arial"/>
                <w:sz w:val="18"/>
                <w:szCs w:val="18"/>
                <w:color w:val="auto"/>
                <w:w w:val="88"/>
              </w:rPr>
              <w:t>Three months Ended September 30,</w:t>
            </w:r>
          </w:p>
        </w:tc>
        <w:tc>
          <w:tcPr>
            <w:tcW w:w="412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Nine months Ended September 30,</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2011</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General and</w:t>
            </w: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administrative</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721</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478</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2,076</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1,192</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884</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2011, Compared to Three Months Ended September 30, 2010</w:t>
      </w:r>
    </w:p>
    <w:p>
      <w:pPr>
        <w:spacing w:after="0" w:line="225" w:lineRule="exact"/>
        <w:rPr>
          <w:sz w:val="20"/>
          <w:szCs w:val="20"/>
          <w:color w:val="auto"/>
        </w:rPr>
      </w:pPr>
    </w:p>
    <w:p>
      <w:pPr>
        <w:ind w:left="660" w:right="120" w:firstLine="648"/>
        <w:spacing w:after="0" w:line="259" w:lineRule="auto"/>
        <w:rPr>
          <w:sz w:val="20"/>
          <w:szCs w:val="20"/>
          <w:color w:val="auto"/>
        </w:rPr>
      </w:pPr>
      <w:r>
        <w:rPr>
          <w:rFonts w:ascii="Arial" w:cs="Arial" w:eastAsia="Arial" w:hAnsi="Arial"/>
          <w:sz w:val="18"/>
          <w:szCs w:val="18"/>
          <w:color w:val="auto"/>
        </w:rPr>
        <w:t>General and administrative expenses increased from $478 thousand to $721 thousand (51%) during the three month period ended September 30, 2011, compared to the three month period ended September 30, 2010. The increase was mainly due to higher professional fees connected to merger, acquisition (which did not materialize) and financing activities, (an increase of $190 thousand compared to the third quarter of 2010).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2011, Compared to Nine Months Ended September 30, 2010</w:t>
      </w:r>
    </w:p>
    <w:p>
      <w:pPr>
        <w:spacing w:after="0" w:line="225" w:lineRule="exact"/>
        <w:rPr>
          <w:sz w:val="20"/>
          <w:szCs w:val="20"/>
          <w:color w:val="auto"/>
        </w:rPr>
      </w:pPr>
    </w:p>
    <w:p>
      <w:pPr>
        <w:ind w:left="660" w:right="240" w:firstLine="648"/>
        <w:spacing w:after="0" w:line="255" w:lineRule="auto"/>
        <w:rPr>
          <w:sz w:val="20"/>
          <w:szCs w:val="20"/>
          <w:color w:val="auto"/>
        </w:rPr>
      </w:pPr>
      <w:r>
        <w:rPr>
          <w:rFonts w:ascii="Arial" w:cs="Arial" w:eastAsia="Arial" w:hAnsi="Arial"/>
          <w:sz w:val="18"/>
          <w:szCs w:val="18"/>
          <w:color w:val="auto"/>
        </w:rPr>
        <w:t>General and administrative expenses increased from $1,192 thousand to $2,076 thousand (74%) during the nine month period ended September 30, 2011, compared to the nine month period ended September 30, 2010. The increase was mainly due to higher professional fees connected to being a public company and to merger, acquisition and financing activities (an increase of $528 thousand compared to the first nine months of 2010), due to increased share-based compensation (an increase of $183 thousand compared to the first nine months of 2010), and increased cost of labor and expenses incurred in connection with being a public company (an increase of $190 thousand compared to the first nine months of 2010).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2011</w:t>
      </w:r>
    </w:p>
    <w:p>
      <w:pPr>
        <w:spacing w:after="0" w:line="225"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color w:val="auto"/>
        </w:rPr>
        <w:t>From inception through September 30, 2011, general and administrative expenses totaled approximately $7.3 million. Of this amount, approximately $3.5 million was attributed to salaries and related expenses, $1.1 was attributed to various office expenses, $2.1 million was attributed to professional fees and $0.6 million was attributed to depreciation and amortization.</w:t>
      </w:r>
    </w:p>
    <w:p>
      <w:pPr>
        <w:spacing w:after="0" w:line="181" w:lineRule="exact"/>
        <w:rPr>
          <w:sz w:val="20"/>
          <w:szCs w:val="20"/>
          <w:color w:val="auto"/>
        </w:rPr>
      </w:pPr>
    </w:p>
    <w:p>
      <w:pPr>
        <w:ind w:left="660" w:right="520" w:firstLine="648"/>
        <w:spacing w:after="0" w:line="277" w:lineRule="auto"/>
        <w:rPr>
          <w:sz w:val="20"/>
          <w:szCs w:val="20"/>
          <w:color w:val="auto"/>
        </w:rPr>
      </w:pPr>
      <w:r>
        <w:rPr>
          <w:rFonts w:ascii="Arial" w:cs="Arial" w:eastAsia="Arial" w:hAnsi="Arial"/>
          <w:sz w:val="18"/>
          <w:szCs w:val="18"/>
          <w:color w:val="auto"/>
        </w:rPr>
        <w:t>We expect that our general and administrative expenses will remain stable in the near future as they reflect the costs of being a public company and costs incurred in connection with merger, acquisition and financing activities.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31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7"/>
              </w:rPr>
              <w:t>Non-operating income (expense), Net</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from inception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2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Three months Ended September 30,</w:t>
            </w:r>
          </w:p>
        </w:tc>
        <w:tc>
          <w:tcPr>
            <w:tcW w:w="4140" w:type="dxa"/>
            <w:vAlign w:val="bottom"/>
            <w:gridSpan w:val="7"/>
          </w:tcPr>
          <w:p>
            <w:pPr>
              <w:jc w:val="center"/>
              <w:ind w:right="220"/>
              <w:spacing w:after="0"/>
              <w:rPr>
                <w:sz w:val="20"/>
                <w:szCs w:val="20"/>
                <w:color w:val="auto"/>
              </w:rPr>
            </w:pPr>
            <w:r>
              <w:rPr>
                <w:rFonts w:ascii="Arial" w:cs="Arial" w:eastAsia="Arial" w:hAnsi="Arial"/>
                <w:sz w:val="18"/>
                <w:szCs w:val="18"/>
                <w:color w:val="auto"/>
                <w:w w:val="89"/>
              </w:rPr>
              <w:t>Nine months Ended September 30,</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Non-operating income</w:t>
            </w: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(expense), net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(493)</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(1,145)</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652</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274</w:t>
            </w:r>
          </w:p>
        </w:tc>
        <w:tc>
          <w:tcPr>
            <w:tcW w:w="15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(4,722)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4,996</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2011, Compared to Three Months Ended September 30, 2010</w:t>
      </w:r>
    </w:p>
    <w:p>
      <w:pPr>
        <w:spacing w:after="0" w:line="225" w:lineRule="exact"/>
        <w:rPr>
          <w:sz w:val="20"/>
          <w:szCs w:val="20"/>
          <w:color w:val="auto"/>
        </w:rPr>
      </w:pPr>
    </w:p>
    <w:p>
      <w:pPr>
        <w:ind w:left="660" w:right="100" w:firstLine="648"/>
        <w:spacing w:after="0" w:line="308" w:lineRule="auto"/>
        <w:rPr>
          <w:sz w:val="20"/>
          <w:szCs w:val="20"/>
          <w:color w:val="auto"/>
        </w:rPr>
      </w:pPr>
      <w:r>
        <w:rPr>
          <w:rFonts w:ascii="Arial" w:cs="Arial" w:eastAsia="Arial" w:hAnsi="Arial"/>
          <w:sz w:val="17"/>
          <w:szCs w:val="17"/>
          <w:color w:val="auto"/>
        </w:rPr>
        <w:t>During the three month period ended September 30, 2011, we recorded net non-operating expense in the amount of $0.5 million, compared to net non-operating expense in the amount of $ 1.1 million recorded in the three month period ended September 30, 2010.</w:t>
      </w:r>
    </w:p>
    <w:p>
      <w:pPr>
        <w:spacing w:after="0" w:line="147" w:lineRule="exact"/>
        <w:rPr>
          <w:sz w:val="20"/>
          <w:szCs w:val="20"/>
          <w:color w:val="auto"/>
        </w:rPr>
      </w:pPr>
    </w:p>
    <w:p>
      <w:pPr>
        <w:ind w:left="660" w:right="120" w:firstLine="648"/>
        <w:spacing w:after="0" w:line="286" w:lineRule="auto"/>
        <w:rPr>
          <w:sz w:val="20"/>
          <w:szCs w:val="20"/>
          <w:color w:val="auto"/>
        </w:rPr>
      </w:pPr>
      <w:r>
        <w:rPr>
          <w:rFonts w:ascii="Arial" w:cs="Arial" w:eastAsia="Arial" w:hAnsi="Arial"/>
          <w:sz w:val="17"/>
          <w:szCs w:val="17"/>
          <w:color w:val="auto"/>
        </w:rPr>
        <w:t>During the three month period ended September 30, 2011, we recorded net non-operating expenses related to the valuation of the Special Bridge Warrants and the Conversion Warrants, in the amount of $0.4 million. In addition, we recorded non-operating expense in the total amount of approximately $0.1 million, in connection with interest and discount amortization on the Convertible Notes.</w:t>
      </w:r>
    </w:p>
    <w:p>
      <w:pPr>
        <w:spacing w:after="0" w:line="166" w:lineRule="exact"/>
        <w:rPr>
          <w:sz w:val="20"/>
          <w:szCs w:val="20"/>
          <w:color w:val="auto"/>
        </w:rPr>
      </w:pPr>
    </w:p>
    <w:p>
      <w:pPr>
        <w:ind w:left="660" w:right="300" w:firstLine="648"/>
        <w:spacing w:after="0" w:line="264" w:lineRule="auto"/>
        <w:rPr>
          <w:sz w:val="20"/>
          <w:szCs w:val="20"/>
          <w:color w:val="auto"/>
        </w:rPr>
      </w:pPr>
      <w:r>
        <w:rPr>
          <w:rFonts w:ascii="Arial" w:cs="Arial" w:eastAsia="Arial" w:hAnsi="Arial"/>
          <w:sz w:val="18"/>
          <w:szCs w:val="18"/>
          <w:color w:val="auto"/>
        </w:rPr>
        <w:t>During the three month period ended September 30, 2010, we recorded net non-operating expense, net, in the amount of $1.1 million, of which $0.96 million was recorded in connection with the quarterly revaluation of the Special Bridge Warrants and the Conversion Warrants derivative liabilities.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2011, Compared to Nine Months Ended September 30, 2010</w:t>
      </w:r>
    </w:p>
    <w:p>
      <w:pPr>
        <w:spacing w:after="0" w:line="225"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During the nine month period ended September 30, 2011, we recorded net non-operating income in the amount of $0.3 million, compared to a net non-operating expense, in the total amount of $ 4.7 million, recorded in the nine month period ended September 30, 2010.</w:t>
      </w:r>
    </w:p>
    <w:p>
      <w:pPr>
        <w:spacing w:after="0" w:line="147" w:lineRule="exact"/>
        <w:rPr>
          <w:sz w:val="20"/>
          <w:szCs w:val="20"/>
          <w:color w:val="auto"/>
        </w:rPr>
      </w:pPr>
    </w:p>
    <w:p>
      <w:pPr>
        <w:ind w:left="660" w:right="220" w:firstLine="648"/>
        <w:spacing w:after="0" w:line="259" w:lineRule="auto"/>
        <w:rPr>
          <w:sz w:val="20"/>
          <w:szCs w:val="20"/>
          <w:color w:val="auto"/>
        </w:rPr>
      </w:pPr>
      <w:r>
        <w:rPr>
          <w:rFonts w:ascii="Arial" w:cs="Arial" w:eastAsia="Arial" w:hAnsi="Arial"/>
          <w:sz w:val="18"/>
          <w:szCs w:val="18"/>
          <w:color w:val="auto"/>
        </w:rPr>
        <w:t>During the nine month period ended September 30, 2011, we recorded $0.96 million income in connection with the settlement of the venture loan. This income was offset by non-operating expense in the total amount of approximately $0.4 million recorded in connection with the revaluation of the Special Bridge Warrants and the Conversion Warrants and $0.3 million recorded in connection with interest on venture loan and amortization of discount on Convertible Notes.</w:t>
      </w:r>
    </w:p>
    <w:p>
      <w:pPr>
        <w:spacing w:after="0" w:line="187" w:lineRule="exact"/>
        <w:rPr>
          <w:sz w:val="20"/>
          <w:szCs w:val="20"/>
          <w:color w:val="auto"/>
        </w:rPr>
      </w:pPr>
    </w:p>
    <w:p>
      <w:pPr>
        <w:ind w:left="660" w:right="40" w:firstLine="648"/>
        <w:spacing w:after="0" w:line="270" w:lineRule="auto"/>
        <w:rPr>
          <w:sz w:val="20"/>
          <w:szCs w:val="20"/>
          <w:color w:val="auto"/>
        </w:rPr>
      </w:pPr>
      <w:r>
        <w:rPr>
          <w:rFonts w:ascii="Arial" w:cs="Arial" w:eastAsia="Arial" w:hAnsi="Arial"/>
          <w:sz w:val="17"/>
          <w:szCs w:val="17"/>
          <w:color w:val="auto"/>
        </w:rPr>
        <w:t>During the first nine months of 2010, we recorded non-operating expense, net in the amount of $4.7 million, primarily due to the recording of the bridge notes, issued on December 29, 2009, at their residual value at the closing of bridge financing, pursuant to which we recorded additional interest costs for the bridge notes of $1.1 million. In addition, as a result of the conversion of the bridge notes we recorded an additional interest expense of approximately $1.1 million on account of the beneficial conversion feature from the loan and an additional $0.1 million on account of the additional Special Bridge Warrants that were issued to investors in the bridge financing, in addition to the original 795,200 such warrants issued upon the closing of bridge financing. Additional interest expense on account of the loan amortization of $0.1 million in addition to the interest expense recorded for the venture loan was also recorded in this period. In connection with the granting of the lead investor warrants we recorded additional interest expense of $1.3 million. We also recorded approximately $0.1 million of interest expense for bridge notes and approximately $0.4 million of interest expense for the venture loan. In addition, we recorded $0.5 million expense in connection with the adjustment of the fair value of the Special Bridge Warrants and Conversion Warrants.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2011</w:t>
      </w:r>
    </w:p>
    <w:p>
      <w:pPr>
        <w:spacing w:after="0" w:line="225" w:lineRule="exact"/>
        <w:rPr>
          <w:sz w:val="20"/>
          <w:szCs w:val="20"/>
          <w:color w:val="auto"/>
        </w:rPr>
      </w:pPr>
    </w:p>
    <w:p>
      <w:pPr>
        <w:ind w:left="660" w:right="40" w:firstLine="648"/>
        <w:spacing w:after="0" w:line="272" w:lineRule="auto"/>
        <w:rPr>
          <w:sz w:val="20"/>
          <w:szCs w:val="20"/>
          <w:color w:val="auto"/>
        </w:rPr>
      </w:pPr>
      <w:r>
        <w:rPr>
          <w:rFonts w:ascii="Arial" w:cs="Arial" w:eastAsia="Arial" w:hAnsi="Arial"/>
          <w:sz w:val="17"/>
          <w:szCs w:val="17"/>
          <w:color w:val="auto"/>
        </w:rPr>
        <w:t>From inception through September 30, 2011, non-operating expenses totaled approximately $3.9 million. This amount included: income from interest on deposits of $0.2 million and interest expense on the venture loan of $1.6 million,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$1.3 million as additional interest expense for warrants granted to lead investors of the bridge financing, $1.0 million income in connection with the settlement of the venture loan, and non-operating income of $0.5 million for the adjustment of the fair value of the Special Bridge Warrants and the Conversion Warrants.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7"/>
          <w:szCs w:val="17"/>
          <w:color w:val="auto"/>
        </w:rPr>
        <w:t>We expect that our non-operating expenses in the future will be mainly affected by the adjustments to fair value of the derivative instruments.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Taxes on Income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from inception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8"/>
              </w:rPr>
              <w:t>Three months Ended September 30,</w:t>
            </w:r>
          </w:p>
        </w:tc>
        <w:tc>
          <w:tcPr>
            <w:tcW w:w="220" w:type="dxa"/>
            <w:vAlign w:val="bottom"/>
          </w:tcPr>
          <w:p>
            <w:pPr>
              <w:spacing w:after="0"/>
              <w:rPr>
                <w:sz w:val="20"/>
                <w:szCs w:val="20"/>
                <w:color w:val="auto"/>
              </w:rPr>
            </w:pPr>
          </w:p>
        </w:tc>
        <w:tc>
          <w:tcPr>
            <w:tcW w:w="39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Nine months Ended September 30,</w:t>
            </w:r>
          </w:p>
        </w:tc>
        <w:tc>
          <w:tcPr>
            <w:tcW w:w="2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Change</w:t>
            </w: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Taxes on income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16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4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During the three month period ended September 30, 2011, we recorded income tax expense in the total amount of $40 thousand, which reflects an increase of $26 thousand compared to tax expense of $14 thousand recorded in the three month period ended September 30, 2010. Taxes on income are mainly due to taxable profits generated by our subsidiary as a result of the intercompany cost plus agreement between us and the subsidiary, whereby the subsidiary performs development services for us and is reimbursed for its expenses plus 8%. In addition, during the three and nine month period ended September 30, 2011, we recorded income tax expense of $16 thousand and $28 thousand, respectively, in connection with tax withheld at source by our partner in Malaysia.</w:t>
      </w:r>
    </w:p>
    <w:p>
      <w:pPr>
        <w:spacing w:after="0" w:line="19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expect tax expenses will increase as our subsidiary will continue to profit from the cost plus agreement. However, in the future,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As of September 30, 2011, we had a cash balance of $1.7 million and $1.2 million negative net working capital. The decrease of $3.7 million in our cash balance from December 31, 2010, was mainly due to cash used by us in our business operations ($ 4.1 million) and venture loan repayment ($2.1 million), offset by the receipt of the funds from issuance of the Convertible Notes ($2.5 million). As of September 30, 2011, our total deficit in stockholders' equity was $3.4 million, mainly due to continued operating deficits from inception to date, and partially due to the classification of the Special Bridge Warrants and the Conversion Warrants as derivative liabilities rather than equity securities.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July 2011, we issued Convertible Notes in a private placement, in the aggregate amount of $2.5 million, primarily to two venture capital firms: Benchmark Capital and DAG Ventures. The Convertible Notes are convertible into shares of common stock at a conversion price equal to the lower of (i) the closing price of our common stock on the announcement date of the note offering, (ii) the closing price of our common stock on the closing date of the note offering and (iii) a ten percent (10%) discount to the price at which the securities are sold in a subsequent stock offering. Should consummation of a subsequent stock offering occur, the Convertible Notes and any accrued interest will automatically convert into the same securities and contain the same terms (other than the conversion price, which is set forth above) as in the subsequent stock offering. In the absence of stockholder approval, we may not issue shares of common stock upon conversion of the Convertible Notes in excess of 19.99% of our outstanding shares. Should the subsequent financing not occur by January 1, 2012, the principal and all accrued but unpaid interest thereon shall be repayable in full to the holders of the convertible note, unless the notes are converted prior to such time.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ind w:right="20" w:firstLine="648"/>
        <w:spacing w:after="0" w:line="270" w:lineRule="auto"/>
        <w:rPr>
          <w:sz w:val="20"/>
          <w:szCs w:val="20"/>
          <w:color w:val="auto"/>
        </w:rPr>
      </w:pPr>
      <w:r>
        <w:rPr>
          <w:rFonts w:ascii="Arial" w:cs="Arial" w:eastAsia="Arial" w:hAnsi="Arial"/>
          <w:sz w:val="17"/>
          <w:szCs w:val="17"/>
          <w:color w:val="auto"/>
        </w:rPr>
        <w:t>On November 1, 2011, we filed a preliminary proxy statement to obtain stockholder approval of the shares issuable in the private placement and the additional financing pursuant to section 713 of the NYSE Amex rules, since such shares in the aggregate are in excess of 19.99% of our outstanding common stock. There is no assurance that the subsequent financing will be consummated. Should the subsequent financing be consummated and the Convertible Notes be converted, we believe we would have sufficient funds to meet planned operating needs at least into the second quarter of 2012. Should the subsequent financing not be consummated by January 1, 2012 and the Convertible Notes are voluntarily converted before such date, we believe we would then have sufficient funds to meet planned operating needs only into the first quarter of 2012. Should the subsequent financing not be consummated by January 1, 2012 and the Convertible Notes have not been voluntarily converted before such date, the Convertible Notes and the accrued interest thereon will become due and payable. We do not currently have sufficient funds to repay the Convertible Notes and the accrued interest due upon maturity. We are exploring further opportunities, including acquisitions, to raise funds necessary to ensure that we are a going concern. There can be no assurance, however, that any such opportunities will materialize.</w:t>
      </w:r>
    </w:p>
    <w:p>
      <w:pPr>
        <w:spacing w:after="0" w:line="2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anticipate that we will continue to issue equity and/or debt securities as a source of liquidity, when needed, until we generate positive cash flow to support our operations. We cannot give any assurance that the necessary capital will be raised or that, if funds are raised, it will be on favorable terms. Any future sales of securities to finance our operations may requires stockholder approval and will dilute existing stockholders' ownership. We cannot guarantee when or if we will ever generate positive cash flow.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2011 and 2010</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r>
      <w:tr>
        <w:trPr>
          <w:trHeight w:val="241"/>
        </w:trPr>
        <w:tc>
          <w:tcPr>
            <w:tcW w:w="5980" w:type="dxa"/>
            <w:vAlign w:val="bottom"/>
          </w:tcPr>
          <w:p>
            <w:pPr>
              <w:spacing w:after="0"/>
              <w:rPr>
                <w:sz w:val="20"/>
                <w:szCs w:val="20"/>
                <w:color w:val="auto"/>
              </w:rPr>
            </w:pPr>
          </w:p>
        </w:tc>
        <w:tc>
          <w:tcPr>
            <w:tcW w:w="404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Nine month period ended September 30,</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 September 30,</w:t>
            </w:r>
          </w:p>
        </w:tc>
      </w:tr>
      <w:tr>
        <w:trPr>
          <w:trHeight w:val="223"/>
        </w:trPr>
        <w:tc>
          <w:tcPr>
            <w:tcW w:w="59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81"/>
              </w:rPr>
              <w:t>($ - in thousands)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(4,094)</w:t>
            </w:r>
          </w:p>
        </w:tc>
        <w:tc>
          <w:tcPr>
            <w:tcW w:w="1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(4,734)</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640</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(28,017)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2,517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(2,548)</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r>
      <w:tr>
        <w:trPr>
          <w:trHeight w:val="237"/>
        </w:trPr>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8,856</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(8,436)</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30,382</w:t>
            </w:r>
          </w:p>
        </w:tc>
      </w:tr>
      <w:tr>
        <w:trPr>
          <w:trHeight w:val="20"/>
        </w:trPr>
        <w:tc>
          <w:tcPr>
            <w:tcW w:w="59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60" w:right="100" w:firstLine="648"/>
        <w:spacing w:after="0" w:line="259" w:lineRule="auto"/>
        <w:rPr>
          <w:sz w:val="20"/>
          <w:szCs w:val="20"/>
          <w:color w:val="auto"/>
        </w:rPr>
      </w:pPr>
      <w:r>
        <w:rPr>
          <w:rFonts w:ascii="Arial" w:cs="Arial" w:eastAsia="Arial" w:hAnsi="Arial"/>
          <w:sz w:val="18"/>
          <w:szCs w:val="18"/>
          <w:color w:val="auto"/>
        </w:rPr>
        <w:t>During the nine month period ended September 30, 2011, net cash used in operating activities totaled $4.1 million. During the nine month period ended September 30, 2010, net cash used in operating activities totaled $4.7 million. The $0.6 million decrease in net cash used in operating activities was primarily due to increase in revenue and reduction in workforce related costs (in connection with the cost reduction plan implemented in the earlier in 2011).</w:t>
      </w:r>
    </w:p>
    <w:p>
      <w:pPr>
        <w:spacing w:after="0" w:line="187" w:lineRule="exact"/>
        <w:rPr>
          <w:sz w:val="20"/>
          <w:szCs w:val="20"/>
          <w:color w:val="auto"/>
        </w:rPr>
      </w:pPr>
    </w:p>
    <w:p>
      <w:pPr>
        <w:ind w:left="660" w:right="40" w:firstLine="648"/>
        <w:spacing w:after="0" w:line="279" w:lineRule="auto"/>
        <w:rPr>
          <w:sz w:val="20"/>
          <w:szCs w:val="20"/>
          <w:color w:val="auto"/>
        </w:rPr>
      </w:pPr>
      <w:r>
        <w:rPr>
          <w:rFonts w:ascii="Arial" w:cs="Arial" w:eastAsia="Arial" w:hAnsi="Arial"/>
          <w:sz w:val="17"/>
          <w:szCs w:val="17"/>
          <w:color w:val="auto"/>
        </w:rPr>
        <w:t>We expect our net cash used in operating activities to remain steady in light of costs related to being a public company and our current level operations. As we move towards greater revenue generation, we expect a further decrease in cash used in operations. Since we receive most of our revenues directly from carriers whose payment schedules are generally net 90 days or longer, and our suppliers' payment schedules are generally net 30 days, we do not expect the increase in revenue will initially increase our net cash from operating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60" w:right="120" w:firstLine="648"/>
        <w:spacing w:after="0" w:line="264" w:lineRule="auto"/>
        <w:rPr>
          <w:sz w:val="20"/>
          <w:szCs w:val="20"/>
          <w:color w:val="auto"/>
        </w:rPr>
      </w:pPr>
      <w:r>
        <w:rPr>
          <w:rFonts w:ascii="Arial" w:cs="Arial" w:eastAsia="Arial" w:hAnsi="Arial"/>
          <w:sz w:val="18"/>
          <w:szCs w:val="18"/>
          <w:color w:val="auto"/>
        </w:rPr>
        <w:t>During the nine month period ended September 30, 2011, net cash used in investing activities totaled $31 thousand. During the nine month period ended September 30, 2010, net cash provided by investing activities totaled $2.5 million, primarily due to $2.6 million received from Bridge Financing.</w:t>
      </w:r>
    </w:p>
    <w:p>
      <w:pPr>
        <w:spacing w:after="0" w:line="181" w:lineRule="exact"/>
        <w:rPr>
          <w:sz w:val="20"/>
          <w:szCs w:val="20"/>
          <w:color w:val="auto"/>
        </w:rPr>
      </w:pPr>
    </w:p>
    <w:p>
      <w:pPr>
        <w:ind w:left="660" w:right="140" w:firstLine="648"/>
        <w:spacing w:after="0" w:line="342" w:lineRule="auto"/>
        <w:rPr>
          <w:sz w:val="20"/>
          <w:szCs w:val="20"/>
          <w:color w:val="auto"/>
        </w:rPr>
      </w:pPr>
      <w:r>
        <w:rPr>
          <w:rFonts w:ascii="Arial" w:cs="Arial" w:eastAsia="Arial" w:hAnsi="Arial"/>
          <w:sz w:val="16"/>
          <w:szCs w:val="16"/>
          <w:color w:val="auto"/>
        </w:rPr>
        <w:t>We expect that net cash used in investing activities will mildly increase as we intend to continue to upgrade our computers and software in 2011. Moreover, as our service continues to grow, we will need to increase our server capacity to meet the needs of our customers.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60" w:right="40" w:firstLine="648"/>
        <w:spacing w:after="0" w:line="279" w:lineRule="auto"/>
        <w:rPr>
          <w:sz w:val="20"/>
          <w:szCs w:val="20"/>
          <w:color w:val="auto"/>
        </w:rPr>
      </w:pPr>
      <w:r>
        <w:rPr>
          <w:rFonts w:ascii="Arial" w:cs="Arial" w:eastAsia="Arial" w:hAnsi="Arial"/>
          <w:sz w:val="17"/>
          <w:szCs w:val="17"/>
          <w:color w:val="auto"/>
        </w:rPr>
        <w:t>During the nine month period ended September 30, 2011, net cash provided by financing activities totaled $0.4 million, which relates to the repayment and settlement of the venture loan on the one hand, and receipt of proceeds from issuance of Convertible Notes, on the other. During the nine months ended September 30, 2010, net cash provided by financing activities totaled $9.2 million, which relates to the net proceeds received as a result of our Initial Public Offering, partially offset by the one-time payment of principal on the venture loan.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in discussions with several potential strategic partners and mobile carriers and we will be pursuing additional agreements over the next 12 to 24 months. In addition, we are considering acquisition opportunities, however, there can be no assurance that any such opportunities may arise, or that any such acquisitions will be consummated.</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4, 2011, we announced a Cooperation Agreement with Zlango Ltd., a mobile messaging company ("Zlango"). Under the terms of the Cooperation Agreement, the parties agree to cooperate on projects while retaining their respective intellectual property and independent operations. The Cooperation Agreement supersedes prior arrangements and proposed transactions between the companies, including the non-binding Letter of Intent ("LOI") entered into between the parties announced in July 2011, pursuant to which we agreed to acquire and merge operations with Zlango, subject to certain conditions, which the parties have agreed to terminate. Similar Cooperation Agreements are being pursued however, there can be no assurance that any such opportunities may arise.</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11, 2011 we announced an agreement with ZTE Corporation, the largest handset maker in China and fourth-largest globally, to preload the Facetones™ application on Android handsets. As part of the commercial terms of the agreement, these handsets will be sold via mobile phone operators and through various OEM contracts to brand name handset manufacturers. Similar arrangement are being pursued with other handset manufacturers, although there can be no assurance that any such opportunities may arise.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our future contractual obligations and commercial commitments as of September 30, 2011, for each of the next five years and thereafter: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0"/>
              </w:rPr>
              <w:t>Payments due by period (in thousands of dollars)</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Less than</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 years</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 years</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Real estate leases (1)</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Auto leases (2)</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4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w:t>
            </w:r>
          </w:p>
        </w:tc>
      </w:tr>
      <w:tr>
        <w:trPr>
          <w:trHeight w:val="234"/>
        </w:trPr>
        <w:tc>
          <w:tcPr>
            <w:tcW w:w="20" w:type="dxa"/>
            <w:vAlign w:val="bottom"/>
          </w:tcPr>
          <w:p>
            <w:pPr>
              <w:spacing w:after="0"/>
              <w:rPr>
                <w:sz w:val="20"/>
                <w:szCs w:val="20"/>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w:t>
            </w:r>
          </w:p>
        </w:tc>
        <w:tc>
          <w:tcPr>
            <w:tcW w:w="112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r>
    </w:tbl>
    <w:p>
      <w:pPr>
        <w:spacing w:after="0" w:line="183" w:lineRule="exact"/>
        <w:rPr>
          <w:sz w:val="20"/>
          <w:szCs w:val="20"/>
          <w:color w:val="auto"/>
        </w:rPr>
      </w:pPr>
    </w:p>
    <w:p>
      <w:pPr>
        <w:ind w:left="340" w:right="14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non-cancellable operating lease for our subsidiary's offices in Israel for which we pay approximately $6 thousand monthly. This commitment is for the period ending May 31, 2012. We have a non-cancellable operating lease for our offices in New York for which we pay approximately $3 thousand monthly. This commitment is for the period ending November 30, 2011.</w:t>
      </w:r>
    </w:p>
    <w:p>
      <w:pPr>
        <w:spacing w:after="0" w:line="208" w:lineRule="exact"/>
        <w:rPr>
          <w:rFonts w:ascii="Arial" w:cs="Arial" w:eastAsia="Arial" w:hAnsi="Arial"/>
          <w:sz w:val="18"/>
          <w:szCs w:val="18"/>
          <w:color w:val="auto"/>
        </w:rPr>
      </w:pPr>
    </w:p>
    <w:p>
      <w:pPr>
        <w:ind w:left="340" w:right="8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subsidiary leases three motor vehicles for certain employees with variable commencement and expiration dates. All leases are for a total of 36 months whereby the final three months of the contract have been prepaid. Total monthly expenses for these leases amount to approximately $3 thousand. Expiration dates for the leases are on various dates from November 2013 through December 2013.</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our long term GAAP liabilities include the derivative liabilities on account of warrants, in the total amount of $2,156 thousand and long term provision for severance pay, in the total amount of $170 thousand, made in connection with extended contractual compensation to be paid to our Chief Executive Officer upon the termination of his employment (dependent on certain circumstances), as described in Note 8 to our consolidated financial statements for the year ended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 ended December 31, 2010, we believe the following accounting policies to be the most critical in understanding the judgments and estimates we use in preparing our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account for stock-based awards under ASC 718, "</w:t>
      </w:r>
      <w:r>
        <w:rPr>
          <w:rFonts w:ascii="Arial" w:cs="Arial" w:eastAsia="Arial" w:hAnsi="Arial"/>
          <w:sz w:val="18"/>
          <w:szCs w:val="18"/>
          <w:i w:val="1"/>
          <w:iCs w:val="1"/>
          <w:color w:val="auto"/>
        </w:rPr>
        <w:t>Compensation—Stock Compensatio</w:t>
      </w:r>
      <w:r>
        <w:rPr>
          <w:rFonts w:ascii="Arial" w:cs="Arial" w:eastAsia="Arial" w:hAnsi="Arial"/>
          <w:sz w:val="18"/>
          <w:szCs w:val="18"/>
          <w:color w:val="auto"/>
        </w:rPr>
        <w:t>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8"/>
          <w:szCs w:val="18"/>
          <w:i w:val="1"/>
          <w:iCs w:val="1"/>
          <w:color w:val="auto"/>
        </w:rPr>
        <w:t>Equity-Based Payments to Non</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color w:val="auto"/>
        </w:rPr>
        <w:t>" is applied. Under this pronouncement, the measurement date of the option occurs on the earlier of counterparty performance or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determine the fair value of stock options granted to employees, directors and consultants using the Black-Scholes-Merton and the Lattice (for out-of-money option grants)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based on historical stock volatility from comparable companies.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option pricing models utilize various inputs and assumptions, which are highly subjective. Had we used different assumptions, our results may have been significantly different. For further information on judgments and assessments used, please refer to Note 13 in our consolidated financial statements for the year ended December 31,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December 29, 2009, we consummated a Bridge Financing pursuant to which we issued 5% subordinated convertible promissory notes, ("Bridge Notes"), in the aggregate amount of $2.98 million in a private placement, as well as warrants to purchase 795,200 shares of common stock (the "Special Bridge Warrants") (the "Bridge Financing"). Proceeds from the Bridge Financing were first allocated to the Special Bridge Warrants, which were classified as a derivative liability and recorded at fair value, with the residual amount allocated to the Bridge Notes. The Special Bridge Warrants have down-round protection clauses and their fair value is calculated using the Black-Scholes-Merton model at every reporting period. The assumptions used in the initial calculation were 53% expected volatility, a risk-free interest rate of 1.6%, estimated life of 4.5 years and no dividend yield. The fair value of the common stock was estimated at $2.57. Upon the consummation of the IPO, we issued a further 69,132 Special Bridge Warrants to the holders of the Bridge Notes to reflect the final offering price of the IPO units. These warrants were valued on the date of the IPO by using the Black-Scholes-Merton model. The assumptions used in this calculation were 53% expected volatility, a risk-free interest rate of 1.9%, estimated life of 4.5 years and no dividend yield. The fair value of the common stock was estimated at $2.79. The additional warrants are then adjusted according to the fair value above at the end of each reporting period.</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of September 30, 2011,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exercise amount remains as under the original terms (approximately 2.4 million). We estimate 85% probability of such protection being activated in December, 2011. We have estimated the value of the down-round protection using a Monte-Carlo simulation. The following assumptions were used: 52.37% expected volatility, a risk-free interest rate of 0.50%, estimated life of 3.25 years and no dividend yield. The fair value of the common stock was $1.42. Refer to Note 4 to these financial statements.</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consummation of the IPO, the Bridge Notes were automatically converted into 864,332 shares of common stock and 1,728,664 warrants (the "Conversion Warrants"). The Conversion Warrants granted to the Bridge Note holders were classified as a derivative long-term liability. The Conversion Warrants have down-round protection clauses, which are not expected to have a material impact, and their fair value is calculated using the Black-Scholes-Merton model at every reporting period. The assumptions used in this calculation for the date of the IPO were 54% expected volatility, a risk-free interest rate of 2.1%, estimated life of 5 years and no dividend yield. The fair value of the common stock was estimated at $2.79. Refer to Note 4 to these financial statements.</w:t>
      </w:r>
    </w:p>
    <w:p>
      <w:pPr>
        <w:spacing w:after="0" w:line="19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of September 30, 2011, the Conversion Warrants were revalued using the Black-Scholes-Merton and the Monte-Carlo models. As the terms of these warrants include a down-round protection clause, i.e. in a new issuance of common shares at a lower price than the current exercise price, the current exercise price will be adjusted to the new issuance price. We estimate 85% probability of such protection being activated in December, 2011. We have estimated the value of the down-round protection using a Monte-Carlo simulation. The following assumptions were used: 51.23% expected volatility, a risk-free interest rate of 0.64%, estimated life of 3.73 years and no dividend yield. The fair value of the common stock was $1.42.</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55,664 warrants granted to the placement agent in the Bridge Financing have been recorded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$2.58.</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7" w:name="page38"/>
    <w:bookmarkEnd w:id="37"/>
    <w:p>
      <w:pPr>
        <w:ind w:firstLine="648"/>
        <w:spacing w:after="0" w:line="302" w:lineRule="auto"/>
        <w:rPr>
          <w:sz w:val="20"/>
          <w:szCs w:val="20"/>
          <w:color w:val="auto"/>
        </w:rPr>
      </w:pPr>
      <w:r>
        <w:rPr>
          <w:rFonts w:ascii="Arial" w:cs="Arial" w:eastAsia="Arial" w:hAnsi="Arial"/>
          <w:sz w:val="16"/>
          <w:szCs w:val="16"/>
          <w:color w:val="auto"/>
        </w:rPr>
        <w:t>The 482,346 warrants granted to the lead investors in the Bridge Financing have been recorded as a non-operating expense at fair market value at the time of the IPO and calculated using the Black-Scholes-Merton model. The assumptions used in this calculation were 52.6% expected volatility, risk-free interest rate of 1.68%, estimated life of 4 years and no dividend yield. The fair value of the common stock was estimated at $2.79. The total non-operating expense recorded was approximately $1.3 million. All of these warrants were exercised during the fourth quarter of 2010 and the first quarter of 2011.</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September 30, 2011,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 Also, refer to Note 15 of our consolidated financial statements for the year ended December 31, 2010.</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ASC 740, "</w:t>
      </w:r>
      <w:r>
        <w:rPr>
          <w:rFonts w:ascii="Arial" w:cs="Arial" w:eastAsia="Arial" w:hAnsi="Arial"/>
          <w:sz w:val="18"/>
          <w:szCs w:val="18"/>
          <w:i w:val="1"/>
          <w:iCs w:val="1"/>
          <w:color w:val="auto"/>
        </w:rPr>
        <w:t>Income Taxes</w:t>
      </w:r>
      <w:r>
        <w:rPr>
          <w:rFonts w:ascii="Arial" w:cs="Arial" w:eastAsia="Arial" w:hAnsi="Arial"/>
          <w:sz w:val="18"/>
          <w:szCs w:val="18"/>
          <w:color w:val="auto"/>
        </w:rPr>
        <w:t>" (formerly FASB Interpretation No. 48, "</w:t>
      </w:r>
      <w:r>
        <w:rPr>
          <w:rFonts w:ascii="Arial" w:cs="Arial" w:eastAsia="Arial" w:hAnsi="Arial"/>
          <w:sz w:val="18"/>
          <w:szCs w:val="18"/>
          <w:i w:val="1"/>
          <w:iCs w:val="1"/>
          <w:color w:val="auto"/>
        </w:rPr>
        <w:t>Accounting for Uncertainty in Income Taxes—an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109</w:t>
      </w:r>
      <w:r>
        <w:rPr>
          <w:rFonts w:ascii="Arial" w:cs="Arial" w:eastAsia="Arial" w:hAnsi="Arial"/>
          <w:sz w:val="18"/>
          <w:szCs w:val="18"/>
          <w:color w:val="auto"/>
        </w:rPr>
        <w:t>"), prescribes how a company should recognize, measure, present and disclose in its financial statements uncertain tax positions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May 2011, the FASB issued guidance to amend the accounting and disclosure requirements on fair value measurements. The new guidance limits the highest-and-best-use measure to nonfinancial assets, permits certain financial assets and liabilities with offsetting positions in market or counterparty credit risks to be measured at a net basis, and provides guidance on the applicability of premiums and discounts. Additionally, the new guidance expands the disclosures on Level 3 inputs by requiring quantitative disclosure of the unobservable inputs and assumptions, as well as description of the valuation processes and the sensitivity of the fair value to changes in unobservable inputs. The new guidance will be effective for us beginning January 1, 2012. Other than requiring additional disclosures, we do not anticipate material impacts on our financial statements upon adoption.</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3 of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management, with the participation of our Chief Executive Officer (principal executive officer) and our Chief Financial Officer (principal financial officer), evaluated the effectiveness of our disclosure controls and procedures as of September 30,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Based on the evaluation of our disclosure controls and procedures as of September 30, 2011, our Principal Executive Officer and Principal Financial Officer concluded that, as of such date, our disclosure controls and procedures were not effective for the reasons set forth below.</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management has identified material weaknesses in our disclosure controls and procedures relating to insufficient controls in connection with financial reporting and segregation of duties. We are progressing with enhancements to our policies and purchasing system in order to remediate the foregoing material weaknesses.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September 30, 2011 that have materially affected, or are reasonably likely to materially affect, our internal control over financial reporting.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i w:val="1"/>
          <w:iCs w:val="1"/>
          <w:color w:val="auto"/>
        </w:rPr>
        <w:t>The risk factors set forth below update the risk factors in Part I, “Item 1A. Risk Factors” in our Annual Report on Form 10-K for the year ended December 31, 2010. In addition to the risk factors below,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2011, we had a cash balance of $1.7 million and $1.2 million negative net working capital. The Company has incurred significant losses since its inception and expects that it will continue to operate at a net loss in the foreseeable future. For the three and nine month periods ended September 30, 2011 and for the cumulative period from inception until September 30, 2011, the Company incurred net losses of $2.0 million, $4.7 million and $34.7 million, respectively. The Company's deficit in stockholders' equity as of September 30, 2011 was $3.4 million.</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expect our net losses and negative cash flow to continue for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210"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2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continuation of our business is dependent upon us raising additional funding. We believe that current cash levels will be sufficient to support our activity into the first quarter of 2012. Should the planned subsequent financing be consummated, we believe cash levels will be sufficient to support our activities at least into the second quarter of 2012. However, if we are required to repay our Convertible Notes in full, we do not currently have sufficient funds to repay the Convertible Notes. We are exploring further opportunities, including acquisitions, to raise funds necessary to ensure that we are a going concern. There can be no assurance, however, that any such opportunities will materialize.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 resources, management and other infrastructure and support mechanisms. To manage the anticipated growth of our operations, we will be required to:</w:t>
      </w:r>
    </w:p>
    <w:p>
      <w:pPr>
        <w:spacing w:after="0" w:line="208" w:lineRule="exact"/>
        <w:rPr>
          <w:sz w:val="20"/>
          <w:szCs w:val="20"/>
          <w:color w:val="auto"/>
        </w:rPr>
      </w:pPr>
    </w:p>
    <w:p>
      <w:pPr>
        <w:ind w:left="1140" w:hanging="484"/>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Improve existing and implement new operational, financial and management information controls, reporting systems and procedures;</w:t>
      </w:r>
    </w:p>
    <w:p>
      <w:pPr>
        <w:spacing w:after="0" w:line="263" w:lineRule="exact"/>
        <w:rPr>
          <w:rFonts w:ascii="Arial" w:cs="Arial" w:eastAsia="Arial" w:hAnsi="Arial"/>
          <w:sz w:val="17"/>
          <w:szCs w:val="17"/>
          <w:color w:val="auto"/>
        </w:rPr>
      </w:pPr>
    </w:p>
    <w:p>
      <w:pPr>
        <w:ind w:left="1140" w:right="540" w:hanging="484"/>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(including possible growth by acquisition); and</w:t>
      </w:r>
    </w:p>
    <w:p>
      <w:pPr>
        <w:spacing w:after="0" w:line="197"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302" w:gutter="0" w:footer="0" w:header="0"/>
        </w:sectPr>
      </w:pPr>
    </w:p>
    <w:bookmarkStart w:id="40" w:name="page41"/>
    <w:bookmarkEnd w:id="40"/>
    <w:p>
      <w:pPr>
        <w:ind w:right="300"/>
        <w:spacing w:after="0" w:line="266"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2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identify or consummate any additional acquisitions.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intend to consider acquisition opportunities to enable us to grow. However, there is no assurance that any such opportunities may arise, or that any we will be able to consummate any opportunities we identify. Furthermore, we may not have, and may be unable to obtain, sufficient financing for certain opportunities. If we are unable to identify or consummate additional acquisitions, we may be unable to grow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5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22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w:t>
      </w:r>
    </w:p>
    <w:p>
      <w:pPr>
        <w:sectPr>
          <w:pgSz w:w="11900" w:h="16838" w:orient="portrait"/>
          <w:cols w:equalWidth="0" w:num="1">
            <w:col w:w="11420"/>
          </w:cols>
          <w:pgMar w:left="240" w:top="513" w:right="239" w:bottom="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42" w:name="page43"/>
    <w:bookmarkEnd w:id="42"/>
    <w:p>
      <w:pPr>
        <w:ind w:right="14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5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business model has recently shifted towards our Facetones™ application, which creates automated video slideshow using friends' photos from social media web sites, primarily from Facebook®, the world's leading social media site. In the event Facebook® prohibits or restricts the ability of our application to access photos on its site, our business, financial condition, operating results and projected growth could be harmed.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trademark application for our Facetones™ trademark application is not granted, our revenue from this application may be adversely affected.</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submitted a trademark application for our Facetones™ application to the U.S. Patent and Trademark Office (USPTO). Facebook® was recently granted an extension from the USPTO to oppose the trademark application. If Facebook® or any other party successfully opposes our Facetones™ trademark application, or if our trademark application is rejected for any other reason, we will need to re-brand our application, which may have a negative impact on our revenue from this application.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forms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While we are building the necessary infrastructure for compliance with the foregoing rules and regulations, we do not presently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For our fiscal year ended December 31, 2010, we identified a material weakness relating to our internal controls primarily as a result of our failing to maintain sufficient policies in connection with financial reporting and segregation of duties. While we are in the process of remediating these weaknesses, there is no assurance that we will be able to remediate these weaknesses or that we will not identify any additional weaknesses in our internal controls.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ectPr>
          <w:pgSz w:w="11900" w:h="16838" w:orient="portrait"/>
          <w:cols w:equalWidth="0" w:num="1">
            <w:col w:w="11420"/>
          </w:cols>
          <w:pgMar w:left="240" w:top="513" w:right="239" w:bottom="50" w:gutter="0" w:footer="0" w:header="0"/>
        </w:sectPr>
      </w:pPr>
    </w:p>
    <w:bookmarkStart w:id="43" w:name="page44"/>
    <w:bookmarkEnd w:id="43"/>
    <w:p>
      <w:pPr>
        <w:ind w:right="40"/>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4" w:name="page45"/>
    <w:bookmarkEnd w:id="44"/>
    <w:p>
      <w:pPr>
        <w:ind w:right="140"/>
        <w:spacing w:after="0" w:line="259"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possibility of extensive delays in the patent issuance process could effectively reduce the term during which a marketed product is protected by patents.</w:t>
      </w:r>
    </w:p>
    <w:p>
      <w:pPr>
        <w:spacing w:after="0" w:line="2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9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20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20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exercise of a substantial number of warrants and options by our security holders may have an adverse effect on the market price of our common stock.</w:t>
      </w:r>
    </w:p>
    <w:p>
      <w:pPr>
        <w:spacing w:after="0" w:line="1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Should our outstanding warrants be exercised, there will be an additional 7,452,660 shares of common stock eligible for trading in the public market. In addition, we have options to purchase 2,355,220 shares of common stock, granted as of the reporting date, to our management, employees, directors and consultants.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September 30, 2011, is $4.35 per share.</w:t>
      </w:r>
    </w:p>
    <w:p>
      <w:pPr>
        <w:spacing w:after="0" w:line="18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9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6,229,362 shares of common stock issued and outstanding, excluding shares of common stock issuable upon exercise of warrants or options. As shares saleable under Rule 144 are sold, the market price of our stock could drop significantly if the holders of restricted shares sell them or are perceived by the market as intending to sell them. This decline in our stock price could occur even if our business is otherwise performing well.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subject to stockholder approval.</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order for the Company to raise capital through equity or equity-linked transactions, stockholder approval is required to enable the Company to issue more than 19.99% of its outstanding shares of common stock pursuant to the rules and regulations of the NYSE Amex. Should stockholders not approve such issuances, the Company’s sole means to raise capital would be through debt, which could have a material adverse effect on the Company’s balance sheet and overall financial condition.</w:t>
      </w:r>
    </w:p>
    <w:p>
      <w:pPr>
        <w:spacing w:after="0" w:line="210"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If we are unable to make progress with respect to our plan to regain compliance with the minimum stockholders’ equity requirements imposed by the NYSE Amex within the required timeframes, our common stock could be delisted from trading, which could limit investors’ ability to make transactions in our common stock and subject us to additional trading restrictions.</w:t>
      </w:r>
    </w:p>
    <w:p>
      <w:pPr>
        <w:sectPr>
          <w:pgSz w:w="11900" w:h="16838" w:orient="portrait"/>
          <w:cols w:equalWidth="0" w:num="1">
            <w:col w:w="11420"/>
          </w:cols>
          <w:pgMar w:left="240" w:top="517" w:right="239" w:bottom="55" w:gutter="0" w:footer="0" w:header="0"/>
        </w:sectPr>
      </w:pPr>
    </w:p>
    <w:bookmarkStart w:id="45" w:name="page46"/>
    <w:bookmarkEnd w:id="45"/>
    <w:p>
      <w:pPr>
        <w:spacing w:after="0" w:line="257" w:lineRule="auto"/>
        <w:rPr>
          <w:sz w:val="20"/>
          <w:szCs w:val="20"/>
          <w:color w:val="auto"/>
        </w:rPr>
      </w:pPr>
      <w:r>
        <w:rPr>
          <w:rFonts w:ascii="Arial" w:cs="Arial" w:eastAsia="Arial" w:hAnsi="Arial"/>
          <w:sz w:val="18"/>
          <w:szCs w:val="18"/>
          <w:color w:val="auto"/>
        </w:rPr>
        <w:t>Our common stock and warrants are listed on the NYSE Amex, a national securities exchange, which imposes continued listing requirements with respect to listed shares. In May 2011, we received a letter from the NYSE Amex, stating that we are not in compliance with Section 1003(a)(iv) of the NYSE Amex Company Guide because we have sustained losses which are so substantial in relation to its overall operations or our existing financial resources, or our financial condition has become so impaired that it appears questionable, in the opinion of the NYSE Amex, as to whether we will be able to continue operations and/or meet its obligations as they mature.</w:t>
      </w: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46" w:name="page47"/>
    <w:bookmarkEnd w:id="46"/>
    <w:p>
      <w:pPr>
        <w:ind w:right="40"/>
        <w:spacing w:after="0" w:line="254" w:lineRule="auto"/>
        <w:rPr>
          <w:sz w:val="20"/>
          <w:szCs w:val="20"/>
          <w:color w:val="auto"/>
        </w:rPr>
      </w:pPr>
      <w:r>
        <w:rPr>
          <w:rFonts w:ascii="Arial" w:cs="Arial" w:eastAsia="Arial" w:hAnsi="Arial"/>
          <w:sz w:val="18"/>
          <w:szCs w:val="18"/>
          <w:color w:val="auto"/>
        </w:rPr>
        <w:t>On June 23, 2011, we submitted a plan to the NYSE Amex addressing how we intend to regain compliance with the continued listing standards by September 30, 2011. Based on the information in our compliance plan and related discussions with exchange staff, the NYSE Amex determined that we had made a reasonable demonstration of our ability to regain compliance with Section 1003(a)(iv) of the NYSE Amex Company Guide by September 30, 2011 (subsequently extended to December 31, 2011) and that it would continue the listing of our common stock subject to conditions. The conditions include providing updates to the NYSE Amex staff as appropriate or upon request, but no later than at each quarter completion concurrent with our filing with the Securities and Exchange Commission. If we do not show progress consistent with our compliance plan, or we do not meet the continued listing standards by December 31, 2011, the NYSE Amex could initiate delisting proceedings. While the NYSE has not initiated delisting proceedings, there is no assurance that it will not do so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52"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52" w:lineRule="exact"/>
        <w:rPr>
          <w:rFonts w:ascii="Arial" w:cs="Arial" w:eastAsia="Arial" w:hAnsi="Arial"/>
          <w:sz w:val="18"/>
          <w:szCs w:val="18"/>
          <w:color w:val="auto"/>
        </w:rPr>
      </w:pPr>
    </w:p>
    <w:p>
      <w:pPr>
        <w:ind w:left="1140" w:right="660" w:hanging="484"/>
        <w:spacing w:after="0" w:line="342"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50" w:lineRule="exact"/>
        <w:rPr>
          <w:rFonts w:ascii="Arial" w:cs="Arial" w:eastAsia="Arial" w:hAnsi="Arial"/>
          <w:sz w:val="16"/>
          <w:szCs w:val="16"/>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19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enforce covenants not-to-compete under current Israeli law that might result in added competition for our products.</w:t>
      </w:r>
    </w:p>
    <w:p>
      <w:pPr>
        <w:spacing w:after="0" w:line="26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 could be disrupted as a result of the obligation of certain of our personnel residing in Israel to perform military service.</w:t>
      </w:r>
    </w:p>
    <w:p>
      <w:pPr>
        <w:spacing w:after="0" w:line="2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1"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Because we expect a substantial portion of our revenues will be generated in dollars and euros, while a significant portion of our expenses is incurred in Israeli currency, our revenue may be reduced due to inflation in Israel and currency exchange rate fluctuations.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1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ectPr>
          <w:pgSz w:w="11900" w:h="16838" w:orient="portrait"/>
          <w:cols w:equalWidth="0" w:num="1">
            <w:col w:w="11420"/>
          </w:cols>
          <w:pgMar w:left="240" w:top="517" w:right="239" w:bottom="128"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41"/>
        </w:trPr>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10280" w:type="dxa"/>
            <w:vAlign w:val="bottom"/>
            <w:tcBorders>
              <w:bottom w:val="single" w:sz="8" w:color="auto"/>
            </w:tcBorders>
          </w:tcPr>
          <w:p>
            <w:pPr>
              <w:jc w:val="right"/>
              <w:ind w:right="461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10.1</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1"/>
              </w:rPr>
              <w:t>Securities Purchase Agreement by and between the Company and the Purchasers identified on the signature pages thereto (incorporated by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reference to Exhibit 10.1 to the Company's Current Report on Form 8-K filed on July 27, 2011).</w:t>
            </w:r>
          </w:p>
        </w:tc>
      </w:tr>
      <w:tr>
        <w:trPr>
          <w:trHeight w:val="4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10.2</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2"/>
              </w:rPr>
              <w:t>Form of Secured Convertible Note (incorporated by reference to Exhibit 10.2 to the Company's Current Report on Form 8-K filed on July 27,</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2011).</w:t>
            </w:r>
          </w:p>
        </w:tc>
      </w:tr>
      <w:tr>
        <w:trPr>
          <w:trHeight w:val="4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10.3</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6"/>
              </w:rPr>
              <w:t>Form of Security Agreement (incorporated by reference to Exhibit 10.3 to the Company's Current Report on Form 8-K filed on July 27,</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2011).</w:t>
            </w:r>
          </w:p>
        </w:tc>
      </w:tr>
      <w:tr>
        <w:trPr>
          <w:trHeight w:val="4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Principal Executive Officer Pursuant to Rule 13-14(a) of the Securities Exchange Act of 1934, pursuant to Section 302 of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Sarbanes-Oxley Act of 2002.</w:t>
            </w:r>
          </w:p>
        </w:tc>
      </w:tr>
      <w:tr>
        <w:trPr>
          <w:trHeight w:val="4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3"/>
              </w:rPr>
              <w:t>Certification of Principal Financial Officer Pursuant to Rule 13-14(a) of the Securities Exchange Act of 1934, pursuant to Section 302 of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Sarbanes-Oxley Act of 2002.</w:t>
            </w:r>
          </w:p>
        </w:tc>
      </w:tr>
      <w:tr>
        <w:trPr>
          <w:trHeight w:val="432"/>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32.1</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Principal Executive Officer Pursuant to 18 U.S.C. Section 1350, pursuant to Section 906 of the Sarbanes-Oxley Act of 2002.</w:t>
            </w:r>
          </w:p>
        </w:tc>
      </w:tr>
      <w:tr>
        <w:trPr>
          <w:trHeight w:val="432"/>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32.2</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3"/>
              </w:rPr>
              <w:t>Certification of Principal Financial Officer Pursuant to 18 U.S.C. Section 1350, pursuant to Section 906 of the Sarbanes-Oxley Act of 2002.</w:t>
            </w:r>
          </w:p>
        </w:tc>
      </w:tr>
      <w:tr>
        <w:trPr>
          <w:trHeight w:val="608"/>
        </w:trPr>
        <w:tc>
          <w:tcPr>
            <w:tcW w:w="1040" w:type="dxa"/>
            <w:vAlign w:val="bottom"/>
          </w:tcPr>
          <w:p>
            <w:pPr>
              <w:spacing w:after="0"/>
              <w:rPr>
                <w:sz w:val="24"/>
                <w:szCs w:val="24"/>
                <w:color w:val="auto"/>
              </w:rPr>
            </w:pPr>
          </w:p>
        </w:tc>
        <w:tc>
          <w:tcPr>
            <w:tcW w:w="10380" w:type="dxa"/>
            <w:vAlign w:val="bottom"/>
            <w:gridSpan w:val="2"/>
          </w:tcPr>
          <w:p>
            <w:pPr>
              <w:jc w:val="right"/>
              <w:ind w:right="5530"/>
              <w:spacing w:after="0"/>
              <w:rPr>
                <w:sz w:val="20"/>
                <w:szCs w:val="20"/>
                <w:color w:val="auto"/>
              </w:rPr>
            </w:pPr>
            <w:r>
              <w:rPr>
                <w:rFonts w:ascii="Arial" w:cs="Arial" w:eastAsia="Arial" w:hAnsi="Arial"/>
                <w:sz w:val="18"/>
                <w:szCs w:val="18"/>
                <w:color w:val="auto"/>
              </w:rPr>
              <w:t>42</w:t>
            </w:r>
          </w:p>
        </w:tc>
      </w:tr>
      <w:tr>
        <w:trPr>
          <w:trHeight w:val="118"/>
        </w:trPr>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9" w:name="page50"/>
    <w:bookmarkEnd w:id="49"/>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14th day of November, 2011.</w:t>
      </w:r>
    </w:p>
    <w:p>
      <w:pPr>
        <w:spacing w:after="0" w:line="166"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2"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Ellen Cohl</w:t>
      </w:r>
    </w:p>
    <w:p>
      <w:pPr>
        <w:spacing w:after="0" w:line="27"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(Principal Financial Officer)</w:t>
      </w: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42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13-14(a) OF THE SECURITIES EXCHANGE ACT OF 1934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Jonathan Medved,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right="60"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right="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right="220" w:firstLine="8"/>
        <w:spacing w:after="0" w:line="277" w:lineRule="auto"/>
        <w:tabs>
          <w:tab w:leader="none" w:pos="1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sz w:val="20"/>
          <w:szCs w:val="20"/>
          <w:color w:val="auto"/>
        </w:rPr>
      </w:pPr>
    </w:p>
    <w:p>
      <w:pPr>
        <w:ind w:right="120" w:firstLine="8"/>
        <w:spacing w:after="0" w:line="264"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[Omitted pursuant to the transition period exemption for newly public companies]</w:t>
      </w:r>
    </w:p>
    <w:p>
      <w:pPr>
        <w:spacing w:after="0" w:line="225" w:lineRule="exact"/>
        <w:rPr>
          <w:rFonts w:ascii="Arial" w:cs="Arial" w:eastAsia="Arial" w:hAnsi="Arial"/>
          <w:sz w:val="18"/>
          <w:szCs w:val="18"/>
          <w:color w:val="auto"/>
        </w:rPr>
      </w:pPr>
    </w:p>
    <w:p>
      <w:pPr>
        <w:ind w:right="840" w:firstLine="8"/>
        <w:spacing w:after="0" w:line="342" w:lineRule="auto"/>
        <w:tabs>
          <w:tab w:leader="none" w:pos="1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right="160" w:firstLine="8"/>
        <w:spacing w:after="0" w:line="264"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7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20" w:firstLine="8"/>
        <w:spacing w:after="0" w:line="277" w:lineRule="auto"/>
        <w:tabs>
          <w:tab w:leader="none" w:pos="1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2011</w:t>
      </w:r>
    </w:p>
    <w:p>
      <w:pPr>
        <w:spacing w:after="0" w:line="225" w:lineRule="exact"/>
        <w:rPr>
          <w:sz w:val="20"/>
          <w:szCs w:val="20"/>
          <w:color w:val="auto"/>
        </w:rPr>
      </w:pPr>
    </w:p>
    <w:p>
      <w:pPr>
        <w:ind w:left="4760"/>
        <w:spacing w:after="0"/>
        <w:tabs>
          <w:tab w:leader="none" w:pos="5100" w:val="left"/>
        </w:tabs>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1"/>
          <w:szCs w:val="11"/>
          <w:color w:val="auto"/>
        </w:rPr>
        <w:t>ONATHAN</w:t>
      </w:r>
      <w:r>
        <w:rPr>
          <w:rFonts w:ascii="Arial" w:cs="Arial" w:eastAsia="Arial" w:hAnsi="Arial"/>
          <w:sz w:val="17"/>
          <w:szCs w:val="17"/>
          <w:color w:val="auto"/>
        </w:rPr>
        <w:t xml:space="preserve"> M</w:t>
      </w:r>
      <w:r>
        <w:rPr>
          <w:rFonts w:ascii="Arial" w:cs="Arial" w:eastAsia="Arial" w:hAnsi="Arial"/>
          <w:sz w:val="11"/>
          <w:szCs w:val="11"/>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42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13-14(a) OF THE SECURITIES EXCHANGE ACT OF 1934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right="60" w:firstLine="8"/>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right="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right="220" w:firstLine="8"/>
        <w:spacing w:after="0" w:line="277" w:lineRule="auto"/>
        <w:tabs>
          <w:tab w:leader="none" w:pos="1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sz w:val="20"/>
          <w:szCs w:val="20"/>
          <w:color w:val="auto"/>
        </w:rPr>
      </w:pPr>
    </w:p>
    <w:p>
      <w:pPr>
        <w:ind w:right="120" w:firstLine="8"/>
        <w:spacing w:after="0" w:line="264" w:lineRule="auto"/>
        <w:tabs>
          <w:tab w:leader="none" w:pos="1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[Omitted pursuant to the transition period exemption for newly public companies]</w:t>
      </w:r>
    </w:p>
    <w:p>
      <w:pPr>
        <w:spacing w:after="0" w:line="225" w:lineRule="exact"/>
        <w:rPr>
          <w:rFonts w:ascii="Arial" w:cs="Arial" w:eastAsia="Arial" w:hAnsi="Arial"/>
          <w:sz w:val="18"/>
          <w:szCs w:val="18"/>
          <w:color w:val="auto"/>
        </w:rPr>
      </w:pPr>
    </w:p>
    <w:p>
      <w:pPr>
        <w:ind w:right="840" w:firstLine="8"/>
        <w:spacing w:after="0" w:line="342" w:lineRule="auto"/>
        <w:tabs>
          <w:tab w:leader="none" w:pos="1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right="160" w:firstLine="8"/>
        <w:spacing w:after="0" w:line="264" w:lineRule="auto"/>
        <w:tabs>
          <w:tab w:leader="none" w:pos="1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7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20" w:firstLine="8"/>
        <w:spacing w:after="0" w:line="277" w:lineRule="auto"/>
        <w:tabs>
          <w:tab w:leader="none" w:pos="1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2011</w:t>
      </w:r>
    </w:p>
    <w:p>
      <w:pPr>
        <w:spacing w:after="0" w:line="225" w:lineRule="exact"/>
        <w:rPr>
          <w:sz w:val="20"/>
          <w:szCs w:val="20"/>
          <w:color w:val="auto"/>
        </w:rPr>
      </w:pPr>
    </w:p>
    <w:p>
      <w:pPr>
        <w:jc w:val="center"/>
        <w:ind w:right="20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PURSUANT TO SECTION 906 OF THE SARBANES-OXLEY ACT OF 2002</w:t>
      </w:r>
    </w:p>
    <w:p>
      <w:pPr>
        <w:spacing w:after="0" w:line="20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September 30, 2011 as filed with the Securities and Exchange Commission on the date hereof (the "Report") I, Jonathan Medved, Chief Executive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 (d)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14, 2011</w:t>
      </w:r>
    </w:p>
    <w:p>
      <w:pPr>
        <w:ind w:left="4740"/>
        <w:spacing w:after="0"/>
        <w:tabs>
          <w:tab w:leader="none" w:pos="5080" w:val="left"/>
        </w:tabs>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1"/>
          <w:szCs w:val="11"/>
          <w:color w:val="auto"/>
        </w:rPr>
        <w:t>ONATHAN</w:t>
      </w:r>
      <w:r>
        <w:rPr>
          <w:rFonts w:ascii="Arial" w:cs="Arial" w:eastAsia="Arial" w:hAnsi="Arial"/>
          <w:sz w:val="17"/>
          <w:szCs w:val="17"/>
          <w:color w:val="auto"/>
        </w:rPr>
        <w:t xml:space="preserve"> M</w:t>
      </w:r>
      <w:r>
        <w:rPr>
          <w:rFonts w:ascii="Arial" w:cs="Arial" w:eastAsia="Arial" w:hAnsi="Arial"/>
          <w:sz w:val="11"/>
          <w:szCs w:val="11"/>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Jonathan Medved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18 U.S.C. SECTION 1350 PURSUANT TO SECTION 906 OF THE SARBANES-OXLEY ACT OF 2002</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September 30, 2011 as filed with the Securities and Exchange Commission on the date hereof (the "Report") I, Ellen Cohl, Chief Financial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14, 2011</w:t>
      </w:r>
    </w:p>
    <w:p>
      <w:pPr>
        <w:ind w:left="4960"/>
        <w:spacing w:after="0"/>
        <w:tabs>
          <w:tab w:leader="none" w:pos="5300" w:val="left"/>
        </w:tabs>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Ellen Cohl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lowerRoman"/>
      <w:start w:val="4"/>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2019-12-11T05:58:18Z</dcterms:created>
  <dcterms:modified xsi:type="dcterms:W3CDTF">2019-12-11T05:58:18Z</dcterms:modified>
</cp:coreProperties>
</file>