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73025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Section 15(d) of the Securities Exchange Act of 1934</w:t>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21, 2011 (June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255270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238125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800" w:space="720"/>
            <w:col w:w="2720" w:space="720"/>
            <w:col w:w="2460"/>
          </w:cols>
          <w:pgMar w:left="240" w:top="463" w:right="239" w:bottom="1440" w:gutter="0" w:footer="0" w:header="0"/>
          <w:type w:val="continuous"/>
        </w:sectPr>
      </w:pPr>
    </w:p>
    <w:p>
      <w:pPr>
        <w:spacing w:after="0" w:line="27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18 East 16th Street, 7th Floor</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10003</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463" w:right="23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240665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9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w:t>
      </w:r>
    </w:p>
    <w:p>
      <w:pPr>
        <w:spacing w:after="0" w:line="200" w:lineRule="exact"/>
        <w:rPr>
          <w:sz w:val="20"/>
          <w:szCs w:val="20"/>
          <w:color w:val="auto"/>
        </w:rPr>
      </w:pPr>
    </w:p>
    <w:p>
      <w:pPr>
        <w:spacing w:after="0" w:line="291"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On June 16, 2011,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Vringo, Inc. (the “</w:t>
      </w:r>
      <w:r>
        <w:rPr>
          <w:rFonts w:ascii="Arial" w:cs="Arial" w:eastAsia="Arial" w:hAnsi="Arial"/>
          <w:sz w:val="18"/>
          <w:szCs w:val="18"/>
          <w:b w:val="1"/>
          <w:bCs w:val="1"/>
          <w:color w:val="auto"/>
        </w:rPr>
        <w:t>Company</w:t>
      </w:r>
      <w:r>
        <w:rPr>
          <w:rFonts w:ascii="Arial" w:cs="Arial" w:eastAsia="Arial" w:hAnsi="Arial"/>
          <w:sz w:val="18"/>
          <w:szCs w:val="18"/>
          <w:color w:val="auto"/>
        </w:rPr>
        <w:t>”) elected Geoffrey M. Skolnik to serve as a director of the Company, effective immediately. The Board determined that Mr. Skolnik is independent in accordance with the applicable rules of the NYSE Amex LLC. Mr. Skolnik will also serve as a member of the Audit Committee of the Board.</w:t>
      </w:r>
    </w:p>
    <w:p>
      <w:pPr>
        <w:spacing w:after="0" w:line="200" w:lineRule="exact"/>
        <w:rPr>
          <w:sz w:val="20"/>
          <w:szCs w:val="20"/>
          <w:color w:val="auto"/>
        </w:rPr>
      </w:pPr>
    </w:p>
    <w:p>
      <w:pPr>
        <w:spacing w:after="0" w:line="246"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0" w:lineRule="exact"/>
        <w:rPr>
          <w:sz w:val="20"/>
          <w:szCs w:val="20"/>
          <w:color w:val="auto"/>
        </w:rPr>
      </w:pPr>
    </w:p>
    <w:p>
      <w:pPr>
        <w:spacing w:after="0" w:line="295" w:lineRule="exact"/>
        <w:rPr>
          <w:sz w:val="20"/>
          <w:szCs w:val="20"/>
          <w:color w:val="auto"/>
        </w:rPr>
      </w:pPr>
    </w:p>
    <w:p>
      <w:pPr>
        <w:ind w:right="320" w:firstLine="720"/>
        <w:spacing w:after="0" w:line="266" w:lineRule="auto"/>
        <w:rPr>
          <w:sz w:val="20"/>
          <w:szCs w:val="20"/>
          <w:color w:val="auto"/>
        </w:rPr>
      </w:pPr>
      <w:r>
        <w:rPr>
          <w:rFonts w:ascii="Arial" w:cs="Arial" w:eastAsia="Arial" w:hAnsi="Arial"/>
          <w:sz w:val="18"/>
          <w:szCs w:val="18"/>
          <w:color w:val="auto"/>
        </w:rPr>
        <w:t>On June 16, 2011, Vringo, Inc. (the “</w:t>
      </w:r>
      <w:r>
        <w:rPr>
          <w:rFonts w:ascii="Arial" w:cs="Arial" w:eastAsia="Arial" w:hAnsi="Arial"/>
          <w:sz w:val="18"/>
          <w:szCs w:val="18"/>
          <w:b w:val="1"/>
          <w:bCs w:val="1"/>
          <w:color w:val="auto"/>
        </w:rPr>
        <w:t>Company</w:t>
      </w:r>
      <w:r>
        <w:rPr>
          <w:rFonts w:ascii="Arial" w:cs="Arial" w:eastAsia="Arial" w:hAnsi="Arial"/>
          <w:sz w:val="18"/>
          <w:szCs w:val="18"/>
          <w:color w:val="auto"/>
        </w:rPr>
        <w:t>”) held its Annual Meeting of Stockholders. At the meeting, stockholders re-elected all seven directors nominated by the Company’s Board of Directors and ratified the appointment of Somekh Chaikin, a member firm of KPMG International, as the Company’s independent registered public accounting firm for the fiscal year ending December 31, 2011.</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are the final voting results for each of the proposals.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 Election of Directors</w:t>
      </w:r>
    </w:p>
    <w:p>
      <w:pPr>
        <w:spacing w:after="0" w:line="200" w:lineRule="exact"/>
        <w:rPr>
          <w:sz w:val="20"/>
          <w:szCs w:val="20"/>
          <w:color w:val="auto"/>
        </w:rPr>
      </w:pPr>
    </w:p>
    <w:p>
      <w:pPr>
        <w:spacing w:after="0" w:line="29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individuals were elected to serve as directors of the Company until the 2012 Annual Meeting of Stockholders and until their successors have been duly elected and qualified. The voting results were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Broker Non-</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Votes For</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Votes Withheld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Votes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0FFC0"/>
          </w:tcPr>
          <w:p>
            <w:pPr>
              <w:spacing w:after="0"/>
              <w:rPr>
                <w:sz w:val="20"/>
                <w:szCs w:val="20"/>
                <w:color w:val="auto"/>
              </w:rPr>
            </w:pPr>
            <w:r>
              <w:rPr>
                <w:rFonts w:ascii="Arial" w:cs="Arial" w:eastAsia="Arial" w:hAnsi="Arial"/>
                <w:sz w:val="18"/>
                <w:szCs w:val="18"/>
                <w:color w:val="auto"/>
              </w:rPr>
              <w:t>Jonathan Medved</w:t>
            </w:r>
          </w:p>
        </w:tc>
        <w:tc>
          <w:tcPr>
            <w:tcW w:w="1500" w:type="dxa"/>
            <w:vAlign w:val="bottom"/>
            <w:gridSpan w:val="3"/>
            <w:shd w:val="clear" w:color="auto" w:fill="C0FFC0"/>
          </w:tcPr>
          <w:p>
            <w:pPr>
              <w:jc w:val="right"/>
              <w:ind w:right="220"/>
              <w:spacing w:after="0"/>
              <w:rPr>
                <w:sz w:val="20"/>
                <w:szCs w:val="20"/>
                <w:color w:val="auto"/>
              </w:rPr>
            </w:pPr>
            <w:r>
              <w:rPr>
                <w:rFonts w:ascii="Arial" w:cs="Arial" w:eastAsia="Arial" w:hAnsi="Arial"/>
                <w:sz w:val="18"/>
                <w:szCs w:val="18"/>
                <w:color w:val="auto"/>
              </w:rPr>
              <w:t>1,771,448</w:t>
            </w:r>
          </w:p>
        </w:tc>
        <w:tc>
          <w:tcPr>
            <w:tcW w:w="1360" w:type="dxa"/>
            <w:vAlign w:val="bottom"/>
            <w:gridSpan w:val="2"/>
            <w:shd w:val="clear" w:color="auto" w:fill="C0FFC0"/>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0FFC0"/>
          </w:tcPr>
          <w:p>
            <w:pPr>
              <w:jc w:val="right"/>
              <w:ind w:right="100"/>
              <w:spacing w:after="0"/>
              <w:rPr>
                <w:sz w:val="20"/>
                <w:szCs w:val="20"/>
                <w:color w:val="auto"/>
              </w:rPr>
            </w:pPr>
            <w:r>
              <w:rPr>
                <w:rFonts w:ascii="Arial" w:cs="Arial" w:eastAsia="Arial" w:hAnsi="Arial"/>
                <w:sz w:val="18"/>
                <w:szCs w:val="18"/>
                <w:color w:val="auto"/>
              </w:rPr>
              <w:t>2,102,850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Seth Siegel</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1,766,048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0FFC0"/>
          </w:tcPr>
          <w:p>
            <w:pPr>
              <w:spacing w:after="0"/>
              <w:rPr>
                <w:sz w:val="20"/>
                <w:szCs w:val="20"/>
                <w:color w:val="auto"/>
              </w:rPr>
            </w:pPr>
            <w:r>
              <w:rPr>
                <w:rFonts w:ascii="Arial" w:cs="Arial" w:eastAsia="Arial" w:hAnsi="Arial"/>
                <w:sz w:val="18"/>
                <w:szCs w:val="18"/>
                <w:color w:val="auto"/>
              </w:rPr>
              <w:t>Ralph Simon</w:t>
            </w:r>
          </w:p>
        </w:tc>
        <w:tc>
          <w:tcPr>
            <w:tcW w:w="1500" w:type="dxa"/>
            <w:vAlign w:val="bottom"/>
            <w:gridSpan w:val="3"/>
            <w:shd w:val="clear" w:color="auto" w:fill="C0FFC0"/>
          </w:tcPr>
          <w:p>
            <w:pPr>
              <w:jc w:val="right"/>
              <w:ind w:right="220"/>
              <w:spacing w:after="0"/>
              <w:rPr>
                <w:sz w:val="20"/>
                <w:szCs w:val="20"/>
                <w:color w:val="auto"/>
              </w:rPr>
            </w:pPr>
            <w:r>
              <w:rPr>
                <w:rFonts w:ascii="Arial" w:cs="Arial" w:eastAsia="Arial" w:hAnsi="Arial"/>
                <w:sz w:val="18"/>
                <w:szCs w:val="18"/>
                <w:color w:val="auto"/>
              </w:rPr>
              <w:t>1,771,448</w:t>
            </w:r>
          </w:p>
        </w:tc>
        <w:tc>
          <w:tcPr>
            <w:tcW w:w="1360" w:type="dxa"/>
            <w:vAlign w:val="bottom"/>
            <w:gridSpan w:val="2"/>
            <w:shd w:val="clear" w:color="auto" w:fill="C0FFC0"/>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0FFC0"/>
          </w:tcPr>
          <w:p>
            <w:pPr>
              <w:jc w:val="right"/>
              <w:ind w:right="100"/>
              <w:spacing w:after="0"/>
              <w:rPr>
                <w:sz w:val="20"/>
                <w:szCs w:val="20"/>
                <w:color w:val="auto"/>
              </w:rPr>
            </w:pPr>
            <w:r>
              <w:rPr>
                <w:rFonts w:ascii="Arial" w:cs="Arial" w:eastAsia="Arial" w:hAnsi="Arial"/>
                <w:sz w:val="18"/>
                <w:szCs w:val="18"/>
                <w:color w:val="auto"/>
              </w:rPr>
              <w:t>2,102,850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Andrew Perlman</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1,771,448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0FFC0"/>
          </w:tcPr>
          <w:p>
            <w:pPr>
              <w:spacing w:after="0"/>
              <w:rPr>
                <w:sz w:val="20"/>
                <w:szCs w:val="20"/>
                <w:color w:val="auto"/>
              </w:rPr>
            </w:pPr>
            <w:r>
              <w:rPr>
                <w:rFonts w:ascii="Arial" w:cs="Arial" w:eastAsia="Arial" w:hAnsi="Arial"/>
                <w:sz w:val="18"/>
                <w:szCs w:val="18"/>
                <w:color w:val="auto"/>
              </w:rPr>
              <w:t>Edo Segal</w:t>
            </w:r>
          </w:p>
        </w:tc>
        <w:tc>
          <w:tcPr>
            <w:tcW w:w="1500" w:type="dxa"/>
            <w:vAlign w:val="bottom"/>
            <w:gridSpan w:val="3"/>
            <w:shd w:val="clear" w:color="auto" w:fill="C0FFC0"/>
          </w:tcPr>
          <w:p>
            <w:pPr>
              <w:jc w:val="right"/>
              <w:ind w:right="220"/>
              <w:spacing w:after="0"/>
              <w:rPr>
                <w:sz w:val="20"/>
                <w:szCs w:val="20"/>
                <w:color w:val="auto"/>
              </w:rPr>
            </w:pPr>
            <w:r>
              <w:rPr>
                <w:rFonts w:ascii="Arial" w:cs="Arial" w:eastAsia="Arial" w:hAnsi="Arial"/>
                <w:sz w:val="18"/>
                <w:szCs w:val="18"/>
                <w:color w:val="auto"/>
              </w:rPr>
              <w:t>1,771,448</w:t>
            </w:r>
          </w:p>
        </w:tc>
        <w:tc>
          <w:tcPr>
            <w:tcW w:w="1360" w:type="dxa"/>
            <w:vAlign w:val="bottom"/>
            <w:gridSpan w:val="2"/>
            <w:shd w:val="clear" w:color="auto" w:fill="C0FFC0"/>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0FFC0"/>
          </w:tcPr>
          <w:p>
            <w:pPr>
              <w:jc w:val="right"/>
              <w:ind w:right="100"/>
              <w:spacing w:after="0"/>
              <w:rPr>
                <w:sz w:val="20"/>
                <w:szCs w:val="20"/>
                <w:color w:val="auto"/>
              </w:rPr>
            </w:pPr>
            <w:r>
              <w:rPr>
                <w:rFonts w:ascii="Arial" w:cs="Arial" w:eastAsia="Arial" w:hAnsi="Arial"/>
                <w:sz w:val="18"/>
                <w:szCs w:val="18"/>
                <w:color w:val="auto"/>
              </w:rPr>
              <w:t>2,102,850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Philip Serlin</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1,771,448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0FFC0"/>
          </w:tcPr>
          <w:p>
            <w:pPr>
              <w:spacing w:after="0"/>
              <w:rPr>
                <w:sz w:val="20"/>
                <w:szCs w:val="20"/>
                <w:color w:val="auto"/>
              </w:rPr>
            </w:pPr>
            <w:r>
              <w:rPr>
                <w:rFonts w:ascii="Arial" w:cs="Arial" w:eastAsia="Arial" w:hAnsi="Arial"/>
                <w:sz w:val="18"/>
                <w:szCs w:val="18"/>
                <w:color w:val="auto"/>
              </w:rPr>
              <w:t>John Engelman</w:t>
            </w:r>
          </w:p>
        </w:tc>
        <w:tc>
          <w:tcPr>
            <w:tcW w:w="1500" w:type="dxa"/>
            <w:vAlign w:val="bottom"/>
            <w:gridSpan w:val="3"/>
            <w:shd w:val="clear" w:color="auto" w:fill="C0FFC0"/>
          </w:tcPr>
          <w:p>
            <w:pPr>
              <w:jc w:val="right"/>
              <w:ind w:right="220"/>
              <w:spacing w:after="0"/>
              <w:rPr>
                <w:sz w:val="20"/>
                <w:szCs w:val="20"/>
                <w:color w:val="auto"/>
              </w:rPr>
            </w:pPr>
            <w:r>
              <w:rPr>
                <w:rFonts w:ascii="Arial" w:cs="Arial" w:eastAsia="Arial" w:hAnsi="Arial"/>
                <w:sz w:val="18"/>
                <w:szCs w:val="18"/>
                <w:color w:val="auto"/>
              </w:rPr>
              <w:t>1,771,448</w:t>
            </w:r>
          </w:p>
        </w:tc>
        <w:tc>
          <w:tcPr>
            <w:tcW w:w="1360" w:type="dxa"/>
            <w:vAlign w:val="bottom"/>
            <w:gridSpan w:val="2"/>
            <w:shd w:val="clear" w:color="auto" w:fill="C0FFC0"/>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0FFC0"/>
          </w:tcPr>
          <w:p>
            <w:pPr>
              <w:jc w:val="right"/>
              <w:ind w:right="100"/>
              <w:spacing w:after="0"/>
              <w:rPr>
                <w:sz w:val="20"/>
                <w:szCs w:val="20"/>
                <w:color w:val="auto"/>
              </w:rPr>
            </w:pPr>
            <w:r>
              <w:rPr>
                <w:rFonts w:ascii="Arial" w:cs="Arial" w:eastAsia="Arial" w:hAnsi="Arial"/>
                <w:sz w:val="18"/>
                <w:szCs w:val="18"/>
                <w:color w:val="auto"/>
              </w:rPr>
              <w:t>2,102,850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 – Ratification of Appointment of Independent Registered Public Accounting Firm</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appointment of Somekh Chaikin, a member firm of KPMG International, to serve as the Company’s independent registered public accounting firm for the fiscal year ending December 31, 2011 was ratified. The voting results were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Votes For</w:t>
            </w:r>
          </w:p>
        </w:tc>
        <w:tc>
          <w:tcPr>
            <w:tcW w:w="620" w:type="dxa"/>
            <w:vAlign w:val="bottom"/>
          </w:tcPr>
          <w:p>
            <w:pPr>
              <w:spacing w:after="0"/>
              <w:rPr>
                <w:sz w:val="20"/>
                <w:szCs w:val="20"/>
                <w:color w:val="auto"/>
              </w:rPr>
            </w:pPr>
          </w:p>
        </w:tc>
        <w:tc>
          <w:tcPr>
            <w:tcW w:w="32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Votes Against</w:t>
            </w:r>
          </w:p>
        </w:tc>
        <w:tc>
          <w:tcPr>
            <w:tcW w:w="640" w:type="dxa"/>
            <w:vAlign w:val="bottom"/>
          </w:tcPr>
          <w:p>
            <w:pPr>
              <w:spacing w:after="0"/>
              <w:rPr>
                <w:sz w:val="20"/>
                <w:szCs w:val="20"/>
                <w:color w:val="auto"/>
              </w:rPr>
            </w:pPr>
          </w:p>
        </w:tc>
        <w:tc>
          <w:tcPr>
            <w:tcW w:w="33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Abstentions</w:t>
            </w:r>
          </w:p>
        </w:tc>
        <w:tc>
          <w:tcPr>
            <w:tcW w:w="320" w:type="dxa"/>
            <w:vAlign w:val="bottom"/>
          </w:tcPr>
          <w:p>
            <w:pPr>
              <w:spacing w:after="0"/>
              <w:rPr>
                <w:sz w:val="20"/>
                <w:szCs w:val="20"/>
                <w:color w:val="auto"/>
              </w:rPr>
            </w:pPr>
          </w:p>
        </w:tc>
      </w:tr>
      <w:tr>
        <w:trPr>
          <w:trHeight w:val="216"/>
        </w:trPr>
        <w:tc>
          <w:tcPr>
            <w:tcW w:w="3260" w:type="dxa"/>
            <w:vAlign w:val="bottom"/>
            <w:shd w:val="clear" w:color="auto" w:fill="C0FFC0"/>
          </w:tcPr>
          <w:p>
            <w:pPr>
              <w:jc w:val="right"/>
              <w:spacing w:after="0"/>
              <w:rPr>
                <w:sz w:val="20"/>
                <w:szCs w:val="20"/>
                <w:color w:val="auto"/>
              </w:rPr>
            </w:pPr>
            <w:r>
              <w:rPr>
                <w:rFonts w:ascii="Arial" w:cs="Arial" w:eastAsia="Arial" w:hAnsi="Arial"/>
                <w:sz w:val="18"/>
                <w:szCs w:val="18"/>
                <w:b w:val="1"/>
                <w:bCs w:val="1"/>
                <w:color w:val="auto"/>
              </w:rPr>
              <w:t>3,864,314</w:t>
            </w:r>
          </w:p>
        </w:tc>
        <w:tc>
          <w:tcPr>
            <w:tcW w:w="4540" w:type="dxa"/>
            <w:vAlign w:val="bottom"/>
            <w:gridSpan w:val="3"/>
            <w:shd w:val="clear" w:color="auto" w:fill="C0FFC0"/>
          </w:tcPr>
          <w:p>
            <w:pPr>
              <w:jc w:val="right"/>
              <w:ind w:right="640"/>
              <w:spacing w:after="0"/>
              <w:rPr>
                <w:sz w:val="20"/>
                <w:szCs w:val="20"/>
                <w:color w:val="auto"/>
              </w:rPr>
            </w:pPr>
            <w:r>
              <w:rPr>
                <w:rFonts w:ascii="Arial" w:cs="Arial" w:eastAsia="Arial" w:hAnsi="Arial"/>
                <w:sz w:val="18"/>
                <w:szCs w:val="18"/>
                <w:b w:val="1"/>
                <w:bCs w:val="1"/>
                <w:color w:val="auto"/>
              </w:rPr>
              <w:t>10,984</w:t>
            </w:r>
          </w:p>
        </w:tc>
        <w:tc>
          <w:tcPr>
            <w:tcW w:w="3300" w:type="dxa"/>
            <w:vAlign w:val="bottom"/>
            <w:shd w:val="clear" w:color="auto" w:fill="C0FFC0"/>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0FFC0"/>
          </w:tcPr>
          <w:p>
            <w:pPr>
              <w:spacing w:after="0"/>
              <w:rPr>
                <w:sz w:val="18"/>
                <w:szCs w:val="18"/>
                <w:color w:val="auto"/>
              </w:rPr>
            </w:pPr>
          </w:p>
        </w:tc>
      </w:tr>
      <w:tr>
        <w:trPr>
          <w:trHeight w:val="659"/>
        </w:trPr>
        <w:tc>
          <w:tcPr>
            <w:tcW w:w="32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June 20, 2011</w:t>
      </w:r>
      <w:r>
        <w:rPr>
          <w:sz w:val="20"/>
          <w:szCs w:val="20"/>
          <w:color w:val="auto"/>
        </w:rPr>
        <w:tab/>
      </w:r>
      <w:r>
        <w:rPr>
          <w:rFonts w:ascii="Arial" w:cs="Arial" w:eastAsia="Arial" w:hAnsi="Arial"/>
          <w:sz w:val="17"/>
          <w:szCs w:val="17"/>
          <w:color w:val="auto"/>
        </w:rPr>
        <w:t>By: /s/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Ellen Cohl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2019-12-11T06:08:42Z</dcterms:created>
  <dcterms:modified xsi:type="dcterms:W3CDTF">2019-12-11T06:08:42Z</dcterms:modified>
</cp:coreProperties>
</file>